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Billing and Payment Schedule</w:t>
      </w:r>
    </w:p>
    <w:p>
      <w:pPr>
        <w:spacing w:after="120"/>
        <w:jc w:val="both"/>
      </w:pPr>
      <w:r>
        <w:t>Policy {{policy_number}} for {{business_name}} has an annual premium of {{annual_premium}}, billed {{billing_frequency}}, starting {{policy_start_date}}.</w:t>
      </w:r>
    </w:p>
    <w:p>
      <w:pPr>
        <w:spacing w:before="200" w:after="80"/>
      </w:pPr>
      <w:r>
        <w:rPr>
          <w:b/>
          <w:color w:val="142C52"/>
          <w:sz w:val="24"/>
        </w:rPr>
        <w:t>Payment schedule</w:t>
      </w:r>
    </w:p>
    <w:p>
      <w:pPr>
        <w:spacing w:after="120"/>
        <w:jc w:val="both"/>
      </w:pPr>
      <w:r>
        <w:t>If you selected monthly billing, your first payment is due on your policy start date, and each payment after that is due on the same day of the following month for the remainder of the Policy Period. If you selected annual billing, the full premium is due on your policy start date.</w:t>
      </w:r>
    </w:p>
    <w:p>
      <w:pPr>
        <w:spacing w:before="200" w:after="80"/>
      </w:pPr>
      <w:r>
        <w:rPr>
          <w:b/>
          <w:color w:val="142C52"/>
          <w:sz w:val="24"/>
        </w:rPr>
        <w:t>Accepted payment methods</w:t>
      </w:r>
    </w:p>
    <w:p>
      <w:pPr>
        <w:pStyle w:val="ListBullet"/>
      </w:pPr>
      <w:r>
        <w:t>ACH bank transfer (no processing fee)</w:t>
      </w:r>
    </w:p>
    <w:p>
      <w:pPr>
        <w:pStyle w:val="ListBullet"/>
      </w:pPr>
      <w:r>
        <w:t>Credit or debit card (a processing fee applies)</w:t>
      </w:r>
    </w:p>
    <w:p>
      <w:pPr>
        <w:pStyle w:val="ListBullet"/>
      </w:pPr>
      <w:r>
        <w:t>Mailed check, payable to Contoso Insurance</w:t>
      </w:r>
    </w:p>
    <w:p>
      <w:pPr>
        <w:pStyle w:val="ListBullet"/>
      </w:pPr>
      <w:r>
        <w:t>Automatic payment enrollment, which applies your chosen method on each due date without a manual step</w:t>
      </w:r>
    </w:p>
    <w:p>
      <w:pPr>
        <w:spacing w:before="200" w:after="80"/>
      </w:pPr>
      <w:r>
        <w:rPr>
          <w:b/>
          <w:color w:val="142C52"/>
          <w:sz w:val="24"/>
        </w:rPr>
        <w:t>If a payment is missed</w:t>
      </w:r>
    </w:p>
    <w:p>
      <w:pPr>
        <w:spacing w:after="120"/>
        <w:jc w:val="both"/>
      </w:pPr>
      <w:r>
        <w:t>We'll send a reminder and allow a short grace period before any lapse in coverage. If you expect a delay, contact us before your due date -- in most cases we can work out a short extension rather than cancel a policy. A missed payment that is not resolved within the grace period may result in cancellation for nonpayment, subject to the notice requirements in your policy's General Conditions.</w:t>
      </w:r>
    </w:p>
    <w:p>
      <w:pPr>
        <w:spacing w:before="200" w:after="80"/>
      </w:pPr>
      <w:r>
        <w:rPr>
          <w:b/>
          <w:color w:val="142C52"/>
          <w:sz w:val="24"/>
        </w:rPr>
        <w:t>Midterm changes and cancellation</w:t>
      </w:r>
    </w:p>
    <w:p>
      <w:pPr>
        <w:spacing w:after="120"/>
        <w:jc w:val="both"/>
      </w:pPr>
      <w:r>
        <w:t>If you add or remove coverage during the Policy Period, we'll recalculate your premium and adjust your next bill or issue a refund, as applicable. If you cancel midterm, any unearned premium will be refunded within the timeframe required by law.</w:t>
      </w:r>
    </w:p>
    <w:p>
      <w:pPr>
        <w:spacing w:before="200" w:after="80"/>
      </w:pPr>
      <w:r>
        <w:rPr>
          <w:b/>
          <w:color w:val="142C52"/>
          <w:sz w:val="24"/>
        </w:rPr>
        <w:t>Late fees</w:t>
      </w:r>
    </w:p>
    <w:p>
      <w:pPr>
        <w:spacing w:after="120"/>
        <w:jc w:val="both"/>
      </w:pPr>
      <w:r>
        <w:t>A late fee may apply to a payment received after its due date, as shown on your invoice. Late fees do not apply during an active payment plan made with our billing department.</w:t>
      </w:r>
    </w:p>
    <w:p>
      <w:pPr>
        <w:spacing w:before="200" w:after="80"/>
      </w:pPr>
      <w:r>
        <w:rPr>
          <w:b/>
          <w:color w:val="142C52"/>
          <w:sz w:val="24"/>
        </w:rPr>
        <w:t>Questions about your bill</w:t>
      </w:r>
    </w:p>
    <w:p>
      <w:pPr>
        <w:spacing w:after="120"/>
        <w:jc w:val="both"/>
      </w:pPr>
      <w:r>
        <w:t>Contact our billing department using the number in the footer of this document, or reach out to {{salesperson_name}}, your Contoso representative.</w:t>
      </w:r>
    </w:p>
    <w:p>
      <w:pPr>
        <w:spacing w:before="200" w:after="80"/>
      </w:pPr>
      <w:r>
        <w:rPr>
          <w:b/>
          <w:color w:val="142C52"/>
          <w:sz w:val="24"/>
        </w:rPr>
        <w:t>Sample monthly schedule</w:t>
      </w:r>
    </w:p>
    <w:p>
      <w:pPr>
        <w:spacing w:after="120"/>
        <w:jc w:val="both"/>
      </w:pPr>
      <w:r>
        <w:t>If you're billed monthly, your installments are spread evenly across the Policy Period, as shown below for a policy starting {{policy_start_date}}. Actual due dates and amounts for your policy appear on your invoice.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val="clear" w:fill="142C52"/>
          </w:tcPr>
          <w:p>
            <w:r/>
            <w:r>
              <w:rPr>
                <w:b/>
                <w:color w:val="FFFFFF"/>
                <w:sz w:val="17"/>
              </w:rPr>
              <w:t>Installment</w:t>
            </w:r>
          </w:p>
        </w:tc>
        <w:tc>
          <w:tcPr>
            <w:tcW w:type="dxa" w:w="3312"/>
            <w:vAlign w:val="center"/>
            <w:shd w:val="clear" w:fill="142C52"/>
          </w:tcPr>
          <w:p>
            <w:r/>
            <w:r>
              <w:rPr>
                <w:b/>
                <w:color w:val="FFFFFF"/>
                <w:sz w:val="17"/>
              </w:rPr>
              <w:t>Due Date</w:t>
            </w:r>
          </w:p>
        </w:tc>
        <w:tc>
          <w:tcPr>
            <w:tcW w:type="dxa" w:w="3312"/>
            <w:vAlign w:val="center"/>
            <w:shd w:val="clear" w:fill="142C52"/>
          </w:tcPr>
          <w:p>
            <w:r/>
            <w:r>
              <w:rPr>
                <w:b/>
                <w:color w:val="FFFFFF"/>
                <w:sz w:val="17"/>
              </w:rPr>
              <w:t>Status</w:t>
            </w:r>
          </w:p>
        </w:tc>
      </w:tr>
      <w:tr>
        <w:tc>
          <w:tcPr>
            <w:tcW w:type="dxa" w:w="3312"/>
            <w:vAlign w:val="center"/>
          </w:tcPr>
          <w:p>
            <w:r/>
            <w:r>
              <w:rPr>
                <w:b w:val="0"/>
                <w:sz w:val="18"/>
              </w:rPr>
              <w:t>Payment 1 of 12</w:t>
            </w:r>
          </w:p>
        </w:tc>
        <w:tc>
          <w:tcPr>
            <w:tcW w:type="dxa" w:w="3312"/>
            <w:vAlign w:val="center"/>
          </w:tcPr>
          <w:p>
            <w:r/>
            <w:r>
              <w:rPr>
                <w:b w:val="0"/>
                <w:sz w:val="18"/>
              </w:rPr>
              <w:t>{{policy_start_date}}</w:t>
            </w:r>
          </w:p>
        </w:tc>
        <w:tc>
          <w:tcPr>
            <w:tcW w:type="dxa" w:w="3312"/>
            <w:vAlign w:val="center"/>
          </w:tcPr>
          <w:p>
            <w:r/>
            <w:r>
              <w:rPr>
                <w:b w:val="0"/>
                <w:sz w:val="18"/>
              </w:rPr>
              <w:t>Due at policy issuance</w:t>
            </w:r>
          </w:p>
        </w:tc>
      </w:tr>
      <w:tr>
        <w:tc>
          <w:tcPr>
            <w:tcW w:type="dxa" w:w="3312"/>
            <w:vAlign w:val="center"/>
          </w:tcPr>
          <w:p>
            <w:r/>
            <w:r>
              <w:rPr>
                <w:b w:val="0"/>
                <w:sz w:val="18"/>
              </w:rPr>
              <w:t>Payment 2 of 12</w:t>
            </w:r>
          </w:p>
        </w:tc>
        <w:tc>
          <w:tcPr>
            <w:tcW w:type="dxa" w:w="3312"/>
            <w:vAlign w:val="center"/>
          </w:tcPr>
          <w:p>
            <w:r/>
            <w:r>
              <w:rPr>
                <w:b w:val="0"/>
                <w:sz w:val="18"/>
              </w:rPr>
              <w:t>Due on policy anniversary day each month</w:t>
            </w:r>
          </w:p>
        </w:tc>
        <w:tc>
          <w:tcPr>
            <w:tcW w:type="dxa" w:w="3312"/>
            <w:vAlign w:val="center"/>
          </w:tcPr>
          <w:p>
            <w:r/>
            <w:r>
              <w:rPr>
                <w:b w:val="0"/>
                <w:sz w:val="18"/>
              </w:rPr>
              <w:t>Billed in advance</w:t>
            </w:r>
          </w:p>
        </w:tc>
      </w:tr>
      <w:tr>
        <w:tc>
          <w:tcPr>
            <w:tcW w:type="dxa" w:w="3312"/>
            <w:vAlign w:val="center"/>
          </w:tcPr>
          <w:p>
            <w:r/>
            <w:r>
              <w:rPr>
                <w:b w:val="0"/>
                <w:sz w:val="18"/>
              </w:rPr>
              <w:t>Payment 3 of 12</w:t>
            </w:r>
          </w:p>
        </w:tc>
        <w:tc>
          <w:tcPr>
            <w:tcW w:type="dxa" w:w="3312"/>
            <w:vAlign w:val="center"/>
          </w:tcPr>
          <w:p>
            <w:r/>
            <w:r>
              <w:rPr>
                <w:b w:val="0"/>
                <w:sz w:val="18"/>
              </w:rPr>
              <w:t>Due on policy anniversary day each month</w:t>
            </w:r>
          </w:p>
        </w:tc>
        <w:tc>
          <w:tcPr>
            <w:tcW w:type="dxa" w:w="3312"/>
            <w:vAlign w:val="center"/>
          </w:tcPr>
          <w:p>
            <w:r/>
            <w:r>
              <w:rPr>
                <w:b w:val="0"/>
                <w:sz w:val="18"/>
              </w:rPr>
              <w:t>Billed in advance</w:t>
            </w:r>
          </w:p>
        </w:tc>
      </w:tr>
      <w:tr>
        <w:tc>
          <w:tcPr>
            <w:tcW w:type="dxa" w:w="3312"/>
            <w:vAlign w:val="center"/>
          </w:tcPr>
          <w:p>
            <w:r/>
            <w:r>
              <w:rPr>
                <w:b w:val="0"/>
                <w:sz w:val="18"/>
              </w:rPr>
              <w:t>Payment 4 of 12</w:t>
            </w:r>
          </w:p>
        </w:tc>
        <w:tc>
          <w:tcPr>
            <w:tcW w:type="dxa" w:w="3312"/>
            <w:vAlign w:val="center"/>
          </w:tcPr>
          <w:p>
            <w:r/>
            <w:r>
              <w:rPr>
                <w:b w:val="0"/>
                <w:sz w:val="18"/>
              </w:rPr>
              <w:t>Due on policy anniversary day each month</w:t>
            </w:r>
          </w:p>
        </w:tc>
        <w:tc>
          <w:tcPr>
            <w:tcW w:type="dxa" w:w="3312"/>
            <w:vAlign w:val="center"/>
          </w:tcPr>
          <w:p>
            <w:r/>
            <w:r>
              <w:rPr>
                <w:b w:val="0"/>
                <w:sz w:val="18"/>
              </w:rPr>
              <w:t>Billed in advance</w:t>
            </w:r>
          </w:p>
        </w:tc>
      </w:tr>
      <w:tr>
        <w:tc>
          <w:tcPr>
            <w:tcW w:type="dxa" w:w="3312"/>
            <w:vAlign w:val="center"/>
          </w:tcPr>
          <w:p>
            <w:r/>
            <w:r>
              <w:rPr>
                <w:b w:val="0"/>
                <w:sz w:val="18"/>
              </w:rPr>
              <w:t>Payment 5 of 12</w:t>
            </w:r>
          </w:p>
        </w:tc>
        <w:tc>
          <w:tcPr>
            <w:tcW w:type="dxa" w:w="3312"/>
            <w:vAlign w:val="center"/>
          </w:tcPr>
          <w:p>
            <w:r/>
            <w:r>
              <w:rPr>
                <w:b w:val="0"/>
                <w:sz w:val="18"/>
              </w:rPr>
              <w:t>Due on policy anniversary day each month</w:t>
            </w:r>
          </w:p>
        </w:tc>
        <w:tc>
          <w:tcPr>
            <w:tcW w:type="dxa" w:w="3312"/>
            <w:vAlign w:val="center"/>
          </w:tcPr>
          <w:p>
            <w:r/>
            <w:r>
              <w:rPr>
                <w:b w:val="0"/>
                <w:sz w:val="18"/>
              </w:rPr>
              <w:t>Billed in advance</w:t>
            </w:r>
          </w:p>
        </w:tc>
      </w:tr>
      <w:tr>
        <w:tc>
          <w:tcPr>
            <w:tcW w:type="dxa" w:w="3312"/>
            <w:vAlign w:val="center"/>
          </w:tcPr>
          <w:p>
            <w:r/>
            <w:r>
              <w:rPr>
                <w:b w:val="0"/>
                <w:sz w:val="18"/>
              </w:rPr>
              <w:t>Payment 6 of 12</w:t>
            </w:r>
          </w:p>
        </w:tc>
        <w:tc>
          <w:tcPr>
            <w:tcW w:type="dxa" w:w="3312"/>
            <w:vAlign w:val="center"/>
          </w:tcPr>
          <w:p>
            <w:r/>
            <w:r>
              <w:rPr>
                <w:b w:val="0"/>
                <w:sz w:val="18"/>
              </w:rPr>
              <w:t>Due on policy anniversary day each month</w:t>
            </w:r>
          </w:p>
        </w:tc>
        <w:tc>
          <w:tcPr>
            <w:tcW w:type="dxa" w:w="3312"/>
            <w:vAlign w:val="center"/>
          </w:tcPr>
          <w:p>
            <w:r/>
            <w:r>
              <w:rPr>
                <w:b w:val="0"/>
                <w:sz w:val="18"/>
              </w:rPr>
              <w:t>Billed in advance</w:t>
            </w:r>
          </w:p>
        </w:tc>
      </w:tr>
      <w:tr>
        <w:tc>
          <w:tcPr>
            <w:tcW w:type="dxa" w:w="3312"/>
            <w:vAlign w:val="center"/>
          </w:tcPr>
          <w:p>
            <w:r/>
            <w:r>
              <w:rPr>
                <w:b w:val="0"/>
                <w:sz w:val="18"/>
              </w:rPr>
              <w:t>Payment 7 of 12</w:t>
            </w:r>
          </w:p>
        </w:tc>
        <w:tc>
          <w:tcPr>
            <w:tcW w:type="dxa" w:w="3312"/>
            <w:vAlign w:val="center"/>
          </w:tcPr>
          <w:p>
            <w:r/>
            <w:r>
              <w:rPr>
                <w:b w:val="0"/>
                <w:sz w:val="18"/>
              </w:rPr>
              <w:t>Due on policy anniversary day each month</w:t>
            </w:r>
          </w:p>
        </w:tc>
        <w:tc>
          <w:tcPr>
            <w:tcW w:type="dxa" w:w="3312"/>
            <w:vAlign w:val="center"/>
          </w:tcPr>
          <w:p>
            <w:r/>
            <w:r>
              <w:rPr>
                <w:b w:val="0"/>
                <w:sz w:val="18"/>
              </w:rPr>
              <w:t>Billed in advance</w:t>
            </w:r>
          </w:p>
        </w:tc>
      </w:tr>
      <w:tr>
        <w:tc>
          <w:tcPr>
            <w:tcW w:type="dxa" w:w="3312"/>
            <w:vAlign w:val="center"/>
          </w:tcPr>
          <w:p>
            <w:r/>
            <w:r>
              <w:rPr>
                <w:b w:val="0"/>
                <w:sz w:val="18"/>
              </w:rPr>
              <w:t>Payment 8 of 12</w:t>
            </w:r>
          </w:p>
        </w:tc>
        <w:tc>
          <w:tcPr>
            <w:tcW w:type="dxa" w:w="3312"/>
            <w:vAlign w:val="center"/>
          </w:tcPr>
          <w:p>
            <w:r/>
            <w:r>
              <w:rPr>
                <w:b w:val="0"/>
                <w:sz w:val="18"/>
              </w:rPr>
              <w:t>Due on policy anniversary day each month</w:t>
            </w:r>
          </w:p>
        </w:tc>
        <w:tc>
          <w:tcPr>
            <w:tcW w:type="dxa" w:w="3312"/>
            <w:vAlign w:val="center"/>
          </w:tcPr>
          <w:p>
            <w:r/>
            <w:r>
              <w:rPr>
                <w:b w:val="0"/>
                <w:sz w:val="18"/>
              </w:rPr>
              <w:t>Billed in advance</w:t>
            </w:r>
          </w:p>
        </w:tc>
      </w:tr>
      <w:tr>
        <w:tc>
          <w:tcPr>
            <w:tcW w:type="dxa" w:w="3312"/>
            <w:vAlign w:val="center"/>
          </w:tcPr>
          <w:p>
            <w:r/>
            <w:r>
              <w:rPr>
                <w:b w:val="0"/>
                <w:sz w:val="18"/>
              </w:rPr>
              <w:t>Payment 9 of 12</w:t>
            </w:r>
          </w:p>
        </w:tc>
        <w:tc>
          <w:tcPr>
            <w:tcW w:type="dxa" w:w="3312"/>
            <w:vAlign w:val="center"/>
          </w:tcPr>
          <w:p>
            <w:r/>
            <w:r>
              <w:rPr>
                <w:b w:val="0"/>
                <w:sz w:val="18"/>
              </w:rPr>
              <w:t>Due on policy anniversary day each month</w:t>
            </w:r>
          </w:p>
        </w:tc>
        <w:tc>
          <w:tcPr>
            <w:tcW w:type="dxa" w:w="3312"/>
            <w:vAlign w:val="center"/>
          </w:tcPr>
          <w:p>
            <w:r/>
            <w:r>
              <w:rPr>
                <w:b w:val="0"/>
                <w:sz w:val="18"/>
              </w:rPr>
              <w:t>Billed in advance</w:t>
            </w:r>
          </w:p>
        </w:tc>
      </w:tr>
      <w:tr>
        <w:tc>
          <w:tcPr>
            <w:tcW w:type="dxa" w:w="3312"/>
            <w:vAlign w:val="center"/>
          </w:tcPr>
          <w:p>
            <w:r/>
            <w:r>
              <w:rPr>
                <w:b w:val="0"/>
                <w:sz w:val="18"/>
              </w:rPr>
              <w:t>Payment 10 of 12</w:t>
            </w:r>
          </w:p>
        </w:tc>
        <w:tc>
          <w:tcPr>
            <w:tcW w:type="dxa" w:w="3312"/>
            <w:vAlign w:val="center"/>
          </w:tcPr>
          <w:p>
            <w:r/>
            <w:r>
              <w:rPr>
                <w:b w:val="0"/>
                <w:sz w:val="18"/>
              </w:rPr>
              <w:t>Due on policy anniversary day each month</w:t>
            </w:r>
          </w:p>
        </w:tc>
        <w:tc>
          <w:tcPr>
            <w:tcW w:type="dxa" w:w="3312"/>
            <w:vAlign w:val="center"/>
          </w:tcPr>
          <w:p>
            <w:r/>
            <w:r>
              <w:rPr>
                <w:b w:val="0"/>
                <w:sz w:val="18"/>
              </w:rPr>
              <w:t>Billed in advance</w:t>
            </w:r>
          </w:p>
        </w:tc>
      </w:tr>
      <w:tr>
        <w:tc>
          <w:tcPr>
            <w:tcW w:type="dxa" w:w="3312"/>
            <w:vAlign w:val="center"/>
          </w:tcPr>
          <w:p>
            <w:r/>
            <w:r>
              <w:rPr>
                <w:b w:val="0"/>
                <w:sz w:val="18"/>
              </w:rPr>
              <w:t>Payment 11 of 12</w:t>
            </w:r>
          </w:p>
        </w:tc>
        <w:tc>
          <w:tcPr>
            <w:tcW w:type="dxa" w:w="3312"/>
            <w:vAlign w:val="center"/>
          </w:tcPr>
          <w:p>
            <w:r/>
            <w:r>
              <w:rPr>
                <w:b w:val="0"/>
                <w:sz w:val="18"/>
              </w:rPr>
              <w:t>Due on policy anniversary day each month</w:t>
            </w:r>
          </w:p>
        </w:tc>
        <w:tc>
          <w:tcPr>
            <w:tcW w:type="dxa" w:w="3312"/>
            <w:vAlign w:val="center"/>
          </w:tcPr>
          <w:p>
            <w:r/>
            <w:r>
              <w:rPr>
                <w:b w:val="0"/>
                <w:sz w:val="18"/>
              </w:rPr>
              <w:t>Billed in advance</w:t>
            </w:r>
          </w:p>
        </w:tc>
      </w:tr>
      <w:tr>
        <w:tc>
          <w:tcPr>
            <w:tcW w:type="dxa" w:w="3312"/>
            <w:vAlign w:val="center"/>
          </w:tcPr>
          <w:p>
            <w:r/>
            <w:r>
              <w:rPr>
                <w:b w:val="0"/>
                <w:sz w:val="18"/>
              </w:rPr>
              <w:t>Payment 12 of 12</w:t>
            </w:r>
          </w:p>
        </w:tc>
        <w:tc>
          <w:tcPr>
            <w:tcW w:type="dxa" w:w="3312"/>
            <w:vAlign w:val="center"/>
          </w:tcPr>
          <w:p>
            <w:r/>
            <w:r>
              <w:rPr>
                <w:b w:val="0"/>
                <w:sz w:val="18"/>
              </w:rPr>
              <w:t>Due on policy anniversary day each month</w:t>
            </w:r>
          </w:p>
        </w:tc>
        <w:tc>
          <w:tcPr>
            <w:tcW w:type="dxa" w:w="3312"/>
            <w:vAlign w:val="center"/>
          </w:tcPr>
          <w:p>
            <w:r/>
            <w:r>
              <w:rPr>
                <w:b w:val="0"/>
                <w:sz w:val="18"/>
              </w:rPr>
              <w:t>Billed in advance</w:t>
            </w:r>
          </w:p>
        </w:tc>
      </w:tr>
    </w:tbl>
    <w:p/>
    <w:p>
      <w:pPr>
        <w:spacing w:before="200" w:after="80"/>
      </w:pPr>
      <w:r>
        <w:rPr>
          <w:b/>
          <w:color w:val="142C52"/>
          <w:sz w:val="24"/>
        </w:rPr>
        <w:t>Escrow and third-party billing</w:t>
      </w:r>
    </w:p>
    <w:p>
      <w:pPr>
        <w:spacing w:after="120"/>
        <w:jc w:val="both"/>
      </w:pPr>
      <w:r>
        <w:t>If a lender, mortgageholder, or finance company has arranged to pay your premium on your behalf, we will bill them directly according to the arrangement on file; you remain responsible for the premium if that arrangement lapses.</w:t>
      </w:r>
    </w:p>
    <w:p>
      <w:r>
        <w:br w:type="page"/>
      </w:r>
    </w:p>
    <w:p>
      <w:pPr>
        <w:spacing w:before="200" w:after="80"/>
      </w:pPr>
      <w:r>
        <w:rPr>
          <w:b/>
          <w:color w:val="142C52"/>
          <w:sz w:val="24"/>
        </w:rPr>
        <w:t>Premium finance agreements</w:t>
      </w:r>
    </w:p>
    <w:p>
      <w:pPr>
        <w:spacing w:after="120"/>
        <w:jc w:val="both"/>
      </w:pPr>
      <w:r>
        <w:t>If you finance your premium through a third-party premium finance company, that company pays Contoso directly and bills you under the terms of your financing agreement. A default on a premium finance agreement can result in cancellation of this policy by the finance company under a limited power of attorney you grant them; review your financing agreement carefully before signing it.</w:t>
      </w:r>
    </w:p>
    <w:p>
      <w:pPr>
        <w:spacing w:before="200" w:after="80"/>
      </w:pPr>
      <w:r>
        <w:rPr>
          <w:b/>
          <w:color w:val="142C52"/>
          <w:sz w:val="24"/>
        </w:rPr>
        <w:t>Annual vs. monthly billing</w:t>
      </w:r>
    </w:p>
    <w:p>
      <w:pPr>
        <w:spacing w:after="120"/>
        <w:jc w:val="both"/>
      </w:pPr>
      <w:r>
        <w:t>Paying annually avoids any installment or processing fees and is reflected in the {{annual_premium}} figure on this schedule. Monthly billing spreads that same amount across the Policy Period for cash-flow convenience, at the billing frequency and any applicable fee shown in your Declarations.</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Billing and Payment Schedule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right"/>
          </w:pPr>
          <w:r>
            <w:rPr>
              <w:b/>
              <w:color w:val="142C52"/>
              <w:sz w:val="18"/>
            </w:rPr>
            <w:t>BILLING</w:t>
          </w:r>
        </w:p>
      </w:tc>
    </w:tr>
  </w:tbl>
  <w:p>
    <w:pPr>
      <w:spacing w:after="200"/>
      <w:pBdr>
        <w:bottom w:val="single" w:sz="24" w:space="1" w:color="142C52"/>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