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Privacy Notice</w:t>
      </w:r>
    </w:p>
    <w:p>
      <w:pPr>
        <w:spacing w:after="120"/>
        <w:jc w:val="both"/>
      </w:pPr>
      <w:r>
        <w:t>Contoso Insurance respects the privacy of {{business_name}} and the information you share with us. This notice explains what we collect, how we use it, and the choices available to you.</w:t>
      </w:r>
    </w:p>
    <w:p>
      <w:pPr>
        <w:spacing w:before="200" w:after="80"/>
      </w:pPr>
      <w:r>
        <w:rPr>
          <w:b/>
          <w:color w:val="142C52"/>
          <w:sz w:val="24"/>
        </w:rPr>
        <w:t>What we collect</w:t>
      </w:r>
    </w:p>
    <w:p>
      <w:pPr>
        <w:spacing w:after="120"/>
        <w:jc w:val="both"/>
      </w:pPr>
      <w:r>
        <w:t>We collect the information you provide on your application, along with information we obtain in the course of underwriting, servicing your policy, and handling any claims, such as loss history and inspection reports.</w:t>
      </w:r>
    </w:p>
    <w:p>
      <w:pPr>
        <w:spacing w:before="200" w:after="80"/>
      </w:pPr>
      <w:r>
        <w:rPr>
          <w:b/>
          <w:color w:val="142C52"/>
          <w:sz w:val="24"/>
        </w:rPr>
        <w:t>How we use it</w:t>
      </w:r>
    </w:p>
    <w:p>
      <w:pPr>
        <w:spacing w:after="120"/>
        <w:jc w:val="both"/>
      </w:pPr>
      <w:r>
        <w:t>We use your information to underwrite, issue, and administer your policy, to process claims, to detect and prevent fraud, and to comply with legal and regulatory requirements.</w:t>
      </w:r>
    </w:p>
    <w:p>
      <w:pPr>
        <w:spacing w:before="200" w:after="80"/>
      </w:pPr>
      <w:r>
        <w:rPr>
          <w:b/>
          <w:color w:val="142C52"/>
          <w:sz w:val="24"/>
        </w:rPr>
        <w:t>Who we share it with</w:t>
      </w:r>
    </w:p>
    <w:p>
      <w:pPr>
        <w:spacing w:after="120"/>
        <w:jc w:val="both"/>
      </w:pPr>
      <w:r>
        <w:t>We share information only as needed with reinsurers, service providers who help us administer your policy, regulators, and as otherwise required or permitted by law. We do not sell your information to third parties for their own marketing purposes.</w:t>
      </w:r>
    </w:p>
    <w:p>
      <w:pPr>
        <w:spacing w:before="200" w:after="80"/>
      </w:pPr>
      <w:r>
        <w:rPr>
          <w:b/>
          <w:color w:val="142C52"/>
          <w:sz w:val="24"/>
        </w:rPr>
        <w:t>Categories of information we collect</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Category</w:t>
            </w:r>
          </w:p>
        </w:tc>
        <w:tc>
          <w:tcPr>
            <w:tcW w:type="dxa" w:w="4968"/>
            <w:vAlign w:val="center"/>
            <w:shd w:val="clear" w:fill="142C52"/>
          </w:tcPr>
          <w:p>
            <w:r/>
            <w:r>
              <w:rPr>
                <w:b/>
                <w:color w:val="FFFFFF"/>
                <w:sz w:val="17"/>
              </w:rPr>
              <w:t>Examples</w:t>
            </w:r>
          </w:p>
        </w:tc>
      </w:tr>
      <w:tr>
        <w:tc>
          <w:tcPr>
            <w:tcW w:type="dxa" w:w="4968"/>
            <w:vAlign w:val="center"/>
          </w:tcPr>
          <w:p>
            <w:r/>
            <w:r>
              <w:rPr>
                <w:b w:val="0"/>
                <w:sz w:val="18"/>
              </w:rPr>
              <w:t>Identification</w:t>
            </w:r>
          </w:p>
        </w:tc>
        <w:tc>
          <w:tcPr>
            <w:tcW w:type="dxa" w:w="4968"/>
            <w:vAlign w:val="center"/>
          </w:tcPr>
          <w:p>
            <w:r/>
            <w:r>
              <w:rPr>
                <w:b w:val="0"/>
                <w:sz w:val="18"/>
              </w:rPr>
              <w:t>Business name, contact name, address, phone, email</w:t>
            </w:r>
          </w:p>
        </w:tc>
      </w:tr>
      <w:tr>
        <w:tc>
          <w:tcPr>
            <w:tcW w:type="dxa" w:w="4968"/>
            <w:vAlign w:val="center"/>
          </w:tcPr>
          <w:p>
            <w:r/>
            <w:r>
              <w:rPr>
                <w:b w:val="0"/>
                <w:sz w:val="18"/>
              </w:rPr>
              <w:t>Application information</w:t>
            </w:r>
          </w:p>
        </w:tc>
        <w:tc>
          <w:tcPr>
            <w:tcW w:type="dxa" w:w="4968"/>
            <w:vAlign w:val="center"/>
          </w:tcPr>
          <w:p>
            <w:r/>
            <w:r>
              <w:rPr>
                <w:b w:val="0"/>
                <w:sz w:val="18"/>
              </w:rPr>
              <w:t>Type of business, years in operation, coverage requested, loss history</w:t>
            </w:r>
          </w:p>
        </w:tc>
      </w:tr>
      <w:tr>
        <w:tc>
          <w:tcPr>
            <w:tcW w:type="dxa" w:w="4968"/>
            <w:vAlign w:val="center"/>
          </w:tcPr>
          <w:p>
            <w:r/>
            <w:r>
              <w:rPr>
                <w:b w:val="0"/>
                <w:sz w:val="18"/>
              </w:rPr>
              <w:t>Policy and billing</w:t>
            </w:r>
          </w:p>
        </w:tc>
        <w:tc>
          <w:tcPr>
            <w:tcW w:type="dxa" w:w="4968"/>
            <w:vAlign w:val="center"/>
          </w:tcPr>
          <w:p>
            <w:r/>
            <w:r>
              <w:rPr>
                <w:b w:val="0"/>
                <w:sz w:val="18"/>
              </w:rPr>
              <w:t>Policy number, premium, payment history, billing preferences</w:t>
            </w:r>
          </w:p>
        </w:tc>
      </w:tr>
      <w:tr>
        <w:tc>
          <w:tcPr>
            <w:tcW w:type="dxa" w:w="4968"/>
            <w:vAlign w:val="center"/>
          </w:tcPr>
          <w:p>
            <w:r/>
            <w:r>
              <w:rPr>
                <w:b w:val="0"/>
                <w:sz w:val="18"/>
              </w:rPr>
              <w:t>Claims information</w:t>
            </w:r>
          </w:p>
        </w:tc>
        <w:tc>
          <w:tcPr>
            <w:tcW w:type="dxa" w:w="4968"/>
            <w:vAlign w:val="center"/>
          </w:tcPr>
          <w:p>
            <w:r/>
            <w:r>
              <w:rPr>
                <w:b w:val="0"/>
                <w:sz w:val="18"/>
              </w:rPr>
              <w:t>Incident details, medical records related to a claim, repair estimates</w:t>
            </w:r>
          </w:p>
        </w:tc>
      </w:tr>
      <w:tr>
        <w:tc>
          <w:tcPr>
            <w:tcW w:type="dxa" w:w="4968"/>
            <w:vAlign w:val="center"/>
          </w:tcPr>
          <w:p>
            <w:r/>
            <w:r>
              <w:rPr>
                <w:b w:val="0"/>
                <w:sz w:val="18"/>
              </w:rPr>
              <w:t>Inspection information</w:t>
            </w:r>
          </w:p>
        </w:tc>
        <w:tc>
          <w:tcPr>
            <w:tcW w:type="dxa" w:w="4968"/>
            <w:vAlign w:val="center"/>
          </w:tcPr>
          <w:p>
            <w:r/>
            <w:r>
              <w:rPr>
                <w:b w:val="0"/>
                <w:sz w:val="18"/>
              </w:rPr>
              <w:t>Property inspection reports, photographs, safety survey results</w:t>
            </w:r>
          </w:p>
        </w:tc>
      </w:tr>
    </w:tbl>
    <w:p/>
    <w:p>
      <w:pPr>
        <w:spacing w:before="200" w:after="80"/>
      </w:pPr>
      <w:r>
        <w:rPr>
          <w:b/>
          <w:color w:val="142C52"/>
          <w:sz w:val="24"/>
        </w:rPr>
        <w:t>How long we keep it</w:t>
      </w:r>
    </w:p>
    <w:p>
      <w:pPr>
        <w:spacing w:after="120"/>
        <w:jc w:val="both"/>
      </w:pPr>
      <w:r>
        <w:t>We retain policy and claims information for as long as needed to administer your policy, handle any claims, and meet legal, regulatory, and audit requirements, which is typically several years after your policy ends or a claim is closed.</w:t>
      </w:r>
    </w:p>
    <w:p>
      <w:pPr>
        <w:spacing w:before="200" w:after="80"/>
      </w:pPr>
      <w:r>
        <w:rPr>
          <w:b/>
          <w:color w:val="142C52"/>
          <w:sz w:val="24"/>
        </w:rPr>
        <w:t>How we protect it</w:t>
      </w:r>
    </w:p>
    <w:p>
      <w:pPr>
        <w:spacing w:after="120"/>
        <w:jc w:val="both"/>
      </w:pPr>
      <w:r>
        <w:t>We maintain administrative, technical, and physical safeguards designed to protect your information against unauthorized access, consistent with applicable law. Access to your information is limited to personnel and service providers who need it to do their jobs.</w:t>
      </w:r>
    </w:p>
    <w:p>
      <w:pPr>
        <w:spacing w:before="200" w:after="80"/>
      </w:pPr>
      <w:r>
        <w:rPr>
          <w:b/>
          <w:color w:val="142C52"/>
          <w:sz w:val="24"/>
        </w:rPr>
        <w:t>State-specific rights</w:t>
      </w:r>
    </w:p>
    <w:p>
      <w:pPr>
        <w:spacing w:after="120"/>
        <w:jc w:val="both"/>
      </w:pPr>
      <w:r>
        <w:t>Depending on where your business is located, you may have additional rights under state privacy law, such as the right to request a copy of the information we hold about you or to request correction of inaccurate information. Contact us using the information below to exercise these rights.</w:t>
      </w:r>
    </w:p>
    <w:p>
      <w:pPr>
        <w:spacing w:before="200" w:after="80"/>
      </w:pPr>
      <w:r>
        <w:rPr>
          <w:b/>
          <w:color w:val="142C52"/>
          <w:sz w:val="24"/>
        </w:rPr>
        <w:t>Your choices</w:t>
      </w:r>
    </w:p>
    <w:p>
      <w:pPr>
        <w:spacing w:after="120"/>
        <w:jc w:val="both"/>
      </w:pPr>
      <w:r>
        <w:t>You may opt out of marketing communications at any time by contacting your agent or the number on your welcome letter. Opting out will not affect your coverage.</w:t>
      </w:r>
    </w:p>
    <w:p>
      <w:pPr>
        <w:spacing w:before="200" w:after="80"/>
      </w:pPr>
      <w:r>
        <w:rPr>
          <w:b/>
          <w:color w:val="142C52"/>
          <w:sz w:val="24"/>
        </w:rPr>
        <w:t>Service providers we work with</w:t>
      </w:r>
    </w:p>
    <w:p>
      <w:pPr>
        <w:spacing w:after="120"/>
        <w:jc w:val="both"/>
      </w:pPr>
      <w:r>
        <w:t>We share information, as needed and under confidentiality obligations, with categories of service providers including claims administrators, inspection and appraisal firms, reinsurers, printing and mailing vendors, and technology providers who host our systems.</w:t>
      </w:r>
    </w:p>
    <w:p>
      <w:pPr>
        <w:spacing w:before="200" w:after="80"/>
      </w:pPr>
      <w:r>
        <w:rPr>
          <w:b/>
          <w:color w:val="142C52"/>
          <w:sz w:val="24"/>
        </w:rPr>
        <w:t>Changes to this notice</w:t>
      </w:r>
    </w:p>
    <w:p>
      <w:pPr>
        <w:spacing w:after="120"/>
        <w:jc w:val="both"/>
      </w:pPr>
      <w:r>
        <w:t>We may update this notice from time to time to reflect changes in our practices or in the law. The version in effect at any time is available on request and is provided with each new or renewed policy.</w:t>
      </w:r>
    </w:p>
    <w:p>
      <w:r>
        <w:br w:type="page"/>
      </w:r>
    </w:p>
    <w:p>
      <w:pPr>
        <w:spacing w:before="200" w:after="80"/>
      </w:pPr>
      <w:r>
        <w:rPr>
          <w:b/>
          <w:color w:val="142C52"/>
          <w:sz w:val="24"/>
        </w:rPr>
        <w:t>Cross-border and affiliate sharing</w:t>
      </w:r>
    </w:p>
    <w:p>
      <w:pPr>
        <w:spacing w:after="120"/>
        <w:jc w:val="both"/>
      </w:pPr>
      <w:r>
        <w:t>If Contoso Insurance works with reinsurers or service providers located outside your state or country, your information may be processed there, subject to confidentiality obligations and applicable law. We do not share your information with affiliated companies for their own independent marketing without your consent.</w:t>
      </w:r>
    </w:p>
    <w:p>
      <w:pPr>
        <w:spacing w:before="200" w:after="80"/>
      </w:pPr>
      <w:r>
        <w:rPr>
          <w:b/>
          <w:color w:val="142C52"/>
          <w:sz w:val="24"/>
        </w:rPr>
        <w:t>Contact us</w:t>
      </w:r>
    </w:p>
    <w:p>
      <w:pPr>
        <w:spacing w:after="120"/>
        <w:jc w:val="both"/>
      </w:pPr>
      <w:r>
        <w:t>Questions about this notice can be directed to Contoso Insurance's privacy office at the address and phone number in the footer of this document.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Privacy Notice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right"/>
          </w:pPr>
          <w:r>
            <w:rPr>
              <w:b/>
              <w:color w:val="142C52"/>
              <w:sz w:val="18"/>
            </w:rPr>
            <w:t>PRIVACY NOTICE</w:t>
          </w:r>
        </w:p>
      </w:tc>
    </w:tr>
  </w:tbl>
  <w:p>
    <w:pPr>
      <w:spacing w:after="200"/>
      <w:pBdr>
        <w:bottom w:val="single" w:sz="24" w:space="1" w:color="142C5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