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Business Liability Coverage Form</w:t>
      </w:r>
    </w:p>
    <w:p>
      <w:pPr>
        <w:spacing w:after="120"/>
        <w:jc w:val="both"/>
      </w:pPr>
      <w:r>
        <w:t>This form is attached to and made part of policy {{policy_number}} issued to {{business_name}}. Various provisions in this form restrict coverage. Read the entire form carefully to determine your rights, duties, and what is and is not covered. Throughout this form, “you” and “your” refer to the Named Insured shown in the Declarations, and “we,” “us,” and “our” refer to Contoso Insurance.</w:t>
      </w:r>
    </w:p>
    <w:p>
      <w:pPr>
        <w:spacing w:before="200" w:after="80"/>
      </w:pPr>
      <w:r>
        <w:rPr>
          <w:b/>
          <w:color w:val="142C52"/>
          <w:sz w:val="24"/>
        </w:rPr>
        <w:t>SECTION 1 -- INSURING AGREEMENT</w:t>
      </w:r>
    </w:p>
    <w:p>
      <w:pPr>
        <w:spacing w:after="120"/>
        <w:jc w:val="both"/>
      </w:pPr>
      <w:r>
        <w:rPr>
          <w:b/>
          <w:color w:val="142C52"/>
        </w:rPr>
        <w:t xml:space="preserve">1.1  </w:t>
      </w:r>
      <w:r>
        <w:t>We will pay those sums {{business_name}} becomes legally obligated to pay as damages because of bodily injury or property damage to which this insurance applies, caused by an occurrence arising out of your business operations during the Policy Period and within the coverage territory.</w:t>
      </w:r>
    </w:p>
    <w:p>
      <w:pPr>
        <w:spacing w:after="120"/>
        <w:jc w:val="both"/>
      </w:pPr>
      <w:r>
        <w:rPr>
          <w:b/>
          <w:color w:val="142C52"/>
        </w:rPr>
        <w:t xml:space="preserve">1.2  </w:t>
      </w:r>
      <w:r>
        <w:t>We will have the right and duty to defend any suit seeking those damages, even if the allegations are groundless, false, or fraudulent, but we have no duty to defend after our Limit of Insurance has been exhausted by payment of judgments or settlements.</w:t>
      </w:r>
    </w:p>
    <w:p>
      <w:pPr>
        <w:spacing w:after="120"/>
        <w:jc w:val="both"/>
      </w:pPr>
      <w:r>
        <w:rPr>
          <w:b/>
          <w:color w:val="142C52"/>
        </w:rPr>
        <w:t xml:space="preserve">1.3  </w:t>
      </w:r>
      <w:r>
        <w:t>This insurance applies to bodily injury or property damage only if the occurrence that caused it takes place within the coverage territory and during the Policy Period.</w:t>
      </w:r>
    </w:p>
    <w:p>
      <w:pPr>
        <w:spacing w:before="200" w:after="80"/>
      </w:pPr>
      <w:r>
        <w:rPr>
          <w:b/>
          <w:color w:val="142C52"/>
          <w:sz w:val="24"/>
        </w:rPr>
        <w:t>1.4  Supplementary payments</w:t>
      </w:r>
    </w:p>
    <w:p>
      <w:pPr>
        <w:spacing w:after="120"/>
        <w:jc w:val="both"/>
      </w:pPr>
      <w:r>
        <w:t>In addition to the Limit of Insurance, we will pay, with respect to any claim or suit we defend:</w:t>
      </w:r>
    </w:p>
    <w:p>
      <w:pPr>
        <w:pStyle w:val="ListBullet"/>
      </w:pPr>
      <w:r>
        <w:t>All expenses we incur in the investigation or defense of the claim or suit.</w:t>
      </w:r>
    </w:p>
    <w:p>
      <w:pPr>
        <w:pStyle w:val="ListBullet"/>
      </w:pPr>
      <w:r>
        <w:t>The cost of bonds to release attachments, but only for bond amounts within our Limit of Insurance, and the cost of appeal bonds required in a suit we defend.</w:t>
      </w:r>
    </w:p>
    <w:p>
      <w:pPr>
        <w:pStyle w:val="ListBullet"/>
      </w:pPr>
      <w:r>
        <w:t>All reasonable expenses incurred by the insured at our request in helping us investigate or defend a claim, including actual loss of earnings up to a stated daily amount.</w:t>
      </w:r>
    </w:p>
    <w:p>
      <w:pPr>
        <w:pStyle w:val="ListBullet"/>
      </w:pPr>
      <w:r>
        <w:t>All costs taxed against the insured in a suit we defend.</w:t>
      </w:r>
    </w:p>
    <w:p>
      <w:pPr>
        <w:pStyle w:val="ListBullet"/>
      </w:pPr>
      <w:r>
        <w:t>Prejudgment interest awarded against the insured on that part of a judgment we pay.</w:t>
      </w:r>
    </w:p>
    <w:p>
      <w:pPr>
        <w:pStyle w:val="ListBullet"/>
      </w:pPr>
      <w:r>
        <w:t>Interest on the full amount of any judgment that accrues after entry of judgment and before we have paid or tendered the applicable Limit of Insurance.</w:t>
      </w:r>
    </w:p>
    <w:p>
      <w:pPr>
        <w:spacing w:before="200" w:after="80"/>
      </w:pPr>
      <w:r>
        <w:rPr>
          <w:b/>
          <w:color w:val="142C52"/>
          <w:sz w:val="24"/>
        </w:rPr>
        <w:t>SECTION 2 -- EXCLUSIONS</w:t>
      </w:r>
    </w:p>
    <w:p>
      <w:pPr>
        <w:spacing w:after="120"/>
        <w:jc w:val="both"/>
      </w:pPr>
      <w:r>
        <w:t>This insurance does not apply to:</w:t>
      </w:r>
    </w:p>
    <w:p>
      <w:pPr>
        <w:pStyle w:val="ListBullet"/>
      </w:pPr>
      <w:r>
        <w:t>Bodily injury or property damage expected or intended by the insured, except damage resulting from the use of reasonable force to protect persons or property.</w:t>
      </w:r>
    </w:p>
    <w:p>
      <w:pPr>
        <w:pStyle w:val="ListBullet"/>
      </w:pPr>
      <w:r>
        <w:t>Liability assumed under any contract or agreement, except a contract that specifically assumes liability you would have had anyway.</w:t>
      </w:r>
    </w:p>
    <w:p>
      <w:pPr>
        <w:pStyle w:val="ListBullet"/>
      </w:pPr>
      <w:r>
        <w:t>Damage to property you own, rent, or occupy, or property in your care, custody, or control.</w:t>
      </w:r>
    </w:p>
    <w:p>
      <w:pPr>
        <w:pStyle w:val="ListBullet"/>
      </w:pPr>
      <w:r>
        <w:t>Injury to your employees arising out of their employment, which is addressed instead under your workers' compensation coverage, if purchased.</w:t>
      </w:r>
    </w:p>
    <w:p>
      <w:pPr>
        <w:pStyle w:val="ListBullet"/>
      </w:pPr>
      <w:r>
        <w:t>War, including undeclared or civil war, insurrection, rebellion, revolution, or warlike action by a military force.</w:t>
      </w:r>
    </w:p>
    <w:p>
      <w:pPr>
        <w:pStyle w:val="ListBullet"/>
      </w:pPr>
      <w:r>
        <w:t>Damage arising out of the ownership, maintenance, or use of a covered auto, which is addressed instead under your commercial vehicle coverage, if purchased.</w:t>
      </w:r>
    </w:p>
    <w:p>
      <w:pPr>
        <w:pStyle w:val="ListBullet"/>
      </w:pPr>
      <w:r>
        <w:t>Pollution, meaning the actual, alleged, or threatened discharge, dispersal, release, or escape of pollutants, except as specifically provided by endorsement.</w:t>
      </w:r>
    </w:p>
    <w:p>
      <w:pPr>
        <w:pStyle w:val="ListBullet"/>
      </w:pPr>
      <w:r>
        <w:t>Professional services, including giving or failing to give advice, consultation, design, or specification, where such services are the insured's trade or business and not incidental to it.</w:t>
      </w:r>
    </w:p>
    <w:p>
      <w:pPr>
        <w:pStyle w:val="ListBullet"/>
      </w:pPr>
      <w:r>
        <w:t>Damage to your product arising out of the product itself, or the cost of recalling, withdrawing, or disposing of your product because of a known or suspected defect.</w:t>
      </w:r>
    </w:p>
    <w:p>
      <w:pPr>
        <w:pStyle w:val="ListBullet"/>
      </w:pPr>
      <w:r>
        <w:t>Damage to your work arising out of your work itself once completed, except when the damaged work or the work out of which the damage arises was performed by a subcontractor on your behalf.</w:t>
      </w:r>
    </w:p>
    <w:p>
      <w:pPr>
        <w:pStyle w:val="ListBullet"/>
      </w:pPr>
      <w:r>
        <w:t>Liability arising out of the actual or threatened unauthorized access to, or disclosure of, personal or confidential information, including resulting reputational harm.</w:t>
      </w:r>
    </w:p>
    <w:p>
      <w:pPr>
        <w:pStyle w:val="ListBullet"/>
      </w:pPr>
      <w:r>
        <w:t>Employment-related practices, including refusal to employ, termination, coercion, demotion, harassment, discrimination, or retaliation against an employee.</w:t>
      </w:r>
    </w:p>
    <w:p>
      <w:pPr>
        <w:pStyle w:val="ListBullet"/>
      </w:pPr>
      <w:r>
        <w:t>Liability arising out of the ownership, operation, or use of any aircraft or watercraft owned, operated, or hired by the insured, except a watercraft not owned by the insured while ashore.</w:t>
      </w:r>
    </w:p>
    <w:p>
      <w:pPr>
        <w:pStyle w:val="ListBullet"/>
      </w:pPr>
      <w:r>
        <w:t>Damage arising out of asbestos, including its presence or removal, in any form.</w:t>
      </w:r>
    </w:p>
    <w:p>
      <w:pPr>
        <w:pStyle w:val="ListBullet"/>
      </w:pPr>
      <w:r>
        <w:t>Liquor liability, meaning liability for causing or contributing to a person's intoxication, or for furnishing alcoholic beverages to a minor, where the insured is in the business of selling or serving alcohol.</w:t>
      </w:r>
    </w:p>
    <w:p>
      <w:pPr>
        <w:spacing w:before="200" w:after="80"/>
      </w:pPr>
      <w:r>
        <w:rPr>
          <w:b/>
          <w:color w:val="142C52"/>
          <w:sz w:val="24"/>
        </w:rPr>
        <w:t>SECTION 3 -- WHO IS AN INSURED</w:t>
      </w:r>
    </w:p>
    <w:p>
      <w:pPr>
        <w:spacing w:after="120"/>
        <w:jc w:val="both"/>
      </w:pPr>
      <w:r>
        <w:rPr>
          <w:b/>
          <w:color w:val="142C52"/>
        </w:rPr>
        <w:t xml:space="preserve">3.1  </w:t>
      </w:r>
      <w:r>
        <w:t>{{business_name}} as shown in the Declarations, and any of its executive officers, directors, stockholders, or employees, but only while acting within the scope of their duties.</w:t>
      </w:r>
    </w:p>
    <w:p>
      <w:pPr>
        <w:spacing w:after="120"/>
        <w:jc w:val="both"/>
      </w:pPr>
      <w:r>
        <w:rPr>
          <w:b/>
          <w:color w:val="142C52"/>
        </w:rPr>
        <w:t xml:space="preserve">3.2  </w:t>
      </w:r>
      <w:r>
        <w:t>Any person or organization newly acquired or formed by you during the Policy Period is an insured, provided you have majority ownership interest, no other similar insurance applies, and coverage ends 180 days after acquisition unless you report the acquisition to us.</w:t>
      </w:r>
    </w:p>
    <w:p>
      <w:pPr>
        <w:spacing w:after="120"/>
        <w:jc w:val="both"/>
      </w:pPr>
      <w:r>
        <w:rPr>
          <w:b/>
          <w:color w:val="142C52"/>
        </w:rPr>
        <w:t xml:space="preserve">3.3  </w:t>
      </w:r>
      <w:r>
        <w:t>Any person acting as your real estate manager is an insured, but only with respect to their duties as such on your behalf.</w:t>
      </w:r>
    </w:p>
    <w:p>
      <w:pPr>
        <w:spacing w:after="120"/>
        <w:jc w:val="both"/>
      </w:pPr>
      <w:r>
        <w:rPr>
          <w:b/>
          <w:color w:val="142C52"/>
        </w:rPr>
        <w:t xml:space="preserve">3.4  </w:t>
      </w:r>
      <w:r>
        <w:t>A volunteer worker is an insured while acting at your direction and within the scope of their duties, but is not an employee for purposes of workers' compensation or employee-related exclusions.</w:t>
      </w:r>
    </w:p>
    <w:p>
      <w:pPr>
        <w:spacing w:before="200" w:after="80"/>
      </w:pPr>
      <w:r>
        <w:rPr>
          <w:b/>
          <w:color w:val="142C52"/>
          <w:sz w:val="24"/>
        </w:rPr>
        <w:t>SECTION 4 -- LIMITS OF INSURANCE</w:t>
      </w:r>
    </w:p>
    <w:p>
      <w:pPr>
        <w:spacing w:after="120"/>
        <w:jc w:val="both"/>
      </w:pPr>
      <w:r>
        <w:t>The Limits of Insurance shown in the table below are the most we will pay regardless of the number of insureds, claims made, or suits brought.</w:t>
      </w:r>
    </w:p>
    <w:tbl>
      <w:tblPr>
        <w:tblStyle w:val="TableGrid"/>
        <w:tblW w:type="auto" w:w="0"/>
        <w:tblLook w:firstColumn="1" w:firstRow="1" w:lastColumn="0" w:lastRow="0" w:noHBand="0" w:noVBand="1" w:val="04A0"/>
      </w:tblPr>
      <w:tblGrid>
        <w:gridCol w:w="4968"/>
        <w:gridCol w:w="4968"/>
      </w:tblGrid>
      <w:tr>
        <w:tc>
          <w:tcPr>
            <w:tcW w:type="dxa" w:w="4968"/>
            <w:vAlign w:val="center"/>
            <w:shd w:val="clear" w:fill="142C52"/>
          </w:tcPr>
          <w:p>
            <w:r/>
            <w:r>
              <w:rPr>
                <w:b/>
                <w:color w:val="FFFFFF"/>
                <w:sz w:val="17"/>
              </w:rPr>
              <w:t>Coverage</w:t>
            </w:r>
          </w:p>
        </w:tc>
        <w:tc>
          <w:tcPr>
            <w:tcW w:type="dxa" w:w="4968"/>
            <w:vAlign w:val="center"/>
            <w:shd w:val="clear" w:fill="142C52"/>
          </w:tcPr>
          <w:p>
            <w:r/>
            <w:r>
              <w:rPr>
                <w:b/>
                <w:color w:val="FFFFFF"/>
                <w:sz w:val="17"/>
              </w:rPr>
              <w:t>Limit</w:t>
            </w:r>
          </w:p>
        </w:tc>
      </w:tr>
      <w:tr>
        <w:tc>
          <w:tcPr>
            <w:tcW w:type="dxa" w:w="4968"/>
            <w:vAlign w:val="center"/>
          </w:tcPr>
          <w:p>
            <w:r/>
            <w:r>
              <w:rPr>
                <w:b w:val="0"/>
                <w:sz w:val="18"/>
              </w:rPr>
              <w:t>Each Occurrence Limit</w:t>
            </w:r>
          </w:p>
        </w:tc>
        <w:tc>
          <w:tcPr>
            <w:tcW w:type="dxa" w:w="4968"/>
            <w:vAlign w:val="center"/>
          </w:tcPr>
          <w:p>
            <w:r/>
            <w:r>
              <w:rPr>
                <w:b w:val="0"/>
                <w:sz w:val="18"/>
              </w:rPr>
              <w:t>{{liability_limit}}</w:t>
            </w:r>
          </w:p>
        </w:tc>
      </w:tr>
      <w:tr>
        <w:tc>
          <w:tcPr>
            <w:tcW w:type="dxa" w:w="4968"/>
            <w:vAlign w:val="center"/>
          </w:tcPr>
          <w:p>
            <w:r/>
            <w:r>
              <w:rPr>
                <w:b w:val="0"/>
                <w:sz w:val="18"/>
              </w:rPr>
              <w:t>Damage to Premises Rented to You</w:t>
            </w:r>
          </w:p>
        </w:tc>
        <w:tc>
          <w:tcPr>
            <w:tcW w:type="dxa" w:w="4968"/>
            <w:vAlign w:val="center"/>
          </w:tcPr>
          <w:p>
            <w:r/>
            <w:r>
              <w:rPr>
                <w:b w:val="0"/>
                <w:sz w:val="18"/>
              </w:rPr>
              <w:t>$100,000 any one premises</w:t>
            </w:r>
          </w:p>
        </w:tc>
      </w:tr>
      <w:tr>
        <w:tc>
          <w:tcPr>
            <w:tcW w:type="dxa" w:w="4968"/>
            <w:vAlign w:val="center"/>
          </w:tcPr>
          <w:p>
            <w:r/>
            <w:r>
              <w:rPr>
                <w:b w:val="0"/>
                <w:sz w:val="18"/>
              </w:rPr>
              <w:t>Medical Expense Limit</w:t>
            </w:r>
          </w:p>
        </w:tc>
        <w:tc>
          <w:tcPr>
            <w:tcW w:type="dxa" w:w="4968"/>
            <w:vAlign w:val="center"/>
          </w:tcPr>
          <w:p>
            <w:r/>
            <w:r>
              <w:rPr>
                <w:b w:val="0"/>
                <w:sz w:val="18"/>
              </w:rPr>
              <w:t>$5,000 any one person</w:t>
            </w:r>
          </w:p>
        </w:tc>
      </w:tr>
      <w:tr>
        <w:tc>
          <w:tcPr>
            <w:tcW w:type="dxa" w:w="4968"/>
            <w:vAlign w:val="center"/>
          </w:tcPr>
          <w:p>
            <w:r/>
            <w:r>
              <w:rPr>
                <w:b w:val="0"/>
                <w:sz w:val="18"/>
              </w:rPr>
              <w:t>Personal and Advertising Injury Limit</w:t>
            </w:r>
          </w:p>
        </w:tc>
        <w:tc>
          <w:tcPr>
            <w:tcW w:type="dxa" w:w="4968"/>
            <w:vAlign w:val="center"/>
          </w:tcPr>
          <w:p>
            <w:r/>
            <w:r>
              <w:rPr>
                <w:b w:val="0"/>
                <w:sz w:val="18"/>
              </w:rPr>
              <w:t>{{liability_limit}}, per person or organization</w:t>
            </w:r>
          </w:p>
        </w:tc>
      </w:tr>
      <w:tr>
        <w:tc>
          <w:tcPr>
            <w:tcW w:type="dxa" w:w="4968"/>
            <w:vAlign w:val="center"/>
          </w:tcPr>
          <w:p>
            <w:r/>
            <w:r>
              <w:rPr>
                <w:b w:val="0"/>
                <w:sz w:val="18"/>
              </w:rPr>
              <w:t>General Aggregate Limit</w:t>
            </w:r>
          </w:p>
        </w:tc>
        <w:tc>
          <w:tcPr>
            <w:tcW w:type="dxa" w:w="4968"/>
            <w:vAlign w:val="center"/>
          </w:tcPr>
          <w:p>
            <w:r/>
            <w:r>
              <w:rPr>
                <w:b w:val="0"/>
                <w:sz w:val="18"/>
              </w:rPr>
              <w:t>Two times the Each Occurrence Limit</w:t>
            </w:r>
          </w:p>
        </w:tc>
      </w:tr>
      <w:tr>
        <w:tc>
          <w:tcPr>
            <w:tcW w:type="dxa" w:w="4968"/>
            <w:vAlign w:val="center"/>
          </w:tcPr>
          <w:p>
            <w:r/>
            <w:r>
              <w:rPr>
                <w:b w:val="0"/>
                <w:sz w:val="18"/>
              </w:rPr>
              <w:t>Products-Completed Operations Aggregate</w:t>
            </w:r>
          </w:p>
        </w:tc>
        <w:tc>
          <w:tcPr>
            <w:tcW w:type="dxa" w:w="4968"/>
            <w:vAlign w:val="center"/>
          </w:tcPr>
          <w:p>
            <w:r/>
            <w:r>
              <w:rPr>
                <w:b w:val="0"/>
                <w:sz w:val="18"/>
              </w:rPr>
              <w:t>Two times the Each Occurrence Limit</w:t>
            </w:r>
          </w:p>
        </w:tc>
      </w:tr>
    </w:tbl>
    <w:p/>
    <w:p>
      <w:pPr>
        <w:spacing w:after="120"/>
        <w:jc w:val="both"/>
      </w:pPr>
      <w:r>
        <w:t>The General Aggregate Limit is the most we will pay for the sum of all damages under this form, except damages included in the Products-Completed Operations Aggregate, regardless of the number of insureds, claims, or suits. Both aggregate limits reset at the start of each annual Policy Period.</w:t>
      </w:r>
    </w:p>
    <w:p>
      <w:pPr>
        <w:spacing w:before="200" w:after="80"/>
      </w:pPr>
      <w:r>
        <w:rPr>
          <w:b/>
          <w:color w:val="142C52"/>
          <w:sz w:val="24"/>
        </w:rPr>
        <w:t>SECTION 5 -- DEFINITIONS</w:t>
      </w:r>
    </w:p>
    <w:p>
      <w:pPr>
        <w:spacing w:after="120"/>
        <w:jc w:val="both"/>
      </w:pPr>
      <w:r>
        <w:rPr>
          <w:b/>
          <w:color w:val="142C52"/>
        </w:rPr>
        <w:t xml:space="preserve">5.1  </w:t>
      </w:r>
      <w:r>
        <w:t>“Advertisement” means a notice broadcast or published to the general public about your goods, products, or services for the purpose of attracting customers.</w:t>
      </w:r>
    </w:p>
    <w:p>
      <w:pPr>
        <w:spacing w:after="120"/>
        <w:jc w:val="both"/>
      </w:pPr>
      <w:r>
        <w:rPr>
          <w:b/>
          <w:color w:val="142C52"/>
        </w:rPr>
        <w:t xml:space="preserve">5.2  </w:t>
      </w:r>
      <w:r>
        <w:t>“Coverage territory” means the United States of America, its territories and possessions, Puerto Rico, and Canada.</w:t>
      </w:r>
    </w:p>
    <w:p>
      <w:pPr>
        <w:spacing w:after="120"/>
        <w:jc w:val="both"/>
      </w:pPr>
      <w:r>
        <w:rPr>
          <w:b/>
          <w:color w:val="142C52"/>
        </w:rPr>
        <w:t xml:space="preserve">5.3  </w:t>
      </w:r>
      <w:r>
        <w:t>“Executive officer” means a person holding any officer position created by your charter, constitution, bylaws, or similar governing document.</w:t>
      </w:r>
    </w:p>
    <w:p>
      <w:pPr>
        <w:spacing w:after="120"/>
        <w:jc w:val="both"/>
      </w:pPr>
      <w:r>
        <w:rPr>
          <w:b/>
          <w:color w:val="142C52"/>
        </w:rPr>
        <w:t xml:space="preserve">5.4  </w:t>
      </w:r>
      <w:r>
        <w:t>“Hostile fire” means one that becomes uncontrollable or breaks out from where it was intended to be.</w:t>
      </w:r>
    </w:p>
    <w:p>
      <w:pPr>
        <w:spacing w:after="120"/>
        <w:jc w:val="both"/>
      </w:pPr>
      <w:r>
        <w:rPr>
          <w:b/>
          <w:color w:val="142C52"/>
        </w:rPr>
        <w:t xml:space="preserve">5.5  </w:t>
      </w:r>
      <w:r>
        <w:t>“Impaired property” means tangible property, other than your product or your work, that cannot be used because it incorporates your product or your work that is known or thought to be defective, deficient, or dangerous.</w:t>
      </w:r>
    </w:p>
    <w:p>
      <w:pPr>
        <w:spacing w:after="120"/>
        <w:jc w:val="both"/>
      </w:pPr>
      <w:r>
        <w:rPr>
          <w:b/>
          <w:color w:val="142C52"/>
        </w:rPr>
        <w:t xml:space="preserve">5.6  </w:t>
      </w:r>
      <w:r>
        <w:t>“Insured contract” means a contract under which you assume the tort liability of another to pay damages for bodily injury or property damage to a third person.</w:t>
      </w:r>
    </w:p>
    <w:p>
      <w:pPr>
        <w:spacing w:after="120"/>
        <w:jc w:val="both"/>
      </w:pPr>
      <w:r>
        <w:rPr>
          <w:b/>
          <w:color w:val="142C52"/>
        </w:rPr>
        <w:t xml:space="preserve">5.7  </w:t>
      </w:r>
      <w:r>
        <w:t>“Loading or unloading” means the handling of property after it is moved from the place where it is accepted for movement, until it is moved to the place where it is finally delivered.</w:t>
      </w:r>
    </w:p>
    <w:p>
      <w:pPr>
        <w:spacing w:after="120"/>
        <w:jc w:val="both"/>
      </w:pPr>
      <w:r>
        <w:rPr>
          <w:b/>
          <w:color w:val="142C52"/>
        </w:rPr>
        <w:t xml:space="preserve">5.8  </w:t>
      </w:r>
      <w:r>
        <w:t>“Mobile equipment” means land vehicles, including attached machinery or equipment, that are not designed for highway use, or are kept for use exclusively on or next to the described premises.</w:t>
      </w:r>
    </w:p>
    <w:p>
      <w:pPr>
        <w:spacing w:after="120"/>
        <w:jc w:val="both"/>
      </w:pPr>
      <w:r>
        <w:rPr>
          <w:b/>
          <w:color w:val="142C52"/>
        </w:rPr>
        <w:t xml:space="preserve">5.9  </w:t>
      </w:r>
      <w:r>
        <w:t>“Personal and advertising injury” means injury arising out of false arrest, malicious prosecution, wrongful eviction, slander, libel, or infringement of copyright or slogan in your advertisement.</w:t>
      </w:r>
    </w:p>
    <w:p>
      <w:pPr>
        <w:spacing w:after="120"/>
        <w:jc w:val="both"/>
      </w:pPr>
      <w:r>
        <w:rPr>
          <w:b/>
          <w:color w:val="142C52"/>
        </w:rPr>
        <w:t xml:space="preserve">5.10  </w:t>
      </w:r>
      <w:r>
        <w:t>“Products-completed operations hazard” means bodily injury or property damage arising out of your product or your work, except products or work still in your physical possession or not yet completed.</w:t>
      </w:r>
    </w:p>
    <w:p>
      <w:pPr>
        <w:spacing w:after="120"/>
        <w:jc w:val="both"/>
      </w:pPr>
      <w:r>
        <w:rPr>
          <w:b/>
          <w:color w:val="142C52"/>
        </w:rPr>
        <w:t xml:space="preserve">5.11  </w:t>
      </w:r>
      <w:r>
        <w:t>“Your product” means any goods or products you manufacture, sell, handle, or distribute, including warranties or representations made about its fitness or quality.</w:t>
      </w:r>
    </w:p>
    <w:p>
      <w:pPr>
        <w:spacing w:after="120"/>
        <w:jc w:val="both"/>
      </w:pPr>
      <w:r>
        <w:rPr>
          <w:b/>
          <w:color w:val="142C52"/>
        </w:rPr>
        <w:t xml:space="preserve">5.12  </w:t>
      </w:r>
      <w:r>
        <w:t>“Your work” means work or operations performed by you or on your behalf, including materials, parts, or equipment furnished in connection with that work.</w:t>
      </w:r>
    </w:p>
    <w:p>
      <w:pPr>
        <w:spacing w:before="200" w:after="80"/>
      </w:pPr>
      <w:r>
        <w:rPr>
          <w:b/>
          <w:color w:val="142C52"/>
          <w:sz w:val="24"/>
        </w:rPr>
        <w:t>SECTION 6 -- CONDITIONS SPECIFIC TO THIS COVERAGE FORM</w:t>
      </w:r>
    </w:p>
    <w:p>
      <w:pPr>
        <w:spacing w:after="120"/>
        <w:jc w:val="both"/>
      </w:pPr>
      <w:r>
        <w:rPr>
          <w:b/>
          <w:color w:val="142C52"/>
        </w:rPr>
        <w:t xml:space="preserve">6.1  </w:t>
      </w:r>
      <w:r>
        <w:t>Duties in the event of an occurrence, claim, or suit. You must notify us as soon as practicable of an occurrence that may result in a claim, and immediately forward to us every demand, notice, or legal paper received in connection with a claim or suit.</w:t>
      </w:r>
    </w:p>
    <w:p>
      <w:pPr>
        <w:spacing w:after="120"/>
        <w:jc w:val="both"/>
      </w:pPr>
      <w:r>
        <w:rPr>
          <w:b/>
          <w:color w:val="142C52"/>
        </w:rPr>
        <w:t xml:space="preserve">6.2  </w:t>
      </w:r>
      <w:r>
        <w:t>No one may bring a legal action against us under this coverage form unless there has been full compliance with all its terms, and the amount of the insured's obligation has been finally determined by judgment, settlement with our consent, or agreement.</w:t>
      </w:r>
    </w:p>
    <w:p>
      <w:pPr>
        <w:spacing w:after="120"/>
        <w:jc w:val="both"/>
      </w:pPr>
      <w:r>
        <w:rPr>
          <w:b/>
          <w:color w:val="142C52"/>
        </w:rPr>
        <w:t xml:space="preserve">6.3  </w:t>
      </w:r>
      <w:r>
        <w:t>Other insurance. If other valid and collectible insurance is available for a loss covered under this form, our obligations are limited as described in the policy's General Conditions.</w:t>
      </w:r>
    </w:p>
    <w:p>
      <w:pPr>
        <w:spacing w:after="120"/>
        <w:jc w:val="both"/>
      </w:pPr>
      <w:r>
        <w:rPr>
          <w:b/>
          <w:color w:val="142C52"/>
        </w:rPr>
        <w:t xml:space="preserve">6.4  </w:t>
      </w:r>
      <w:r>
        <w:t>Transfer of rights of recovery. If an insured has rights to recover all or part of a payment we made under this form, those rights are transferred to us, and the insured must do nothing to impair them.</w:t>
      </w:r>
    </w:p>
    <w:p>
      <w:pPr>
        <w:spacing w:after="120"/>
        <w:jc w:val="both"/>
      </w:pPr>
      <w:r>
        <w:rPr>
          <w:b/>
          <w:color w:val="142C52"/>
        </w:rPr>
        <w:t xml:space="preserve">6.5  </w:t>
      </w:r>
      <w:r>
        <w:t>Representations. By accepting this coverage form, you agree that the statements in your application are accurate and complete, that we have issued this form in reliance on those statements, and that this form embodies all agreements between you and us relating to this coverage.</w:t>
      </w:r>
    </w:p>
    <w:p>
      <w:pPr>
        <w:spacing w:before="200" w:after="80"/>
      </w:pPr>
      <w:r>
        <w:rPr>
          <w:b/>
          <w:color w:val="142C52"/>
          <w:sz w:val="24"/>
        </w:rPr>
        <w:t>SECTION 7 -- COVERAGE EXTENSIONS</w:t>
      </w:r>
    </w:p>
    <w:p>
      <w:pPr>
        <w:spacing w:after="120"/>
        <w:jc w:val="both"/>
      </w:pPr>
      <w:r>
        <w:t>The following extensions apply automatically, at no additional premium, unless removed by endorsement:</w:t>
      </w:r>
    </w:p>
    <w:p>
      <w:pPr>
        <w:spacing w:before="200" w:after="80"/>
      </w:pPr>
      <w:r>
        <w:rPr>
          <w:b/>
          <w:color w:val="142C52"/>
          <w:sz w:val="21"/>
        </w:rPr>
        <w:t>7.1  Newly formed or acquired organizations</w:t>
      </w:r>
    </w:p>
    <w:p>
      <w:pPr>
        <w:spacing w:after="120"/>
        <w:jc w:val="both"/>
      </w:pPr>
      <w:r>
        <w:t>Coverage automatically extends to any organization you newly form or acquire during the Policy Period, other than a partnership, joint venture, or limited liability partnership, for 180 days or until the end of the Policy Period, whichever is earlier, subject to the Limits of Insurance shown in the Declarations.</w:t>
      </w:r>
    </w:p>
    <w:p>
      <w:pPr>
        <w:spacing w:before="200" w:after="80"/>
      </w:pPr>
      <w:r>
        <w:rPr>
          <w:b/>
          <w:color w:val="142C52"/>
          <w:sz w:val="21"/>
        </w:rPr>
        <w:t>7.2  Additional insured by contract</w:t>
      </w:r>
    </w:p>
    <w:p>
      <w:pPr>
        <w:spacing w:after="120"/>
        <w:jc w:val="both"/>
      </w:pPr>
      <w:r>
        <w:t>If you are required by a written contract to add another person or organization as an additional insured, that person or organization is an insured under this form, but only with respect to liability arising out of your ongoing operations performed for them, and only to the extent required by that contract.</w:t>
      </w:r>
    </w:p>
    <w:p>
      <w:pPr>
        <w:spacing w:before="200" w:after="80"/>
      </w:pPr>
      <w:r>
        <w:rPr>
          <w:b/>
          <w:color w:val="142C52"/>
          <w:sz w:val="21"/>
        </w:rPr>
        <w:t>7.3  Non-owned watercraft</w:t>
      </w:r>
    </w:p>
    <w:p>
      <w:pPr>
        <w:spacing w:after="120"/>
        <w:jc w:val="both"/>
      </w:pPr>
      <w:r>
        <w:t>This form covers watercraft you do not own, provided it is less than 26 feet long and not used to carry persons for a fee.</w:t>
      </w:r>
    </w:p>
    <w:p>
      <w:pPr>
        <w:spacing w:before="200" w:after="80"/>
      </w:pPr>
      <w:r>
        <w:rPr>
          <w:b/>
          <w:color w:val="142C52"/>
          <w:sz w:val="21"/>
        </w:rPr>
        <w:t>7.4  Knowledge of occurrence</w:t>
      </w:r>
    </w:p>
    <w:p>
      <w:pPr>
        <w:spacing w:after="120"/>
        <w:jc w:val="both"/>
      </w:pPr>
      <w:r>
        <w:t>Knowledge of an occurrence by your employee does not itself constitute knowledge by you unless an executive officer, director, or a person responsible for insurance matters knew of it.</w:t>
      </w:r>
    </w:p>
    <w:p>
      <w:r>
        <w:br w:type="page"/>
      </w:r>
    </w:p>
    <w:p>
      <w:pPr>
        <w:spacing w:before="200" w:after="80"/>
      </w:pPr>
      <w:r>
        <w:rPr>
          <w:b/>
          <w:color w:val="142C52"/>
          <w:sz w:val="24"/>
        </w:rPr>
        <w:t>SECTION 8 -- CLAIM EXAMPLE AND HOW LIMITS APPLY</w:t>
      </w:r>
    </w:p>
    <w:p>
      <w:pPr>
        <w:spacing w:after="120"/>
        <w:jc w:val="both"/>
      </w:pPr>
      <w:r>
        <w:t>The following illustrates, in simplified terms, how the limits in Section 4 would apply to a typical claim. This example is for illustration only and does not modify any term of this form.</w:t>
      </w:r>
    </w:p>
    <w:tbl>
      <w:tblPr>
        <w:tblStyle w:val="TableGrid"/>
        <w:tblW w:type="auto" w:w="0"/>
        <w:tblLook w:firstColumn="1" w:firstRow="1" w:lastColumn="0" w:lastRow="0" w:noHBand="0" w:noVBand="1" w:val="04A0"/>
      </w:tblPr>
      <w:tblGrid>
        <w:gridCol w:w="4968"/>
        <w:gridCol w:w="4968"/>
      </w:tblGrid>
      <w:tr>
        <w:tc>
          <w:tcPr>
            <w:tcW w:type="dxa" w:w="4968"/>
            <w:vAlign w:val="center"/>
            <w:shd w:val="clear" w:fill="142C52"/>
          </w:tcPr>
          <w:p>
            <w:r/>
            <w:r>
              <w:rPr>
                <w:b/>
                <w:color w:val="FFFFFF"/>
                <w:sz w:val="17"/>
              </w:rPr>
              <w:t>Scenario</w:t>
            </w:r>
          </w:p>
        </w:tc>
        <w:tc>
          <w:tcPr>
            <w:tcW w:type="dxa" w:w="4968"/>
            <w:vAlign w:val="center"/>
            <w:shd w:val="clear" w:fill="142C52"/>
          </w:tcPr>
          <w:p>
            <w:r/>
            <w:r>
              <w:rPr>
                <w:b/>
                <w:color w:val="FFFFFF"/>
                <w:sz w:val="17"/>
              </w:rPr>
              <w:t>How the form responds</w:t>
            </w:r>
          </w:p>
        </w:tc>
      </w:tr>
      <w:tr>
        <w:tc>
          <w:tcPr>
            <w:tcW w:type="dxa" w:w="4968"/>
            <w:vAlign w:val="center"/>
          </w:tcPr>
          <w:p>
            <w:r/>
            <w:r>
              <w:rPr>
                <w:b w:val="0"/>
                <w:sz w:val="17"/>
              </w:rPr>
              <w:t>A customer trips on a job site and is injured, resulting in a $150,000 judgment against you.</w:t>
            </w:r>
          </w:p>
        </w:tc>
        <w:tc>
          <w:tcPr>
            <w:tcW w:type="dxa" w:w="4968"/>
            <w:vAlign w:val="center"/>
          </w:tcPr>
          <w:p>
            <w:r/>
            <w:r>
              <w:rPr>
                <w:b w:val="0"/>
                <w:sz w:val="17"/>
              </w:rPr>
              <w:t>Covered under Section 1 as bodily injury from an occurrence; paid up to the Each Occurrence Limit, with defense costs paid in addition under Supplementary Payments.</w:t>
            </w:r>
          </w:p>
        </w:tc>
      </w:tr>
      <w:tr>
        <w:tc>
          <w:tcPr>
            <w:tcW w:type="dxa" w:w="4968"/>
            <w:vAlign w:val="center"/>
          </w:tcPr>
          <w:p>
            <w:r/>
            <w:r>
              <w:rPr>
                <w:b w:val="0"/>
                <w:sz w:val="17"/>
              </w:rPr>
              <w:t>Minor damage, under $500, to a landlord's leased premises caused by your work.</w:t>
            </w:r>
          </w:p>
        </w:tc>
        <w:tc>
          <w:tcPr>
            <w:tcW w:type="dxa" w:w="4968"/>
            <w:vAlign w:val="center"/>
          </w:tcPr>
          <w:p>
            <w:r/>
            <w:r>
              <w:rPr>
                <w:b w:val="0"/>
                <w:sz w:val="17"/>
              </w:rPr>
              <w:t>May be covered under the Damage to Premises Rented to You limit, separate from your Each Occurrence Limit, subject to that sub-limit.</w:t>
            </w:r>
          </w:p>
        </w:tc>
      </w:tr>
      <w:tr>
        <w:tc>
          <w:tcPr>
            <w:tcW w:type="dxa" w:w="4968"/>
            <w:vAlign w:val="center"/>
          </w:tcPr>
          <w:p>
            <w:r/>
            <w:r>
              <w:rPr>
                <w:b w:val="0"/>
                <w:sz w:val="17"/>
              </w:rPr>
              <w:t>A claim alleging your advertising infringed a competitor's slogan.</w:t>
            </w:r>
          </w:p>
        </w:tc>
        <w:tc>
          <w:tcPr>
            <w:tcW w:type="dxa" w:w="4968"/>
            <w:vAlign w:val="center"/>
          </w:tcPr>
          <w:p>
            <w:r/>
            <w:r>
              <w:rPr>
                <w:b w:val="0"/>
                <w:sz w:val="17"/>
              </w:rPr>
              <w:t>Considered under the Personal and Advertising Injury Limit, a separate sub-limit from your general liability exposure.</w:t>
            </w:r>
          </w:p>
        </w:tc>
      </w:tr>
      <w:tr>
        <w:tc>
          <w:tcPr>
            <w:tcW w:type="dxa" w:w="4968"/>
            <w:vAlign w:val="center"/>
          </w:tcPr>
          <w:p>
            <w:r/>
            <w:r>
              <w:rPr>
                <w:b w:val="0"/>
                <w:sz w:val="17"/>
              </w:rPr>
              <w:t>A customer is injured on your premises and requires a single visit to urgent care.</w:t>
            </w:r>
          </w:p>
        </w:tc>
        <w:tc>
          <w:tcPr>
            <w:tcW w:type="dxa" w:w="4968"/>
            <w:vAlign w:val="center"/>
          </w:tcPr>
          <w:p>
            <w:r/>
            <w:r>
              <w:rPr>
                <w:b w:val="0"/>
                <w:sz w:val="17"/>
              </w:rPr>
              <w:t>Minor medical expenses may be paid under Medical Expense coverage without regard to fault, up to that sub-limit, to resolve small claims quickly.</w:t>
            </w:r>
          </w:p>
        </w:tc>
      </w:tr>
    </w:tbl>
    <w:p/>
    <w:p>
      <w:pPr>
        <w:spacing w:after="120"/>
        <w:jc w:val="both"/>
      </w:pPr>
      <w:r>
        <w:t>Multiple claims arising from the same occurrence share a single Each Occurrence Limit. Claims from unrelated occurrences during the same Policy Period draw against the General Aggregate Limit until it is exhausted, at which point this coverage ends for the remainder of the Policy Period unless reinstated by endorsement.</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Business Liability Coverage 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COVERAGE FORM</w:t>
          </w:r>
        </w:p>
        <w:p>
          <w:pPr>
            <w:spacing w:after="40"/>
            <w:jc w:val="center"/>
          </w:pPr>
          <w:r>
            <w:rPr>
              <w:b w:val="0"/>
              <w:color w:val="5A5A5A"/>
              <w:sz w:val="16"/>
            </w:rPr>
            <w:t>State of Texas</w:t>
          </w:r>
        </w:p>
        <w:p>
          <w:pPr>
            <w:spacing w:after="40"/>
            <w:jc w:val="center"/>
          </w:pPr>
          <w:r>
            <w:drawing>
              <wp:inline xmlns:a="http://schemas.openxmlformats.org/drawingml/2006/main" xmlns:pic="http://schemas.openxmlformats.org/drawingml/2006/picture">
                <wp:extent cx="777240" cy="777240"/>
                <wp:docPr id="1" name="tx_seal.png" descr="Seal of Texas (tx_seal.png)"/>
                <wp:cNvGraphicFramePr>
                  <a:graphicFrameLocks noChangeAspect="1"/>
                </wp:cNvGraphicFramePr>
                <a:graphic>
                  <a:graphicData uri="http://schemas.openxmlformats.org/drawingml/2006/picture">
                    <pic:pic>
                      <pic:nvPicPr>
                        <pic:cNvPr id="0" name="Seal_of_Texas.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CI-GL-TX-01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tx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