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Property Coverage Form</w:t>
      </w:r>
    </w:p>
    <w:p>
      <w:pPr>
        <w:spacing w:after="120"/>
        <w:jc w:val="both"/>
      </w:pPr>
      <w:r>
        <w:t>This form is attached to and made part of policy {{policy_number}} issued to {{business_name}} and covers the building and business personal property at {{street_address}}, unless a different location is shown by endorsement. Throughout this form, “you” and “your” refer to the Named Insured, and “we,” “us,” and “our” refer to Contoso Insurance.</w:t>
      </w:r>
    </w:p>
    <w:p>
      <w:pPr>
        <w:spacing w:before="200" w:after="80"/>
      </w:pPr>
      <w:r>
        <w:rPr>
          <w:b/>
          <w:color w:val="142C52"/>
          <w:sz w:val="24"/>
        </w:rPr>
        <w:t>SECTION 1 -- COVERED PROPERTY</w:t>
      </w:r>
    </w:p>
    <w:p>
      <w:pPr>
        <w:spacing w:after="120"/>
        <w:jc w:val="both"/>
      </w:pPr>
      <w:r>
        <w:rPr>
          <w:b/>
          <w:color w:val="142C52"/>
        </w:rPr>
        <w:t xml:space="preserve">1.1  </w:t>
      </w:r>
      <w:r>
        <w:t>We will pay for direct physical loss of or damage to covered property at the described premises caused by or resulting from a covered cause of loss.</w:t>
      </w:r>
    </w:p>
    <w:p>
      <w:pPr>
        <w:spacing w:after="120"/>
        <w:jc w:val="both"/>
      </w:pPr>
      <w:r>
        <w:rPr>
          <w:b/>
          <w:color w:val="142C52"/>
        </w:rPr>
        <w:t xml:space="preserve">1.2  </w:t>
      </w:r>
      <w:r>
        <w:t>Covered property includes the building, if you own it, and business personal property owned by you, or owned by others but in your care, custody, or control, used in your business at the described premises.</w:t>
      </w:r>
    </w:p>
    <w:p>
      <w:pPr>
        <w:spacing w:after="120"/>
        <w:jc w:val="both"/>
      </w:pPr>
      <w:r>
        <w:rPr>
          <w:b/>
          <w:color w:val="142C52"/>
        </w:rPr>
        <w:t xml:space="preserve">1.3  </w:t>
      </w:r>
      <w:r>
        <w:t>Property of others in your care, custody, or control is covered up to $25,000, unless a higher amount is shown by endorsement.</w:t>
      </w:r>
    </w:p>
    <w:p>
      <w:pPr>
        <w:spacing w:after="120"/>
        <w:jc w:val="both"/>
      </w:pPr>
      <w:r>
        <w:rPr>
          <w:b/>
          <w:color w:val="142C52"/>
        </w:rPr>
        <w:t xml:space="preserve">1.4  </w:t>
      </w:r>
      <w:r>
        <w:t>Property you newly acquire during the Policy Period, at a location other than the described premises, is covered for 30 days from the date of acquisition, up to $50,000, provided you report the new location to us within that period.</w:t>
      </w:r>
    </w:p>
    <w:p>
      <w:pPr>
        <w:spacing w:before="200" w:after="80"/>
      </w:pPr>
      <w:r>
        <w:rPr>
          <w:b/>
          <w:color w:val="142C52"/>
          <w:sz w:val="24"/>
        </w:rPr>
        <w:t>1.5  Property not covered</w:t>
      </w:r>
    </w:p>
    <w:p>
      <w:pPr>
        <w:pStyle w:val="ListBullet"/>
      </w:pPr>
      <w:r>
        <w:t>Accounts, bills, currency, deeds, food stamps, or other evidences of debt, except as specifically provided by endorsement.</w:t>
      </w:r>
    </w:p>
    <w:p>
      <w:pPr>
        <w:pStyle w:val="ListBullet"/>
      </w:pPr>
      <w:r>
        <w:t>Land, water, growing crops, or lawns, other than as part of the landscaping of the described premises.</w:t>
      </w:r>
    </w:p>
    <w:p>
      <w:pPr>
        <w:pStyle w:val="ListBullet"/>
      </w:pPr>
      <w:r>
        <w:t>Vehicles or other means of transportation subject to motor vehicle registration, which are addressed instead under your commercial vehicle coverage, if purchased.</w:t>
      </w:r>
    </w:p>
    <w:p>
      <w:pPr>
        <w:pStyle w:val="ListBullet"/>
      </w:pPr>
      <w:r>
        <w:t>Animals, unless kept for sale in the ordinary course of your business.</w:t>
      </w:r>
    </w:p>
    <w:p>
      <w:pPr>
        <w:pStyle w:val="ListBullet"/>
      </w:pPr>
      <w:r>
        <w:t>Contraband, or property in the course of illegal transportation or trade.</w:t>
      </w:r>
    </w:p>
    <w:p>
      <w:pPr>
        <w:spacing w:before="200" w:after="80"/>
      </w:pPr>
      <w:r>
        <w:rPr>
          <w:b/>
          <w:color w:val="142C52"/>
          <w:sz w:val="24"/>
        </w:rPr>
        <w:t>SECTION 2 -- CAUSES OF LOSS</w:t>
      </w:r>
    </w:p>
    <w:p>
      <w:pPr>
        <w:spacing w:after="120"/>
        <w:jc w:val="both"/>
      </w:pPr>
      <w:r>
        <w:t>Covered causes of loss means direct physical loss, unless the loss is excluded or limited in this form. Covered causes of loss include fire, lightning, windstorm, hail, explosion, smoke, aircraft or vehicle impact, riot or civil commotion, vandalism, sprinkler leakage, sinkhole collapse, and theft, subject to the exclusions below.</w:t>
      </w:r>
    </w:p>
    <w:p>
      <w:pPr>
        <w:spacing w:before="200" w:after="80"/>
      </w:pPr>
      <w:r>
        <w:rPr>
          <w:b/>
          <w:color w:val="142C52"/>
          <w:sz w:val="24"/>
        </w:rPr>
        <w:t>SECTION 3 -- ADDITIONAL COVERAGES</w:t>
      </w:r>
    </w:p>
    <w:p>
      <w:pPr>
        <w:spacing w:after="120"/>
        <w:jc w:val="both"/>
      </w:pPr>
      <w:r>
        <w:t>Subject to the applicable Limit of Insurance, we also pay for the following, in addition to the Limit of Insurance that applies to the covered property:</w:t>
      </w:r>
    </w:p>
    <w:p>
      <w:pPr>
        <w:pStyle w:val="ListBullet"/>
      </w:pPr>
      <w:r>
        <w:t>Debris removal: the cost to remove debris of covered property caused by a covered cause of loss, up to 25 percent of the amount we pay for the direct physical loss.</w:t>
      </w:r>
    </w:p>
    <w:p>
      <w:pPr>
        <w:pStyle w:val="ListBullet"/>
      </w:pPr>
      <w:r>
        <w:t>Preservation of property: coverage for covered property for 30 days while it is being moved to protect it from a covered cause of loss.</w:t>
      </w:r>
    </w:p>
    <w:p>
      <w:pPr>
        <w:pStyle w:val="ListBullet"/>
      </w:pPr>
      <w:r>
        <w:t>Fire department service charge: up to $2,500 when the fire department is called to save or protect covered property from a covered cause of loss.</w:t>
      </w:r>
    </w:p>
    <w:p>
      <w:pPr>
        <w:pStyle w:val="ListBullet"/>
      </w:pPr>
      <w:r>
        <w:t>Pollutant cleanup and removal: up to $10,000 for expenses to extract pollutants from land or water at the described premises if the discharge is caused by a covered cause of loss.</w:t>
      </w:r>
    </w:p>
    <w:p>
      <w:pPr>
        <w:pStyle w:val="ListBullet"/>
      </w:pPr>
      <w:r>
        <w:t>Electronic data: up to $10,000 for the cost to replace or restore electronic data lost or damaged by a covered cause of loss.</w:t>
      </w:r>
    </w:p>
    <w:p>
      <w:pPr>
        <w:spacing w:before="200" w:after="80"/>
      </w:pPr>
      <w:r>
        <w:rPr>
          <w:b/>
          <w:color w:val="142C52"/>
          <w:sz w:val="24"/>
        </w:rPr>
        <w:t>SECTION 4 -- EXCLUSIONS</w:t>
      </w:r>
    </w:p>
    <w:p>
      <w:pPr>
        <w:spacing w:after="120"/>
        <w:jc w:val="both"/>
      </w:pPr>
      <w:r>
        <w:t>This insurance does not apply to loss or damage caused directly or indirectly by any of the following, regardless of any other cause or event contributing concurrently or in any sequence to the loss:</w:t>
      </w:r>
    </w:p>
    <w:p>
      <w:pPr>
        <w:pStyle w:val="ListBullet"/>
      </w:pPr>
      <w:r>
        <w:t>Flood, surface water, waves, tidal water, or water that backs up through sewers or drains, unless separately scheduled by endorsement.</w:t>
      </w:r>
    </w:p>
    <w:p>
      <w:pPr>
        <w:pStyle w:val="ListBullet"/>
      </w:pPr>
      <w:r>
        <w:t>Earth movement, including earthquake, landslide, mine subsidence, and earth sinking, rising, or shifting.</w:t>
      </w:r>
    </w:p>
    <w:p>
      <w:pPr>
        <w:pStyle w:val="ListBullet"/>
      </w:pPr>
      <w:r>
        <w:t>Governmental action, including seizure or destruction of property by order of governmental authority.</w:t>
      </w:r>
    </w:p>
    <w:p>
      <w:pPr>
        <w:pStyle w:val="ListBullet"/>
      </w:pPr>
      <w:r>
        <w:t>Nuclear hazard, including nuclear reaction, radiation, or radioactive contamination, however caused.</w:t>
      </w:r>
    </w:p>
    <w:p>
      <w:pPr>
        <w:pStyle w:val="ListBullet"/>
      </w:pPr>
      <w:r>
        <w:t>War, including undeclared war, civil war, insurrection, rebellion, or revolution.</w:t>
      </w:r>
    </w:p>
    <w:p>
      <w:pPr>
        <w:pStyle w:val="ListBullet"/>
      </w:pPr>
      <w:r>
        <w:t>Loss caused by wear and tear, rust, corrosion, or gradual deterioration.</w:t>
      </w:r>
    </w:p>
    <w:p>
      <w:pPr>
        <w:pStyle w:val="ListBullet"/>
      </w:pPr>
      <w:r>
        <w:t>Loss caused by faulty, inadequate, or defective workmanship, design, or materials, though resulting fire or explosion damage may still be covered.</w:t>
      </w:r>
    </w:p>
    <w:p>
      <w:pPr>
        <w:pStyle w:val="ListBullet"/>
      </w:pPr>
      <w:r>
        <w:t>Fungus, wet rot, dry rot, or bacteria, except as specifically provided by endorsement.</w:t>
      </w:r>
    </w:p>
    <w:p>
      <w:pPr>
        <w:pStyle w:val="ListBullet"/>
      </w:pPr>
      <w:r>
        <w:t>Loss caused by an act or decision, including a failure to act, of any person, group, or governmental body.</w:t>
      </w:r>
    </w:p>
    <w:p>
      <w:pPr>
        <w:pStyle w:val="ListBullet"/>
      </w:pPr>
      <w:r>
        <w:t>Continuous or repeated seepage or leakage of water over a period of weeks, months, or years.</w:t>
      </w:r>
    </w:p>
    <w:p>
      <w:pPr>
        <w:pStyle w:val="ListBullet"/>
      </w:pPr>
      <w:r>
        <w:t>Loss or damage to electrical or electronic equipment caused by electrical current, including arcing, unless fire or explosion ensues.</w:t>
      </w:r>
    </w:p>
    <w:p>
      <w:pPr>
        <w:pStyle w:val="ListBullet"/>
      </w:pPr>
      <w:r>
        <w:t>Neglect by an insured to use all reasonable means to save and preserve property at and after the time of loss.</w:t>
      </w:r>
    </w:p>
    <w:p>
      <w:pPr>
        <w:spacing w:before="200" w:after="80"/>
      </w:pPr>
      <w:r>
        <w:rPr>
          <w:b/>
          <w:color w:val="142C52"/>
          <w:sz w:val="24"/>
        </w:rPr>
        <w:t>SECTION 5 -- LIMIT OF INSURANCE, DEDUCTIBLE, AND VALUATION</w:t>
      </w:r>
    </w:p>
    <w:p>
      <w:pPr>
        <w:spacing w:after="120"/>
        <w:jc w:val="both"/>
      </w:pPr>
      <w:r>
        <w:rPr>
          <w:b/>
          <w:color w:val="142C52"/>
        </w:rPr>
        <w:t xml:space="preserve">5.1  </w:t>
      </w:r>
      <w:r>
        <w:t>The most we will pay for loss or damage in any one occurrence is {{property_limit}}.</w:t>
      </w:r>
    </w:p>
    <w:p>
      <w:pPr>
        <w:spacing w:after="120"/>
        <w:jc w:val="both"/>
      </w:pPr>
      <w:r>
        <w:rPr>
          <w:b/>
          <w:color w:val="142C52"/>
        </w:rPr>
        <w:t xml:space="preserve">5.2  </w:t>
      </w:r>
      <w:r>
        <w:t>A deductible of $1,000 applies to each occurrence, unless a different deductible is shown by endorsement. We will not pay for loss or damage until the amount of loss exceeds the deductible.</w:t>
      </w:r>
    </w:p>
    <w:p>
      <w:pPr>
        <w:spacing w:after="120"/>
        <w:jc w:val="both"/>
      </w:pPr>
      <w:r>
        <w:rPr>
          <w:b/>
          <w:color w:val="142C52"/>
        </w:rPr>
        <w:t xml:space="preserve">5.3  </w:t>
      </w:r>
      <w:r>
        <w:t>Valuation. Unless otherwise shown by endorsement, we determine the value of covered property at replacement cost at the time of loss, without deduction for depreciation, subject to the coinsurance condition below.</w:t>
      </w:r>
    </w:p>
    <w:p>
      <w:pPr>
        <w:spacing w:before="200" w:after="80"/>
      </w:pPr>
      <w:r>
        <w:rPr>
          <w:b/>
          <w:color w:val="142C52"/>
          <w:sz w:val="24"/>
        </w:rPr>
        <w:t>SECTION 6 -- COINSURANCE</w:t>
      </w:r>
    </w:p>
    <w:p>
      <w:pPr>
        <w:spacing w:after="120"/>
        <w:jc w:val="both"/>
      </w:pPr>
      <w:r>
        <w:t>If a coinsurance percentage is shown in the Declarations or by endorsement, you must carry insurance equal to at least that percentage of the value of covered property at the time of loss. If you carry less, we will pay only the proportion of the loss that the insurance you carried bears to the insurance you should have carried, and you will bear the remaining amount.</w:t>
      </w:r>
    </w:p>
    <w:p>
      <w:pPr>
        <w:spacing w:after="120"/>
        <w:jc w:val="both"/>
      </w:pPr>
      <w:r>
        <w:t>Example: if covered property is worth $400,000, the coinsurance requirement is 80 percent, and you carry only $240,000 of insurance, you have insured only 75 percent of the required amount. We would pay 75 percent of a covered loss, before application of the deductible, and you would bear the remaining 25 percent yourself.</w:t>
      </w:r>
    </w:p>
    <w:p>
      <w:pPr>
        <w:spacing w:before="200" w:after="80"/>
      </w:pPr>
      <w:r>
        <w:rPr>
          <w:b/>
          <w:color w:val="142C52"/>
          <w:sz w:val="24"/>
        </w:rPr>
        <w:t>SECTION 7 -- CONDITIONS SPECIFIC TO THIS COVERAGE FORM</w:t>
      </w:r>
    </w:p>
    <w:p>
      <w:pPr>
        <w:spacing w:after="120"/>
        <w:jc w:val="both"/>
      </w:pPr>
      <w:r>
        <w:rPr>
          <w:b/>
          <w:color w:val="142C52"/>
        </w:rPr>
        <w:t xml:space="preserve">7.1  </w:t>
      </w:r>
      <w:r>
        <w:t>Duties after loss. In the event of loss, you must give us prompt notice, protect the property from further damage, take an inventory of damaged property, and permit us to inspect the property and your records.</w:t>
      </w:r>
    </w:p>
    <w:p>
      <w:pPr>
        <w:spacing w:after="120"/>
        <w:jc w:val="both"/>
      </w:pPr>
      <w:r>
        <w:rPr>
          <w:b/>
          <w:color w:val="142C52"/>
        </w:rPr>
        <w:t xml:space="preserve">7.2  </w:t>
      </w:r>
      <w:r>
        <w:t>Loss payment. We will pay for covered loss within 30 days after we reach agreement with you, the amount of loss is determined by appraisal, or an entry of a final judgment.</w:t>
      </w:r>
    </w:p>
    <w:p>
      <w:pPr>
        <w:spacing w:after="120"/>
        <w:jc w:val="both"/>
      </w:pPr>
      <w:r>
        <w:rPr>
          <w:b/>
          <w:color w:val="142C52"/>
        </w:rPr>
        <w:t xml:space="preserve">7.3  </w:t>
      </w:r>
      <w:r>
        <w:t>Abandonment. There can be no abandonment of property to us.</w:t>
      </w:r>
    </w:p>
    <w:p>
      <w:pPr>
        <w:spacing w:after="120"/>
        <w:jc w:val="both"/>
      </w:pPr>
      <w:r>
        <w:rPr>
          <w:b/>
          <w:color w:val="142C52"/>
        </w:rPr>
        <w:t xml:space="preserve">7.4  </w:t>
      </w:r>
      <w:r>
        <w:t>Appraisal. If you and we disagree on the value of the property or the amount of loss, either party may make written demand for an appraisal, and each will select a competent, independent appraiser.</w:t>
      </w:r>
    </w:p>
    <w:p>
      <w:pPr>
        <w:spacing w:after="120"/>
        <w:jc w:val="both"/>
      </w:pPr>
      <w:r>
        <w:rPr>
          <w:b/>
          <w:color w:val="142C52"/>
        </w:rPr>
        <w:t xml:space="preserve">7.5  </w:t>
      </w:r>
      <w:r>
        <w:t>Vacancy. If the described premises has been vacant for more than 60 consecutive days before a loss, we will not pay for loss caused by vandalism, sprinkler leakage, building glass breakage, water damage, theft, or attempted theft, and will reduce the amount payable for other covered causes of loss by 15 percent.</w:t>
      </w:r>
    </w:p>
    <w:p>
      <w:pPr>
        <w:spacing w:after="120"/>
        <w:jc w:val="both"/>
      </w:pPr>
      <w:r>
        <w:rPr>
          <w:b/>
          <w:color w:val="142C52"/>
        </w:rPr>
        <w:t xml:space="preserve">7.6  </w:t>
      </w:r>
      <w:r>
        <w:t>Mortgageholder interests. Loss or damage to buildings will be paid to any mortgageholder shown in the Declarations, as their interest may appear, even if a claim is otherwise denied due to an act or neglect of the owner.</w:t>
      </w:r>
    </w:p>
    <w:p>
      <w:pPr>
        <w:spacing w:before="200" w:after="80"/>
      </w:pPr>
      <w:r>
        <w:rPr>
          <w:b/>
          <w:color w:val="142C52"/>
          <w:sz w:val="24"/>
        </w:rPr>
        <w:t>SECTION 8 -- COVERAGE EXTENSIONS AND OPTIONAL COVERAGES</w:t>
      </w:r>
    </w:p>
    <w:p>
      <w:pPr>
        <w:spacing w:before="200" w:after="80"/>
      </w:pPr>
      <w:r>
        <w:rPr>
          <w:b/>
          <w:color w:val="142C52"/>
          <w:sz w:val="21"/>
        </w:rPr>
        <w:t>8.1  Business income and extra expense</w:t>
      </w:r>
    </w:p>
    <w:p>
      <w:pPr>
        <w:spacing w:after="120"/>
        <w:jc w:val="both"/>
      </w:pPr>
      <w:r>
        <w:t>If shown as purchased in the Declarations, we will pay for the actual loss of business income you sustain due to a necessary suspension of operations caused by direct physical loss to covered property from a covered cause of loss, and the extra expense you incur to continue operations during the period of restoration.</w:t>
      </w:r>
    </w:p>
    <w:p>
      <w:pPr>
        <w:spacing w:before="200" w:after="80"/>
      </w:pPr>
      <w:r>
        <w:rPr>
          <w:b/>
          <w:color w:val="142C52"/>
          <w:sz w:val="21"/>
        </w:rPr>
        <w:t>8.2  Ordinance or law</w:t>
      </w:r>
    </w:p>
    <w:p>
      <w:pPr>
        <w:spacing w:after="120"/>
        <w:jc w:val="both"/>
      </w:pPr>
      <w:r>
        <w:t>If shown as purchased, this extension provides limited coverage for the increased cost of repair or reconstruction required by the enforcement of a building, zoning, or land use ordinance or law, following a covered loss.</w:t>
      </w:r>
    </w:p>
    <w:p>
      <w:pPr>
        <w:spacing w:before="200" w:after="80"/>
      </w:pPr>
      <w:r>
        <w:rPr>
          <w:b/>
          <w:color w:val="142C52"/>
          <w:sz w:val="21"/>
        </w:rPr>
        <w:t>8.3  Equipment breakdown</w:t>
      </w:r>
    </w:p>
    <w:p>
      <w:pPr>
        <w:spacing w:after="120"/>
        <w:jc w:val="both"/>
      </w:pPr>
      <w:r>
        <w:t>If shown as purchased, this extension covers direct physical loss to covered equipment caused by a mechanical or electrical breakdown, which is otherwise excluded under the base causes of loss.</w:t>
      </w:r>
    </w:p>
    <w:p>
      <w:pPr>
        <w:spacing w:before="200" w:after="80"/>
      </w:pPr>
      <w:r>
        <w:rPr>
          <w:b/>
          <w:color w:val="142C52"/>
          <w:sz w:val="21"/>
        </w:rPr>
        <w:t>8.4  Outdoor property</w:t>
      </w:r>
    </w:p>
    <w:p>
      <w:pPr>
        <w:spacing w:after="120"/>
        <w:jc w:val="both"/>
      </w:pPr>
      <w:r>
        <w:t>Coverage extends to outdoor fences, signs, radio and television antennas, satellite dishes, trees, shrubs, and plants, up to $2,500 per occurrence and $500 for any one tree, shrub, or plant, for loss caused by fire, lightning, explosion, riot, civil commotion, or aircraft.</w:t>
      </w:r>
    </w:p>
    <w:p>
      <w:r>
        <w:br w:type="page"/>
      </w:r>
    </w:p>
    <w:p>
      <w:pPr>
        <w:spacing w:before="200" w:after="80"/>
      </w:pPr>
      <w:r>
        <w:rPr>
          <w:b/>
          <w:color w:val="142C52"/>
          <w:sz w:val="24"/>
        </w:rPr>
        <w:t>SECTION 9 -- HOW A CLAIM IS VALUED, STEP BY STEP</w:t>
      </w:r>
    </w:p>
    <w:p>
      <w:pPr>
        <w:spacing w:after="120"/>
        <w:jc w:val="both"/>
      </w:pPr>
      <w:r>
        <w:rPr>
          <w:b/>
          <w:color w:val="142C52"/>
        </w:rPr>
        <w:t xml:space="preserve">9.1  </w:t>
      </w:r>
      <w:r>
        <w:t>We confirm the loss is caused by a covered cause of loss and not otherwise excluded under Section 4.</w:t>
      </w:r>
    </w:p>
    <w:p>
      <w:pPr>
        <w:spacing w:after="120"/>
        <w:jc w:val="both"/>
      </w:pPr>
      <w:r>
        <w:rPr>
          <w:b/>
          <w:color w:val="142C52"/>
        </w:rPr>
        <w:t xml:space="preserve">9.2  </w:t>
      </w:r>
      <w:r>
        <w:t>We determine the replacement cost of the damaged property at the time of loss, meaning the cost to repair or replace it with materials of like kind and quality, without deduction for depreciation.</w:t>
      </w:r>
    </w:p>
    <w:p>
      <w:pPr>
        <w:spacing w:after="120"/>
        <w:jc w:val="both"/>
      </w:pPr>
      <w:r>
        <w:rPr>
          <w:b/>
          <w:color w:val="142C52"/>
        </w:rPr>
        <w:t xml:space="preserve">9.3  </w:t>
      </w:r>
      <w:r>
        <w:t>If a coinsurance percentage applies, we apply the coinsurance calculation described in Section 6 to determine what portion of the loss we pay.</w:t>
      </w:r>
    </w:p>
    <w:p>
      <w:pPr>
        <w:spacing w:after="120"/>
        <w:jc w:val="both"/>
      </w:pPr>
      <w:r>
        <w:rPr>
          <w:b/>
          <w:color w:val="142C52"/>
        </w:rPr>
        <w:t xml:space="preserve">9.4  </w:t>
      </w:r>
      <w:r>
        <w:t>We apply the deductible described in Section 5 to the remaining amount.</w:t>
      </w:r>
    </w:p>
    <w:p>
      <w:pPr>
        <w:spacing w:after="120"/>
        <w:jc w:val="both"/>
      </w:pPr>
      <w:r>
        <w:rPr>
          <w:b/>
          <w:color w:val="142C52"/>
        </w:rPr>
        <w:t xml:space="preserve">9.5  </w:t>
      </w:r>
      <w:r>
        <w:t>We issue payment, or, where you and we disagree on the amount, either party may invoke the appraisal condition in Section 7.</w:t>
      </w:r>
    </w:p>
    <w:p>
      <w:pPr>
        <w:spacing w:before="200" w:after="80"/>
      </w:pPr>
      <w:r>
        <w:rPr>
          <w:b/>
          <w:color w:val="142C52"/>
          <w:sz w:val="24"/>
        </w:rPr>
        <w:t>Example calculation</w:t>
      </w:r>
    </w:p>
    <w:tbl>
      <w:tblPr>
        <w:tblStyle w:val="TableGrid"/>
        <w:tblW w:type="auto" w:w="0"/>
        <w:tblLook w:firstColumn="1" w:firstRow="1" w:lastColumn="0" w:lastRow="0" w:noHBand="0" w:noVBand="1" w:val="04A0"/>
      </w:tblPr>
      <w:tblGrid>
        <w:gridCol w:w="4968"/>
        <w:gridCol w:w="4968"/>
      </w:tblGrid>
      <w:tr>
        <w:tc>
          <w:tcPr>
            <w:tcW w:type="dxa" w:w="4968"/>
            <w:vAlign w:val="center"/>
          </w:tcPr>
          <w:p>
            <w:r/>
            <w:r>
              <w:rPr>
                <w:b w:val="0"/>
                <w:sz w:val="18"/>
              </w:rPr>
              <w:t>Replacement cost of damaged property</w:t>
            </w:r>
          </w:p>
        </w:tc>
        <w:tc>
          <w:tcPr>
            <w:tcW w:type="dxa" w:w="4968"/>
            <w:vAlign w:val="center"/>
          </w:tcPr>
          <w:p>
            <w:r/>
            <w:r>
              <w:rPr>
                <w:b w:val="0"/>
                <w:sz w:val="18"/>
              </w:rPr>
              <w:t>$60,000</w:t>
            </w:r>
          </w:p>
        </w:tc>
      </w:tr>
      <w:tr>
        <w:tc>
          <w:tcPr>
            <w:tcW w:type="dxa" w:w="4968"/>
            <w:vAlign w:val="center"/>
          </w:tcPr>
          <w:p>
            <w:r/>
            <w:r>
              <w:rPr>
                <w:b w:val="0"/>
                <w:sz w:val="18"/>
              </w:rPr>
              <w:t>Coinsurance requirement met? (see Section 6)</w:t>
            </w:r>
          </w:p>
        </w:tc>
        <w:tc>
          <w:tcPr>
            <w:tcW w:type="dxa" w:w="4968"/>
            <w:vAlign w:val="center"/>
          </w:tcPr>
          <w:p>
            <w:r/>
            <w:r>
              <w:rPr>
                <w:b w:val="0"/>
                <w:sz w:val="18"/>
              </w:rPr>
              <w:t>Yes, no reduction applied</w:t>
            </w:r>
          </w:p>
        </w:tc>
      </w:tr>
      <w:tr>
        <w:tc>
          <w:tcPr>
            <w:tcW w:type="dxa" w:w="4968"/>
            <w:vAlign w:val="center"/>
          </w:tcPr>
          <w:p>
            <w:r/>
            <w:r>
              <w:rPr>
                <w:b w:val="0"/>
                <w:sz w:val="18"/>
              </w:rPr>
              <w:t>Subtotal after coinsurance</w:t>
            </w:r>
          </w:p>
        </w:tc>
        <w:tc>
          <w:tcPr>
            <w:tcW w:type="dxa" w:w="4968"/>
            <w:vAlign w:val="center"/>
          </w:tcPr>
          <w:p>
            <w:r/>
            <w:r>
              <w:rPr>
                <w:b w:val="0"/>
                <w:sz w:val="18"/>
              </w:rPr>
              <w:t>$60,000</w:t>
            </w:r>
          </w:p>
        </w:tc>
      </w:tr>
      <w:tr>
        <w:tc>
          <w:tcPr>
            <w:tcW w:type="dxa" w:w="4968"/>
            <w:vAlign w:val="center"/>
          </w:tcPr>
          <w:p>
            <w:r/>
            <w:r>
              <w:rPr>
                <w:b w:val="0"/>
                <w:sz w:val="18"/>
              </w:rPr>
              <w:t>Less deductible</w:t>
            </w:r>
          </w:p>
        </w:tc>
        <w:tc>
          <w:tcPr>
            <w:tcW w:type="dxa" w:w="4968"/>
            <w:vAlign w:val="center"/>
          </w:tcPr>
          <w:p>
            <w:r/>
            <w:r>
              <w:rPr>
                <w:b w:val="0"/>
                <w:sz w:val="18"/>
              </w:rPr>
              <w:t>-$1,000</w:t>
            </w:r>
          </w:p>
        </w:tc>
      </w:tr>
      <w:tr>
        <w:tc>
          <w:tcPr>
            <w:tcW w:type="dxa" w:w="4968"/>
            <w:vAlign w:val="center"/>
          </w:tcPr>
          <w:p>
            <w:r/>
            <w:r>
              <w:rPr>
                <w:b w:val="0"/>
                <w:sz w:val="18"/>
              </w:rPr>
              <w:t>Amount payable</w:t>
            </w:r>
          </w:p>
        </w:tc>
        <w:tc>
          <w:tcPr>
            <w:tcW w:type="dxa" w:w="4968"/>
            <w:vAlign w:val="center"/>
          </w:tcPr>
          <w:p>
            <w:r/>
            <w:r>
              <w:rPr>
                <w:b/>
                <w:sz w:val="18"/>
              </w:rPr>
              <w:t>$59,000</w:t>
            </w:r>
          </w:p>
        </w:tc>
      </w:tr>
    </w:tbl>
    <w:p/>
    <w:p>
      <w:pPr>
        <w:spacing w:after="120"/>
        <w:jc w:val="both"/>
      </w:pPr>
      <w:r>
        <w:t>This example is illustrative only. Actual claim payments depend on the specific facts of the loss, applicable sub-limits, and whether the coinsurance requirement in Section 6 was met at the time of loss.</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Property Coverage 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COVERAGE FORM</w:t>
          </w:r>
        </w:p>
        <w:p>
          <w:pPr>
            <w:spacing w:after="40"/>
            <w:jc w:val="center"/>
          </w:pPr>
          <w:r>
            <w:rPr>
              <w:b w:val="0"/>
              <w:color w:val="5A5A5A"/>
              <w:sz w:val="16"/>
            </w:rPr>
            <w:t>State of Texas</w:t>
          </w:r>
        </w:p>
        <w:p>
          <w:pPr>
            <w:spacing w:after="40"/>
            <w:jc w:val="center"/>
          </w:pPr>
          <w:r>
            <w:drawing>
              <wp:inline xmlns:a="http://schemas.openxmlformats.org/drawingml/2006/main" xmlns:pic="http://schemas.openxmlformats.org/drawingml/2006/picture">
                <wp:extent cx="777240" cy="777240"/>
                <wp:docPr id="1" name="tx_seal.png" descr="Seal of Texas (tx_seal.png)"/>
                <wp:cNvGraphicFramePr>
                  <a:graphicFrameLocks noChangeAspect="1"/>
                </wp:cNvGraphicFramePr>
                <a:graphic>
                  <a:graphicData uri="http://schemas.openxmlformats.org/drawingml/2006/picture">
                    <pic:pic>
                      <pic:nvPicPr>
                        <pic:cNvPr id="0" name="Seal_of_Texas.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CI-PR-TX-01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tx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