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Workers' Compensation Notice of Coverage</w:t>
      </w:r>
    </w:p>
    <w:p>
      <w:pPr>
        <w:spacing w:after="120"/>
        <w:jc w:val="both"/>
      </w:pPr>
      <w:r>
        <w:t>This notice confirms that {{business_name}} has workers' compensation insurance in force under policy {{policy_number}}, effective {{policy_start_date}}, covering {{employee_count}} employees at the {{wc_limit}} benefit level required under Texas law.</w:t>
      </w:r>
    </w:p>
    <w:p>
      <w:pPr>
        <w:spacing w:after="120"/>
        <w:jc w:val="both"/>
      </w:pPr>
      <w:r>
        <w:t>Workers' compensation coverage pays medical benefits and a portion of lost wages for an employee injured in the course and scope of employment, regardless of fault, subject to the terms of the policy and applicable state law. This notice summarizes the main benefit categories; the policy and applicable law govern in the event of any conflict.</w:t>
      </w:r>
    </w:p>
    <w:p>
      <w:pPr>
        <w:spacing w:before="200" w:after="80"/>
      </w:pPr>
      <w:r>
        <w:rPr>
          <w:b/>
          <w:color w:val="142C52"/>
          <w:sz w:val="24"/>
        </w:rPr>
        <w:t>Medical benefits</w:t>
      </w:r>
    </w:p>
    <w:p>
      <w:pPr>
        <w:spacing w:after="120"/>
        <w:jc w:val="both"/>
      </w:pPr>
      <w:r>
        <w:t>Covers all reasonably necessary medical care to treat a work-related injury or illness, including doctor visits, hospitalization, physical therapy, and prescriptions, with no dollar limit and no deductible to the employee.</w:t>
      </w:r>
    </w:p>
    <w:p>
      <w:pPr>
        <w:spacing w:before="200" w:after="80"/>
      </w:pPr>
      <w:r>
        <w:rPr>
          <w:b/>
          <w:color w:val="142C52"/>
          <w:sz w:val="24"/>
        </w:rPr>
        <w:t>Temporary income benefits</w:t>
      </w:r>
    </w:p>
    <w:p>
      <w:pPr>
        <w:spacing w:after="120"/>
        <w:jc w:val="both"/>
      </w:pPr>
      <w:r>
        <w:t>If an injury keeps an employee from earning their pre-injury wage for more than a short waiting period, temporary income benefits replace a portion of lost wages, calculated under the Texas Labor Code, until the employee reaches maximum medical improvement or returns to work at pre-injury wages.</w:t>
      </w:r>
    </w:p>
    <w:p>
      <w:pPr>
        <w:spacing w:before="200" w:after="80"/>
      </w:pPr>
      <w:r>
        <w:rPr>
          <w:b/>
          <w:color w:val="142C52"/>
          <w:sz w:val="24"/>
        </w:rPr>
        <w:t>Impairment income benefits</w:t>
      </w:r>
    </w:p>
    <w:p>
      <w:pPr>
        <w:spacing w:after="120"/>
        <w:jc w:val="both"/>
      </w:pPr>
      <w:r>
        <w:t>If an employee has a permanent impairment from a work injury, as determined by a certifying doctor, impairment income benefits provide further wage-replacement payments based on the assigned impairment rating.</w:t>
      </w:r>
    </w:p>
    <w:p>
      <w:pPr>
        <w:spacing w:before="200" w:after="80"/>
      </w:pPr>
      <w:r>
        <w:rPr>
          <w:b/>
          <w:color w:val="142C52"/>
          <w:sz w:val="24"/>
        </w:rPr>
        <w:t>Supplemental income benefits</w:t>
      </w:r>
    </w:p>
    <w:p>
      <w:pPr>
        <w:spacing w:after="120"/>
        <w:jc w:val="both"/>
      </w:pPr>
      <w:r>
        <w:t>An employee with a qualifying impairment rating who has not returned to work at pre-injury wages, and who meets ongoing job-search or vocational requirements, may qualify for supplemental income benefits after impairment income benefits end.</w:t>
      </w:r>
    </w:p>
    <w:p>
      <w:pPr>
        <w:spacing w:before="200" w:after="80"/>
      </w:pPr>
      <w:r>
        <w:rPr>
          <w:b/>
          <w:color w:val="142C52"/>
          <w:sz w:val="24"/>
        </w:rPr>
        <w:t>Death and burial benefits</w:t>
      </w:r>
    </w:p>
    <w:p>
      <w:pPr>
        <w:spacing w:after="120"/>
        <w:jc w:val="both"/>
      </w:pPr>
      <w:r>
        <w:t>If a work-related injury results in death, this coverage provides death benefits to eligible beneficiaries and a burial allowance, as set by Texas law.</w:t>
      </w:r>
    </w:p>
    <w:p>
      <w:pPr>
        <w:spacing w:before="200" w:after="80"/>
      </w:pPr>
      <w:r>
        <w:rPr>
          <w:b/>
          <w:color w:val="142C52"/>
          <w:sz w:val="24"/>
        </w:rPr>
        <w:t>What this notice is for</w:t>
      </w:r>
    </w:p>
    <w:p>
      <w:pPr>
        <w:spacing w:after="120"/>
        <w:jc w:val="both"/>
      </w:pPr>
      <w:r>
        <w:t>Keep this notice on file as proof of coverage. A copy of the employee rights posting included elsewhere in this packet must be displayed where employees can see it, as required by Texas law.</w:t>
      </w:r>
    </w:p>
    <w:p>
      <w:pPr>
        <w:spacing w:before="200" w:after="80"/>
      </w:pPr>
      <w:r>
        <w:rPr>
          <w:b/>
          <w:color w:val="142C52"/>
          <w:sz w:val="24"/>
        </w:rPr>
        <w:t>Reporting a work injury</w:t>
      </w:r>
    </w:p>
    <w:p>
      <w:pPr>
        <w:spacing w:after="120"/>
        <w:jc w:val="both"/>
      </w:pPr>
      <w:r>
        <w:t>Report any work-related injury to Contoso's claims line as soon as reasonably possible. Delayed reporting can affect an employee's benefits and may give rise to a presumption against the claim under Texas law.</w:t>
      </w:r>
    </w:p>
    <w:p>
      <w:pPr>
        <w:spacing w:before="200" w:after="80"/>
      </w:pPr>
      <w:r>
        <w:rPr>
          <w:b/>
          <w:color w:val="142C52"/>
          <w:sz w:val="24"/>
        </w:rPr>
        <w:t>Subrogation</w:t>
      </w:r>
    </w:p>
    <w:p>
      <w:pPr>
        <w:spacing w:after="120"/>
        <w:jc w:val="both"/>
      </w:pPr>
      <w:r>
        <w:t>If a work injury was caused by someone other than {{business_name}} or a fellow employee, such as a defective product or a third-party driver, Contoso may pursue recovery from that party after paying a claim, under the subrogation condition of your policy.</w:t>
      </w:r>
    </w:p>
    <w:p>
      <w:pPr>
        <w:spacing w:before="200" w:after="80"/>
      </w:pPr>
      <w:r>
        <w:rPr>
          <w:b/>
          <w:color w:val="142C52"/>
          <w:sz w:val="24"/>
        </w:rPr>
        <w:t>Waiting period</w:t>
      </w:r>
    </w:p>
    <w:p>
      <w:pPr>
        <w:spacing w:after="120"/>
        <w:jc w:val="both"/>
      </w:pPr>
      <w:r>
        <w:t>Texas law applies a short waiting period before temporary income benefits begin. If the injury results in disability lasting beyond a set number of days, benefits are paid retroactively to the date of injury.</w:t>
      </w:r>
    </w:p>
    <w:p>
      <w:r>
        <w:br w:type="page"/>
      </w:r>
    </w:p>
    <w:p>
      <w:pPr>
        <w:spacing w:before="200" w:after="80"/>
      </w:pPr>
      <w:r>
        <w:rPr>
          <w:b/>
          <w:color w:val="142C52"/>
          <w:sz w:val="24"/>
        </w:rPr>
        <w:t>Return-to-work support</w:t>
      </w:r>
    </w:p>
    <w:p>
      <w:pPr>
        <w:spacing w:after="120"/>
        <w:jc w:val="both"/>
      </w:pPr>
      <w:r>
        <w:t>Where medically appropriate, Contoso works with {{business_name}} and the treating doctor to support a return to modified or light-duty work during recovery, which research shows generally leads to better outcomes for the employee and a lower overall claim cost.</w:t>
      </w:r>
    </w:p>
    <w:p>
      <w:pPr>
        <w:spacing w:before="200" w:after="80"/>
      </w:pPr>
      <w:r>
        <w:rPr>
          <w:b/>
          <w:color w:val="142C52"/>
          <w:sz w:val="24"/>
        </w:rPr>
        <w:t>Coverage for out-of-state work</w:t>
      </w:r>
    </w:p>
    <w:p>
      <w:pPr>
        <w:spacing w:after="120"/>
        <w:jc w:val="both"/>
      </w:pPr>
      <w:r>
        <w:t>If {{business_name}} sends employees to work temporarily in another state, this notice alone may not establish compliant coverage there. A separate notice for that state, consistent with its workers' compensation law, should accompany this one -- see the state-specific documents elsewhere in this packet.</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Workers' Compensation Notice of Coverage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NOTICE OF COVERAGE</w:t>
          </w:r>
        </w:p>
        <w:p>
          <w:pPr>
            <w:spacing w:after="40"/>
            <w:jc w:val="center"/>
          </w:pPr>
          <w:r>
            <w:rPr>
              <w:b w:val="0"/>
              <w:color w:val="5A5A5A"/>
              <w:sz w:val="16"/>
            </w:rPr>
            <w:t>State of Texas</w:t>
          </w:r>
        </w:p>
        <w:p>
          <w:pPr>
            <w:spacing w:after="40"/>
            <w:jc w:val="center"/>
          </w:pPr>
          <w:r>
            <w:drawing>
              <wp:inline xmlns:a="http://schemas.openxmlformats.org/drawingml/2006/main" xmlns:pic="http://schemas.openxmlformats.org/drawingml/2006/picture">
                <wp:extent cx="777240" cy="777240"/>
                <wp:docPr id="1" name="tx_seal.png" descr="Seal of Texas (tx_seal.png)"/>
                <wp:cNvGraphicFramePr>
                  <a:graphicFrameLocks noChangeAspect="1"/>
                </wp:cNvGraphicFramePr>
                <a:graphic>
                  <a:graphicData uri="http://schemas.openxmlformats.org/drawingml/2006/picture">
                    <pic:pic>
                      <pic:nvPicPr>
                        <pic:cNvPr id="0" name="Seal_of_Texas.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CI-WC-TX-01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tx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