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المادة 1 أحكام عامة</w:t>
      </w:r>
    </w:p>
    <w:p>
      <w:r>
        <w:t>المادة 2 </w:t>
      </w:r>
      <w:del>
        <w:r>
          <w:delText>نص محذوف</w:delText>
        </w:r>
      </w:del>
      <w:ins>
        <w:r>
          <w:t>نص مضاف</w:t>
        </w:r>
      </w:ins>
    </w:p>
    <w:p>
      <w:r>
        <w:t>المادة الثالثة أحكام ختامية</w:t>
      </w:r>
    </w:p>
  </w:body>
</w:document>
</file>