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17371" w14:textId="116DF192" w:rsidR="006460F9" w:rsidRDefault="009D1114">
      <w:proofErr w:type="spellStart"/>
      <w:r>
        <w:t>ScreenShots</w:t>
      </w:r>
      <w:proofErr w:type="spellEnd"/>
    </w:p>
    <w:p w14:paraId="4534B09A" w14:textId="77777777" w:rsidR="009D1114" w:rsidRDefault="009D1114"/>
    <w:p w14:paraId="5B0A1ECA" w14:textId="25B7CE50" w:rsidR="009D1114" w:rsidRDefault="004C63B7">
      <w:r w:rsidRPr="004C63B7">
        <w:rPr>
          <w:noProof/>
        </w:rPr>
        <w:drawing>
          <wp:inline distT="0" distB="0" distL="0" distR="0" wp14:anchorId="72587179" wp14:editId="14856CC5">
            <wp:extent cx="5731510" cy="2828925"/>
            <wp:effectExtent l="0" t="0" r="2540" b="9525"/>
            <wp:docPr id="988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5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9136" w14:textId="1772A8EF" w:rsidR="009D1114" w:rsidRDefault="009D1114"/>
    <w:p w14:paraId="43E559E4" w14:textId="5C10F5EC" w:rsidR="009D1114" w:rsidRDefault="009D1114"/>
    <w:p w14:paraId="28D245CD" w14:textId="287C5430" w:rsidR="008D1730" w:rsidRDefault="008D1730">
      <w:r w:rsidRPr="008D1730">
        <w:drawing>
          <wp:inline distT="0" distB="0" distL="0" distR="0" wp14:anchorId="44B68396" wp14:editId="5687F854">
            <wp:extent cx="5731510" cy="2937510"/>
            <wp:effectExtent l="0" t="0" r="2540" b="0"/>
            <wp:docPr id="109862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26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4CE5" w14:textId="63E4D01E" w:rsidR="0081714F" w:rsidRDefault="0081714F"/>
    <w:p w14:paraId="7FF2E445" w14:textId="77777777" w:rsidR="009D1114" w:rsidRDefault="009D1114"/>
    <w:p w14:paraId="7888775F" w14:textId="77777777" w:rsidR="00AA0EED" w:rsidRDefault="00AA0EED">
      <w:proofErr w:type="spellStart"/>
      <w:r w:rsidRPr="00AA0EED">
        <w:t>MinimumAttendance</w:t>
      </w:r>
      <w:proofErr w:type="spellEnd"/>
      <w:r w:rsidRPr="00AA0EED">
        <w:t xml:space="preserve"> = MIN('Test'[Attendance]) </w:t>
      </w:r>
    </w:p>
    <w:p w14:paraId="27972007" w14:textId="77777777" w:rsidR="00AA0EED" w:rsidRDefault="00AA0EED">
      <w:proofErr w:type="spellStart"/>
      <w:r w:rsidRPr="00AA0EED">
        <w:t>FirstQuartileAttendance</w:t>
      </w:r>
      <w:proofErr w:type="spellEnd"/>
      <w:r w:rsidRPr="00AA0EED">
        <w:t xml:space="preserve"> = PERCENTILE.INC('Test'[Attendance], 0.25) </w:t>
      </w:r>
    </w:p>
    <w:p w14:paraId="041BF73D" w14:textId="77777777" w:rsidR="00AA0EED" w:rsidRDefault="00AA0EED">
      <w:proofErr w:type="spellStart"/>
      <w:r w:rsidRPr="00AA0EED">
        <w:t>MedianAttendance</w:t>
      </w:r>
      <w:proofErr w:type="spellEnd"/>
      <w:r w:rsidRPr="00AA0EED">
        <w:t xml:space="preserve"> = PERCENTILE.INC('Test'[Attendance], 0.5) </w:t>
      </w:r>
    </w:p>
    <w:p w14:paraId="595C7CBB" w14:textId="77777777" w:rsidR="00AA0EED" w:rsidRDefault="00AA0EED">
      <w:proofErr w:type="spellStart"/>
      <w:r w:rsidRPr="00AA0EED">
        <w:t>ThirdQuartileAttendance</w:t>
      </w:r>
      <w:proofErr w:type="spellEnd"/>
      <w:r w:rsidRPr="00AA0EED">
        <w:t xml:space="preserve"> = PERCENTILE.INC('Test'[Attendance], 0.75) </w:t>
      </w:r>
    </w:p>
    <w:p w14:paraId="3729FA17" w14:textId="3FE899AE" w:rsidR="00AA0EED" w:rsidRDefault="00AA0EED">
      <w:proofErr w:type="spellStart"/>
      <w:r w:rsidRPr="00AA0EED">
        <w:lastRenderedPageBreak/>
        <w:t>MaximumAttendance</w:t>
      </w:r>
      <w:proofErr w:type="spellEnd"/>
      <w:r w:rsidRPr="00AA0EED">
        <w:t xml:space="preserve"> = MAX('Test'[Attendance])</w:t>
      </w:r>
    </w:p>
    <w:p w14:paraId="0E6A1BE9" w14:textId="77777777" w:rsidR="00FD47CB" w:rsidRDefault="00FD47CB"/>
    <w:p w14:paraId="5ACD9BE3" w14:textId="2B9A6FA0" w:rsidR="00FD47CB" w:rsidRDefault="00101768">
      <w:hyperlink r:id="rId6" w:history="1">
        <w:r w:rsidRPr="007941C7">
          <w:rPr>
            <w:rStyle w:val="Hyperlink"/>
          </w:rPr>
          <w:t>https://www.nuffic.nl/en/education-systems/united-kingdom-england-wales-and-northern-ireland/grades-and-study-results</w:t>
        </w:r>
      </w:hyperlink>
    </w:p>
    <w:p w14:paraId="0C6C0FE5" w14:textId="77777777" w:rsidR="00101768" w:rsidRDefault="00101768"/>
    <w:tbl>
      <w:tblPr>
        <w:tblW w:w="10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295"/>
        <w:gridCol w:w="5428"/>
        <w:gridCol w:w="2903"/>
      </w:tblGrid>
      <w:tr w:rsidR="00101768" w:rsidRPr="00101768" w14:paraId="7BAC9B38" w14:textId="77777777" w:rsidTr="001017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8CFC9"/>
              <w:left w:val="single" w:sz="6" w:space="0" w:color="D8CFC9"/>
              <w:bottom w:val="single" w:sz="2" w:space="0" w:color="D8CFC9"/>
              <w:right w:val="single" w:sz="6" w:space="0" w:color="D8CFC9"/>
            </w:tcBorders>
            <w:shd w:val="clear" w:color="auto" w:fill="F4EDEC"/>
            <w:hideMark/>
          </w:tcPr>
          <w:p w14:paraId="47DF4E47" w14:textId="77777777" w:rsidR="00101768" w:rsidRPr="00101768" w:rsidRDefault="00101768" w:rsidP="00101768">
            <w:pPr>
              <w:rPr>
                <w:b/>
                <w:bCs/>
              </w:rPr>
            </w:pPr>
            <w:r w:rsidRPr="00101768">
              <w:rPr>
                <w:b/>
                <w:bCs/>
              </w:rPr>
              <w:t>Letter grade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shd w:val="clear" w:color="auto" w:fill="F4EDEC"/>
            <w:hideMark/>
          </w:tcPr>
          <w:p w14:paraId="5CCAD893" w14:textId="77777777" w:rsidR="00101768" w:rsidRPr="00101768" w:rsidRDefault="00101768" w:rsidP="00101768">
            <w:pPr>
              <w:rPr>
                <w:b/>
                <w:bCs/>
              </w:rPr>
            </w:pPr>
            <w:r w:rsidRPr="00101768">
              <w:rPr>
                <w:b/>
                <w:bCs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shd w:val="clear" w:color="auto" w:fill="F4EDEC"/>
            <w:hideMark/>
          </w:tcPr>
          <w:p w14:paraId="6CE376FC" w14:textId="77777777" w:rsidR="00101768" w:rsidRPr="00101768" w:rsidRDefault="00101768" w:rsidP="00101768">
            <w:pPr>
              <w:rPr>
                <w:b/>
                <w:bCs/>
              </w:rPr>
            </w:pPr>
            <w:r w:rsidRPr="00101768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shd w:val="clear" w:color="auto" w:fill="F4EDEC"/>
            <w:hideMark/>
          </w:tcPr>
          <w:p w14:paraId="6D589DDA" w14:textId="77777777" w:rsidR="00101768" w:rsidRPr="00101768" w:rsidRDefault="00101768" w:rsidP="00101768">
            <w:pPr>
              <w:rPr>
                <w:b/>
                <w:bCs/>
              </w:rPr>
            </w:pPr>
            <w:r w:rsidRPr="00101768">
              <w:rPr>
                <w:b/>
                <w:bCs/>
              </w:rPr>
              <w:t>Meaning</w:t>
            </w:r>
          </w:p>
        </w:tc>
      </w:tr>
      <w:tr w:rsidR="00101768" w:rsidRPr="00101768" w14:paraId="37C33671" w14:textId="77777777" w:rsidTr="00101768">
        <w:trPr>
          <w:tblCellSpacing w:w="15" w:type="dxa"/>
        </w:trPr>
        <w:tc>
          <w:tcPr>
            <w:tcW w:w="0" w:type="auto"/>
            <w:tcBorders>
              <w:top w:val="single" w:sz="6" w:space="0" w:color="D8CFC9"/>
              <w:left w:val="single" w:sz="6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27CBAA42" w14:textId="77777777" w:rsidR="00101768" w:rsidRPr="00101768" w:rsidRDefault="00101768" w:rsidP="00101768">
            <w:r w:rsidRPr="00101768">
              <w:t>A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4B4F63A4" w14:textId="77777777" w:rsidR="00101768" w:rsidRPr="00101768" w:rsidRDefault="00101768" w:rsidP="00101768">
            <w:r w:rsidRPr="00101768">
              <w:t xml:space="preserve">70% </w:t>
            </w:r>
            <w:proofErr w:type="spellStart"/>
            <w:r w:rsidRPr="00101768">
              <w:t>en</w:t>
            </w:r>
            <w:proofErr w:type="spellEnd"/>
            <w:r w:rsidRPr="00101768">
              <w:t xml:space="preserve"> </w:t>
            </w:r>
            <w:proofErr w:type="spellStart"/>
            <w:r w:rsidRPr="00101768">
              <w:t>hoger</w:t>
            </w:r>
            <w:proofErr w:type="spellEnd"/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3FAE7739" w14:textId="77777777" w:rsidR="00101768" w:rsidRPr="00101768" w:rsidRDefault="00101768" w:rsidP="00101768">
            <w:r w:rsidRPr="00101768">
              <w:t>first class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2320AE16" w14:textId="77777777" w:rsidR="00101768" w:rsidRPr="00101768" w:rsidRDefault="00101768" w:rsidP="00101768">
            <w:r w:rsidRPr="00101768">
              <w:t>good to very good (cum laude)</w:t>
            </w:r>
          </w:p>
        </w:tc>
      </w:tr>
      <w:tr w:rsidR="00101768" w:rsidRPr="00101768" w14:paraId="5519FAE2" w14:textId="77777777" w:rsidTr="00101768">
        <w:trPr>
          <w:tblCellSpacing w:w="15" w:type="dxa"/>
        </w:trPr>
        <w:tc>
          <w:tcPr>
            <w:tcW w:w="0" w:type="auto"/>
            <w:tcBorders>
              <w:top w:val="single" w:sz="6" w:space="0" w:color="D8CFC9"/>
              <w:left w:val="single" w:sz="6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570C6C95" w14:textId="77777777" w:rsidR="00101768" w:rsidRPr="00101768" w:rsidRDefault="00101768" w:rsidP="00101768">
            <w:r w:rsidRPr="00101768">
              <w:t>B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12AE80AD" w14:textId="77777777" w:rsidR="00101768" w:rsidRPr="00101768" w:rsidRDefault="00101768" w:rsidP="00101768">
            <w:r w:rsidRPr="00101768">
              <w:t>60-69%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4B8B1994" w14:textId="77777777" w:rsidR="00101768" w:rsidRPr="00101768" w:rsidRDefault="00101768" w:rsidP="00101768">
            <w:r w:rsidRPr="00101768">
              <w:t>upper second class/second class division (abbreviated as 2:1)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32612D77" w14:textId="77777777" w:rsidR="00101768" w:rsidRPr="00101768" w:rsidRDefault="00101768" w:rsidP="00101768">
            <w:r w:rsidRPr="00101768">
              <w:t>more than sufficient to good</w:t>
            </w:r>
          </w:p>
        </w:tc>
      </w:tr>
      <w:tr w:rsidR="00101768" w:rsidRPr="00101768" w14:paraId="0C50A623" w14:textId="77777777" w:rsidTr="00101768">
        <w:trPr>
          <w:tblCellSpacing w:w="15" w:type="dxa"/>
        </w:trPr>
        <w:tc>
          <w:tcPr>
            <w:tcW w:w="0" w:type="auto"/>
            <w:tcBorders>
              <w:top w:val="single" w:sz="6" w:space="0" w:color="D8CFC9"/>
              <w:left w:val="single" w:sz="6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60BA82F8" w14:textId="77777777" w:rsidR="00101768" w:rsidRPr="00101768" w:rsidRDefault="00101768" w:rsidP="00101768">
            <w:r w:rsidRPr="00101768">
              <w:t>C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6E3F603F" w14:textId="77777777" w:rsidR="00101768" w:rsidRPr="00101768" w:rsidRDefault="00101768" w:rsidP="00101768">
            <w:r w:rsidRPr="00101768">
              <w:t>50-59%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105C5045" w14:textId="77777777" w:rsidR="00101768" w:rsidRPr="00101768" w:rsidRDefault="00101768" w:rsidP="00101768">
            <w:r w:rsidRPr="00101768">
              <w:t>lower second class/second class division 2 (abbreviated as 2:2)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2" w:space="0" w:color="D8CFC9"/>
              <w:right w:val="single" w:sz="6" w:space="0" w:color="D8CFC9"/>
            </w:tcBorders>
            <w:hideMark/>
          </w:tcPr>
          <w:p w14:paraId="40801273" w14:textId="77777777" w:rsidR="00101768" w:rsidRPr="00101768" w:rsidRDefault="00101768" w:rsidP="00101768">
            <w:r w:rsidRPr="00101768">
              <w:t>more than sufficient to sufficient</w:t>
            </w:r>
          </w:p>
        </w:tc>
      </w:tr>
      <w:tr w:rsidR="00101768" w:rsidRPr="00101768" w14:paraId="2F5C7F24" w14:textId="77777777" w:rsidTr="00101768">
        <w:trPr>
          <w:tblCellSpacing w:w="15" w:type="dxa"/>
        </w:trPr>
        <w:tc>
          <w:tcPr>
            <w:tcW w:w="0" w:type="auto"/>
            <w:tcBorders>
              <w:top w:val="single" w:sz="6" w:space="0" w:color="D8CFC9"/>
              <w:left w:val="single" w:sz="6" w:space="0" w:color="D8CFC9"/>
              <w:bottom w:val="single" w:sz="6" w:space="0" w:color="D8CFC9"/>
              <w:right w:val="single" w:sz="6" w:space="0" w:color="D8CFC9"/>
            </w:tcBorders>
            <w:hideMark/>
          </w:tcPr>
          <w:p w14:paraId="0D0256D3" w14:textId="77777777" w:rsidR="00101768" w:rsidRPr="00101768" w:rsidRDefault="00101768" w:rsidP="00101768">
            <w:r w:rsidRPr="00101768">
              <w:t>D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6" w:space="0" w:color="D8CFC9"/>
              <w:right w:val="single" w:sz="6" w:space="0" w:color="D8CFC9"/>
            </w:tcBorders>
            <w:hideMark/>
          </w:tcPr>
          <w:p w14:paraId="2DC9826B" w14:textId="77777777" w:rsidR="00101768" w:rsidRPr="00101768" w:rsidRDefault="00101768" w:rsidP="00101768">
            <w:r w:rsidRPr="00101768">
              <w:t>40-49%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6" w:space="0" w:color="D8CFC9"/>
              <w:right w:val="single" w:sz="6" w:space="0" w:color="D8CFC9"/>
            </w:tcBorders>
            <w:hideMark/>
          </w:tcPr>
          <w:p w14:paraId="269D0B54" w14:textId="77777777" w:rsidR="00101768" w:rsidRPr="00101768" w:rsidRDefault="00101768" w:rsidP="00101768">
            <w:r w:rsidRPr="00101768">
              <w:t>third class</w:t>
            </w:r>
          </w:p>
        </w:tc>
        <w:tc>
          <w:tcPr>
            <w:tcW w:w="0" w:type="auto"/>
            <w:tcBorders>
              <w:top w:val="single" w:sz="6" w:space="0" w:color="D8CFC9"/>
              <w:left w:val="single" w:sz="2" w:space="0" w:color="D8CFC9"/>
              <w:bottom w:val="single" w:sz="6" w:space="0" w:color="D8CFC9"/>
              <w:right w:val="single" w:sz="6" w:space="0" w:color="D8CFC9"/>
            </w:tcBorders>
            <w:hideMark/>
          </w:tcPr>
          <w:p w14:paraId="71C861CA" w14:textId="77777777" w:rsidR="00101768" w:rsidRPr="00101768" w:rsidRDefault="00101768" w:rsidP="00101768">
            <w:r w:rsidRPr="00101768">
              <w:t xml:space="preserve">just </w:t>
            </w:r>
            <w:proofErr w:type="spellStart"/>
            <w:r w:rsidRPr="00101768">
              <w:t>sufficien</w:t>
            </w:r>
            <w:proofErr w:type="spellEnd"/>
          </w:p>
        </w:tc>
      </w:tr>
    </w:tbl>
    <w:p w14:paraId="569DBFE0" w14:textId="77777777" w:rsidR="00101768" w:rsidRDefault="00101768"/>
    <w:sectPr w:rsidR="0010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14"/>
    <w:rsid w:val="00101768"/>
    <w:rsid w:val="004C63B7"/>
    <w:rsid w:val="005C2731"/>
    <w:rsid w:val="006460F9"/>
    <w:rsid w:val="0081714F"/>
    <w:rsid w:val="00861DBA"/>
    <w:rsid w:val="008D1730"/>
    <w:rsid w:val="009C7CA6"/>
    <w:rsid w:val="009D1114"/>
    <w:rsid w:val="00AA0EED"/>
    <w:rsid w:val="00B04561"/>
    <w:rsid w:val="00C7152D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772E"/>
  <w15:chartTrackingRefBased/>
  <w15:docId w15:val="{AE0F2CE5-BACF-44DC-AE08-11729F4F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ffic.nl/en/education-systems/united-kingdom-england-wales-and-northern-ireland/grades-and-study-result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Naik</dc:creator>
  <cp:keywords/>
  <dc:description/>
  <cp:lastModifiedBy>Hassan Naik</cp:lastModifiedBy>
  <cp:revision>9</cp:revision>
  <dcterms:created xsi:type="dcterms:W3CDTF">2024-11-28T11:21:00Z</dcterms:created>
  <dcterms:modified xsi:type="dcterms:W3CDTF">2024-11-28T15:43:00Z</dcterms:modified>
</cp:coreProperties>
</file>