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120"/>
      </w:pPr>
    </w:p>
    <w:p>
      <w:pPr>
        <w:spacing w:after="280"/>
        <w:jc w:val="center"/>
      </w:pPr>
      <w:r>
        <w:rPr>
          <w:rFonts w:ascii="Calibri" w:hAnsi="Calibri"/>
          <w:b/>
          <w:color w:val="0F172A"/>
          <w:sz w:val="60"/>
        </w:rPr>
        <w:t>DST Airlines DataOps</w:t>
      </w:r>
    </w:p>
    <w:p>
      <w:pPr>
        <w:spacing w:after="720"/>
        <w:jc w:val="center"/>
      </w:pPr>
      <w:r>
        <w:rPr>
          <w:color w:val="1D4ED8"/>
          <w:sz w:val="32"/>
        </w:rPr>
        <w:t>DataOps Project | June 2026 Batch | LIORA</w:t>
      </w:r>
    </w:p>
    <w:p>
      <w:pPr>
        <w:spacing w:after="120"/>
        <w:jc w:val="center"/>
      </w:pPr>
      <w:r>
        <w:rPr>
          <w:b/>
          <w:sz w:val="24"/>
        </w:rPr>
        <w:t>Project team: Hassan Salam Banayeem | Ali Doghan</w:t>
      </w:r>
    </w:p>
    <w:p>
      <w:pPr>
        <w:spacing w:after="120"/>
        <w:jc w:val="center"/>
      </w:pPr>
      <w:r>
        <w:rPr>
          <w:b/>
          <w:sz w:val="24"/>
        </w:rPr>
        <w:t>Monitoring contributor: Kristian</w:t>
      </w:r>
    </w:p>
    <w:p>
      <w:pPr>
        <w:jc w:val="center"/>
      </w:pPr>
      <w:r>
        <w:rPr>
          <w:color w:val="475569"/>
          <w:sz w:val="20"/>
        </w:rPr>
        <w:t>Updated from verified main deployment | 31 July 2026</w:t>
      </w:r>
    </w:p>
    <w:p>
      <w:pPr>
        <w:spacing w:before="900" w:after="160"/>
        <w:jc w:val="center"/>
      </w:pPr>
      <w:r>
        <w:rPr>
          <w:b/>
          <w:color w:val="166534"/>
          <w:sz w:val="26"/>
        </w:rPr>
        <w:t>LATEST VERIFIED MAIN CI/CD: SUCCESS</w:t>
      </w:r>
    </w:p>
    <w:p>
      <w:pPr>
        <w:ind w:left="720" w:right="720"/>
        <w:jc w:val="center"/>
      </w:pPr>
      <w:r>
        <w:rPr>
          <w:color w:val="475569"/>
          <w:sz w:val="20"/>
        </w:rPr>
        <w:t>The latest main pipeline passed 81 tests, Terraform validation, GHCR publication, Trivy gates, temporary Kind deployment, and smoke tests.</w:t>
      </w:r>
    </w:p>
    <w:p>
      <w:r>
        <w:br w:type="page"/>
      </w:r>
    </w:p>
    <w:p>
      <w:pPr>
        <w:spacing w:after="280"/>
      </w:pPr>
      <w:r>
        <w:rPr>
          <w:b/>
          <w:color w:val="0F172A"/>
          <w:sz w:val="44"/>
        </w:rPr>
        <w:t>Table of Contents</w:t>
      </w:r>
    </w:p>
    <w:p>
      <w:pPr>
        <w:spacing w:after="240"/>
      </w:pPr>
      <w:r>
        <w:rPr>
          <w:color w:val="475569"/>
          <w:sz w:val="20"/>
        </w:rPr>
        <w:t>Select a section title to jump directly to that section. Page numbers refer to this reviewed edition.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8496"/>
            <w:tcMar>
              <w:top w:w="45" w:type="dxa"/>
              <w:start w:w="40" w:type="dxa"/>
              <w:bottom w:w="45" w:type="dxa"/>
              <w:end w:w="40" w:type="dxa"/>
            </w:tcMar>
            <w:vAlign w:val="center"/>
          </w:tcPr>
          <w:p>
            <w:pPr>
              <w:spacing w:after="0"/>
              <w:ind w:left="0"/>
            </w:pPr>
            <w:hyperlink w:anchor="executive_summary" w:history="1">
              <w:r>
                <w:rPr>
                  <w:color w:val="1D4ED8"/>
                  <w:u w:val="single"/>
                </w:rPr>
                <w:t>1. Executive summary</w:t>
              </w:r>
            </w:hyperlink>
          </w:p>
        </w:tc>
        <w:tc>
          <w:tcPr>
            <w:tcW w:type="dxa" w:w="864"/>
            <w:tcMar>
              <w:top w:w="45" w:type="dxa"/>
              <w:start w:w="40" w:type="dxa"/>
              <w:bottom w:w="45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color w:val="475569"/>
                <w:sz w:val="20"/>
              </w:rPr>
              <w:t>3</w:t>
            </w:r>
          </w:p>
        </w:tc>
      </w:tr>
      <w:tr>
        <w:tc>
          <w:tcPr>
            <w:tcW w:type="dxa" w:w="8496"/>
            <w:tcMar>
              <w:top w:w="45" w:type="dxa"/>
              <w:start w:w="40" w:type="dxa"/>
              <w:bottom w:w="45" w:type="dxa"/>
              <w:end w:w="40" w:type="dxa"/>
            </w:tcMar>
            <w:vAlign w:val="center"/>
          </w:tcPr>
          <w:p>
            <w:pPr>
              <w:spacing w:after="0"/>
              <w:ind w:left="0"/>
            </w:pPr>
            <w:hyperlink w:anchor="application_architecture" w:history="1">
              <w:r>
                <w:rPr>
                  <w:color w:val="1D4ED8"/>
                  <w:u w:val="single"/>
                </w:rPr>
                <w:t>2. Application architecture</w:t>
              </w:r>
            </w:hyperlink>
          </w:p>
        </w:tc>
        <w:tc>
          <w:tcPr>
            <w:tcW w:type="dxa" w:w="864"/>
            <w:tcMar>
              <w:top w:w="45" w:type="dxa"/>
              <w:start w:w="40" w:type="dxa"/>
              <w:bottom w:w="45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color w:val="475569"/>
                <w:sz w:val="20"/>
              </w:rPr>
              <w:t>4</w:t>
            </w:r>
          </w:p>
        </w:tc>
      </w:tr>
      <w:tr>
        <w:tc>
          <w:tcPr>
            <w:tcW w:type="dxa" w:w="8496"/>
            <w:tcMar>
              <w:top w:w="45" w:type="dxa"/>
              <w:start w:w="40" w:type="dxa"/>
              <w:bottom w:w="45" w:type="dxa"/>
              <w:end w:w="40" w:type="dxa"/>
            </w:tcMar>
            <w:vAlign w:val="center"/>
          </w:tcPr>
          <w:p>
            <w:pPr>
              <w:spacing w:after="0"/>
              <w:ind w:left="0"/>
            </w:pPr>
            <w:hyperlink w:anchor="docker_environments" w:history="1">
              <w:r>
                <w:rPr>
                  <w:color w:val="1D4ED8"/>
                  <w:u w:val="single"/>
                </w:rPr>
                <w:t>3. Docker and environments</w:t>
              </w:r>
            </w:hyperlink>
          </w:p>
        </w:tc>
        <w:tc>
          <w:tcPr>
            <w:tcW w:type="dxa" w:w="864"/>
            <w:tcMar>
              <w:top w:w="45" w:type="dxa"/>
              <w:start w:w="40" w:type="dxa"/>
              <w:bottom w:w="45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color w:val="475569"/>
                <w:sz w:val="20"/>
              </w:rPr>
              <w:t>5</w:t>
            </w:r>
          </w:p>
        </w:tc>
      </w:tr>
      <w:tr>
        <w:tc>
          <w:tcPr>
            <w:tcW w:type="dxa" w:w="8496"/>
            <w:tcMar>
              <w:top w:w="45" w:type="dxa"/>
              <w:start w:w="40" w:type="dxa"/>
              <w:bottom w:w="45" w:type="dxa"/>
              <w:end w:w="40" w:type="dxa"/>
            </w:tcMar>
            <w:vAlign w:val="center"/>
          </w:tcPr>
          <w:p>
            <w:pPr>
              <w:spacing w:after="0"/>
              <w:ind w:left="0"/>
            </w:pPr>
            <w:hyperlink w:anchor="testing" w:history="1">
              <w:r>
                <w:rPr>
                  <w:color w:val="1D4ED8"/>
                  <w:u w:val="single"/>
                </w:rPr>
                <w:t>4. Testing</w:t>
              </w:r>
            </w:hyperlink>
          </w:p>
        </w:tc>
        <w:tc>
          <w:tcPr>
            <w:tcW w:type="dxa" w:w="864"/>
            <w:tcMar>
              <w:top w:w="45" w:type="dxa"/>
              <w:start w:w="40" w:type="dxa"/>
              <w:bottom w:w="45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color w:val="475569"/>
                <w:sz w:val="20"/>
              </w:rPr>
              <w:t>5</w:t>
            </w:r>
          </w:p>
        </w:tc>
      </w:tr>
      <w:tr>
        <w:tc>
          <w:tcPr>
            <w:tcW w:type="dxa" w:w="8496"/>
            <w:tcMar>
              <w:top w:w="45" w:type="dxa"/>
              <w:start w:w="40" w:type="dxa"/>
              <w:bottom w:w="45" w:type="dxa"/>
              <w:end w:w="40" w:type="dxa"/>
            </w:tcMar>
            <w:vAlign w:val="center"/>
          </w:tcPr>
          <w:p>
            <w:pPr>
              <w:spacing w:after="0"/>
              <w:ind w:left="0"/>
            </w:pPr>
            <w:hyperlink w:anchor="cicd" w:history="1">
              <w:r>
                <w:rPr>
                  <w:color w:val="1D4ED8"/>
                  <w:u w:val="single"/>
                </w:rPr>
                <w:t>5. CI/CD pipeline - Step 5</w:t>
              </w:r>
            </w:hyperlink>
          </w:p>
        </w:tc>
        <w:tc>
          <w:tcPr>
            <w:tcW w:type="dxa" w:w="864"/>
            <w:tcMar>
              <w:top w:w="45" w:type="dxa"/>
              <w:start w:w="40" w:type="dxa"/>
              <w:bottom w:w="45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color w:val="475569"/>
                <w:sz w:val="20"/>
              </w:rPr>
              <w:t>6</w:t>
            </w:r>
          </w:p>
        </w:tc>
      </w:tr>
      <w:tr>
        <w:tc>
          <w:tcPr>
            <w:tcW w:type="dxa" w:w="8496"/>
            <w:tcMar>
              <w:top w:w="45" w:type="dxa"/>
              <w:start w:w="40" w:type="dxa"/>
              <w:bottom w:w="45" w:type="dxa"/>
              <w:end w:w="40" w:type="dxa"/>
            </w:tcMar>
            <w:vAlign w:val="center"/>
          </w:tcPr>
          <w:p>
            <w:pPr>
              <w:spacing w:after="0"/>
              <w:ind w:left="0"/>
            </w:pPr>
            <w:hyperlink w:anchor="kubernetes" w:history="1">
              <w:r>
                <w:rPr>
                  <w:color w:val="1D4ED8"/>
                  <w:u w:val="single"/>
                </w:rPr>
                <w:t>6. Kubernetes - Step 4</w:t>
              </w:r>
            </w:hyperlink>
          </w:p>
        </w:tc>
        <w:tc>
          <w:tcPr>
            <w:tcW w:type="dxa" w:w="864"/>
            <w:tcMar>
              <w:top w:w="45" w:type="dxa"/>
              <w:start w:w="40" w:type="dxa"/>
              <w:bottom w:w="45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color w:val="475569"/>
                <w:sz w:val="20"/>
              </w:rPr>
              <w:t>7</w:t>
            </w:r>
          </w:p>
        </w:tc>
      </w:tr>
      <w:tr>
        <w:tc>
          <w:tcPr>
            <w:tcW w:type="dxa" w:w="8496"/>
            <w:tcMar>
              <w:top w:w="45" w:type="dxa"/>
              <w:start w:w="40" w:type="dxa"/>
              <w:bottom w:w="45" w:type="dxa"/>
              <w:end w:w="40" w:type="dxa"/>
            </w:tcMar>
            <w:vAlign w:val="center"/>
          </w:tcPr>
          <w:p>
            <w:pPr>
              <w:spacing w:after="0"/>
              <w:ind w:left="0"/>
            </w:pPr>
            <w:hyperlink w:anchor="terraform_proxmox" w:history="1">
              <w:r>
                <w:rPr>
                  <w:color w:val="1D4ED8"/>
                  <w:u w:val="single"/>
                </w:rPr>
                <w:t>7. Terraform and Proxmox - Step 6</w:t>
              </w:r>
            </w:hyperlink>
          </w:p>
        </w:tc>
        <w:tc>
          <w:tcPr>
            <w:tcW w:type="dxa" w:w="864"/>
            <w:tcMar>
              <w:top w:w="45" w:type="dxa"/>
              <w:start w:w="40" w:type="dxa"/>
              <w:bottom w:w="45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color w:val="475569"/>
                <w:sz w:val="20"/>
              </w:rPr>
              <w:t>8</w:t>
            </w:r>
          </w:p>
        </w:tc>
      </w:tr>
      <w:tr>
        <w:tc>
          <w:tcPr>
            <w:tcW w:type="dxa" w:w="8496"/>
            <w:tcMar>
              <w:top w:w="45" w:type="dxa"/>
              <w:start w:w="40" w:type="dxa"/>
              <w:bottom w:w="45" w:type="dxa"/>
              <w:end w:w="40" w:type="dxa"/>
            </w:tcMar>
            <w:vAlign w:val="center"/>
          </w:tcPr>
          <w:p>
            <w:pPr>
              <w:spacing w:after="0"/>
              <w:ind w:left="0"/>
            </w:pPr>
            <w:hyperlink w:anchor="monitoring" w:history="1">
              <w:r>
                <w:rPr>
                  <w:color w:val="1D4ED8"/>
                  <w:u w:val="single"/>
                </w:rPr>
                <w:t>8. Monitoring - Step 7</w:t>
              </w:r>
            </w:hyperlink>
          </w:p>
        </w:tc>
        <w:tc>
          <w:tcPr>
            <w:tcW w:type="dxa" w:w="864"/>
            <w:tcMar>
              <w:top w:w="45" w:type="dxa"/>
              <w:start w:w="40" w:type="dxa"/>
              <w:bottom w:w="45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color w:val="475569"/>
                <w:sz w:val="20"/>
              </w:rPr>
              <w:t>9</w:t>
            </w:r>
          </w:p>
        </w:tc>
      </w:tr>
      <w:tr>
        <w:tc>
          <w:tcPr>
            <w:tcW w:type="dxa" w:w="8496"/>
            <w:tcMar>
              <w:top w:w="45" w:type="dxa"/>
              <w:start w:w="40" w:type="dxa"/>
              <w:bottom w:w="45" w:type="dxa"/>
              <w:end w:w="40" w:type="dxa"/>
            </w:tcMar>
            <w:vAlign w:val="center"/>
          </w:tcPr>
          <w:p>
            <w:pPr>
              <w:spacing w:after="0"/>
              <w:ind w:left="0"/>
            </w:pPr>
            <w:hyperlink w:anchor="security" w:history="1">
              <w:r>
                <w:rPr>
                  <w:color w:val="1D4ED8"/>
                  <w:u w:val="single"/>
                </w:rPr>
                <w:t>9. Security and DevSecOps - Step 8</w:t>
              </w:r>
            </w:hyperlink>
          </w:p>
        </w:tc>
        <w:tc>
          <w:tcPr>
            <w:tcW w:type="dxa" w:w="864"/>
            <w:tcMar>
              <w:top w:w="45" w:type="dxa"/>
              <w:start w:w="40" w:type="dxa"/>
              <w:bottom w:w="45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color w:val="475569"/>
                <w:sz w:val="20"/>
              </w:rPr>
              <w:t>9</w:t>
            </w:r>
          </w:p>
        </w:tc>
      </w:tr>
      <w:tr>
        <w:tc>
          <w:tcPr>
            <w:tcW w:type="dxa" w:w="8496"/>
            <w:tcMar>
              <w:top w:w="45" w:type="dxa"/>
              <w:start w:w="40" w:type="dxa"/>
              <w:bottom w:w="45" w:type="dxa"/>
              <w:end w:w="40" w:type="dxa"/>
            </w:tcMar>
            <w:vAlign w:val="center"/>
          </w:tcPr>
          <w:p>
            <w:pPr>
              <w:spacing w:after="0"/>
              <w:ind w:left="0"/>
            </w:pPr>
            <w:hyperlink w:anchor="disaster_recovery" w:history="1">
              <w:r>
                <w:rPr>
                  <w:color w:val="1D4ED8"/>
                  <w:u w:val="single"/>
                </w:rPr>
                <w:t>10. Disaster recovery - Step 9</w:t>
              </w:r>
            </w:hyperlink>
          </w:p>
        </w:tc>
        <w:tc>
          <w:tcPr>
            <w:tcW w:type="dxa" w:w="864"/>
            <w:tcMar>
              <w:top w:w="45" w:type="dxa"/>
              <w:start w:w="40" w:type="dxa"/>
              <w:bottom w:w="45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color w:val="475569"/>
                <w:sz w:val="20"/>
              </w:rPr>
              <w:t>10</w:t>
            </w:r>
          </w:p>
        </w:tc>
      </w:tr>
      <w:tr>
        <w:tc>
          <w:tcPr>
            <w:tcW w:type="dxa" w:w="8496"/>
            <w:tcMar>
              <w:top w:w="45" w:type="dxa"/>
              <w:start w:w="40" w:type="dxa"/>
              <w:bottom w:w="45" w:type="dxa"/>
              <w:end w:w="40" w:type="dxa"/>
            </w:tcMar>
            <w:vAlign w:val="center"/>
          </w:tcPr>
          <w:p>
            <w:pPr>
              <w:spacing w:after="0"/>
              <w:ind w:left="0"/>
            </w:pPr>
            <w:hyperlink w:anchor="setup_operations" w:history="1">
              <w:r>
                <w:rPr>
                  <w:color w:val="1D4ED8"/>
                  <w:u w:val="single"/>
                </w:rPr>
                <w:t>11. Setup and operations</w:t>
              </w:r>
            </w:hyperlink>
          </w:p>
        </w:tc>
        <w:tc>
          <w:tcPr>
            <w:tcW w:type="dxa" w:w="864"/>
            <w:tcMar>
              <w:top w:w="45" w:type="dxa"/>
              <w:start w:w="40" w:type="dxa"/>
              <w:bottom w:w="45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color w:val="475569"/>
                <w:sz w:val="20"/>
              </w:rPr>
              <w:t>11</w:t>
            </w:r>
          </w:p>
        </w:tc>
      </w:tr>
      <w:tr>
        <w:tc>
          <w:tcPr>
            <w:tcW w:type="dxa" w:w="8496"/>
            <w:tcMar>
              <w:top w:w="45" w:type="dxa"/>
              <w:start w:w="40" w:type="dxa"/>
              <w:bottom w:w="45" w:type="dxa"/>
              <w:end w:w="40" w:type="dxa"/>
            </w:tcMar>
            <w:vAlign w:val="center"/>
          </w:tcPr>
          <w:p>
            <w:pPr>
              <w:spacing w:after="0"/>
              <w:ind w:left="360"/>
            </w:pPr>
            <w:hyperlink w:anchor="docker_development" w:history="1">
              <w:r>
                <w:rPr>
                  <w:color w:val="1D4ED8"/>
                  <w:u w:val="single"/>
                </w:rPr>
                <w:t>11.1 Docker development</w:t>
              </w:r>
            </w:hyperlink>
          </w:p>
        </w:tc>
        <w:tc>
          <w:tcPr>
            <w:tcW w:type="dxa" w:w="864"/>
            <w:tcMar>
              <w:top w:w="45" w:type="dxa"/>
              <w:start w:w="40" w:type="dxa"/>
              <w:bottom w:w="45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color w:val="475569"/>
                <w:sz w:val="20"/>
              </w:rPr>
              <w:t>11</w:t>
            </w:r>
          </w:p>
        </w:tc>
      </w:tr>
      <w:tr>
        <w:tc>
          <w:tcPr>
            <w:tcW w:type="dxa" w:w="8496"/>
            <w:tcMar>
              <w:top w:w="45" w:type="dxa"/>
              <w:start w:w="40" w:type="dxa"/>
              <w:bottom w:w="45" w:type="dxa"/>
              <w:end w:w="40" w:type="dxa"/>
            </w:tcMar>
            <w:vAlign w:val="center"/>
          </w:tcPr>
          <w:p>
            <w:pPr>
              <w:spacing w:after="0"/>
              <w:ind w:left="360"/>
            </w:pPr>
            <w:hyperlink w:anchor="kubernetes_setup" w:history="1">
              <w:r>
                <w:rPr>
                  <w:color w:val="1D4ED8"/>
                  <w:u w:val="single"/>
                </w:rPr>
                <w:t>11.2 Kubernetes</w:t>
              </w:r>
            </w:hyperlink>
          </w:p>
        </w:tc>
        <w:tc>
          <w:tcPr>
            <w:tcW w:type="dxa" w:w="864"/>
            <w:tcMar>
              <w:top w:w="45" w:type="dxa"/>
              <w:start w:w="40" w:type="dxa"/>
              <w:bottom w:w="45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color w:val="475569"/>
                <w:sz w:val="20"/>
              </w:rPr>
              <w:t>11</w:t>
            </w:r>
          </w:p>
        </w:tc>
      </w:tr>
      <w:tr>
        <w:tc>
          <w:tcPr>
            <w:tcW w:type="dxa" w:w="8496"/>
            <w:tcMar>
              <w:top w:w="45" w:type="dxa"/>
              <w:start w:w="40" w:type="dxa"/>
              <w:bottom w:w="45" w:type="dxa"/>
              <w:end w:w="40" w:type="dxa"/>
            </w:tcMar>
            <w:vAlign w:val="center"/>
          </w:tcPr>
          <w:p>
            <w:pPr>
              <w:spacing w:after="0"/>
              <w:ind w:left="360"/>
            </w:pPr>
            <w:hyperlink w:anchor="proxmox_setup" w:history="1">
              <w:r>
                <w:rPr>
                  <w:color w:val="1D4ED8"/>
                  <w:u w:val="single"/>
                </w:rPr>
                <w:t>11.3 Terraform on Proxmox</w:t>
              </w:r>
            </w:hyperlink>
          </w:p>
        </w:tc>
        <w:tc>
          <w:tcPr>
            <w:tcW w:type="dxa" w:w="864"/>
            <w:tcMar>
              <w:top w:w="45" w:type="dxa"/>
              <w:start w:w="40" w:type="dxa"/>
              <w:bottom w:w="45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color w:val="475569"/>
                <w:sz w:val="20"/>
              </w:rPr>
              <w:t>11</w:t>
            </w:r>
          </w:p>
        </w:tc>
      </w:tr>
      <w:tr>
        <w:tc>
          <w:tcPr>
            <w:tcW w:type="dxa" w:w="8496"/>
            <w:tcMar>
              <w:top w:w="45" w:type="dxa"/>
              <w:start w:w="40" w:type="dxa"/>
              <w:bottom w:w="45" w:type="dxa"/>
              <w:end w:w="40" w:type="dxa"/>
            </w:tcMar>
            <w:vAlign w:val="center"/>
          </w:tcPr>
          <w:p>
            <w:pPr>
              <w:spacing w:after="0"/>
              <w:ind w:left="0"/>
            </w:pPr>
            <w:hyperlink w:anchor="remaining_actions" w:history="1">
              <w:r>
                <w:rPr>
                  <w:color w:val="1D4ED8"/>
                  <w:u w:val="single"/>
                </w:rPr>
                <w:t>12. Next steps</w:t>
              </w:r>
            </w:hyperlink>
          </w:p>
        </w:tc>
        <w:tc>
          <w:tcPr>
            <w:tcW w:type="dxa" w:w="864"/>
            <w:tcMar>
              <w:top w:w="45" w:type="dxa"/>
              <w:start w:w="40" w:type="dxa"/>
              <w:bottom w:w="45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color w:val="475569"/>
                <w:sz w:val="20"/>
              </w:rPr>
              <w:t>12</w:t>
            </w:r>
          </w:p>
        </w:tc>
      </w:tr>
      <w:tr>
        <w:tc>
          <w:tcPr>
            <w:tcW w:type="dxa" w:w="8496"/>
            <w:tcMar>
              <w:top w:w="45" w:type="dxa"/>
              <w:start w:w="40" w:type="dxa"/>
              <w:bottom w:w="45" w:type="dxa"/>
              <w:end w:w="40" w:type="dxa"/>
            </w:tcMar>
            <w:vAlign w:val="center"/>
          </w:tcPr>
          <w:p>
            <w:pPr>
              <w:spacing w:after="0"/>
              <w:ind w:left="0"/>
            </w:pPr>
            <w:hyperlink w:anchor="conclusion" w:history="1">
              <w:r>
                <w:rPr>
                  <w:color w:val="1D4ED8"/>
                  <w:u w:val="single"/>
                </w:rPr>
                <w:t>13. Conclusion</w:t>
              </w:r>
            </w:hyperlink>
          </w:p>
        </w:tc>
        <w:tc>
          <w:tcPr>
            <w:tcW w:type="dxa" w:w="864"/>
            <w:tcMar>
              <w:top w:w="45" w:type="dxa"/>
              <w:start w:w="40" w:type="dxa"/>
              <w:bottom w:w="45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color w:val="475569"/>
                <w:sz w:val="20"/>
              </w:rPr>
              <w:t>13</w:t>
            </w:r>
          </w:p>
        </w:tc>
      </w:tr>
      <w:tr>
        <w:tc>
          <w:tcPr>
            <w:tcW w:type="dxa" w:w="8496"/>
            <w:tcMar>
              <w:top w:w="45" w:type="dxa"/>
              <w:start w:w="40" w:type="dxa"/>
              <w:bottom w:w="45" w:type="dxa"/>
              <w:end w:w="40" w:type="dxa"/>
            </w:tcMar>
            <w:vAlign w:val="center"/>
          </w:tcPr>
          <w:p>
            <w:pPr>
              <w:spacing w:after="0"/>
              <w:ind w:left="0"/>
            </w:pPr>
            <w:hyperlink w:anchor="evidence_map" w:history="1">
              <w:r>
                <w:rPr>
                  <w:color w:val="1D4ED8"/>
                  <w:u w:val="single"/>
                </w:rPr>
                <w:t>Appendix A. Evidence map</w:t>
              </w:r>
            </w:hyperlink>
          </w:p>
        </w:tc>
        <w:tc>
          <w:tcPr>
            <w:tcW w:type="dxa" w:w="864"/>
            <w:tcMar>
              <w:top w:w="45" w:type="dxa"/>
              <w:start w:w="40" w:type="dxa"/>
              <w:bottom w:w="45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color w:val="475569"/>
                <w:sz w:val="20"/>
              </w:rPr>
              <w:t>13</w:t>
            </w:r>
          </w:p>
        </w:tc>
      </w:tr>
    </w:tbl>
    <w:p>
      <w:r>
        <w:br w:type="page"/>
      </w:r>
    </w:p>
    <w:p>
      <w:bookmarkStart w:id="1" w:name="executive_summary"/>
      <w:pPr>
        <w:pStyle w:val="Heading1"/>
      </w:pPr>
      <w:r>
        <w:t>1. Executive summary</w:t>
      </w:r>
      <w:bookmarkEnd w:id="1"/>
    </w:p>
    <w:p>
      <w:r>
        <w:t>DST Airlines is a containerized flight-delay analytics platform. The application combines a FastAPI backend, a Dash/Plotly dashboard, three databases, machine-learning utilities, weather integration, and a DevOps delivery stack.</w:t>
      </w:r>
    </w:p>
    <w:p>
      <w:r>
        <w:t>The strongest completed area is Step 5, CI/CD. GitHub Actions runs 81 tests, validates Terraform, builds and scans API/dashboard images, publishes immutable SHA tags to GHCR, deploys to a temporary Kind cluster, and smoke-tests both web services. The latest verified main run completed the full pipeline successfully.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EF3C7"/>
          </w:tcPr>
          <w:p>
            <w:pPr>
              <w:spacing w:after="60"/>
            </w:pPr>
            <w:r>
              <w:rPr>
                <w:b/>
                <w:color w:val="0F172A"/>
              </w:rPr>
              <w:t>Important scope statement</w:t>
            </w:r>
          </w:p>
          <w:p>
            <w:pPr>
              <w:spacing w:after="0"/>
            </w:pPr>
            <w:r>
              <w:rPr>
                <w:sz w:val="20"/>
              </w:rPr>
              <w:t>Kind is temporary Kubernetes validation inside CI and disappears after the workflow. The separately deployed Proxmox environment is persistent and serves the live dashboard/API; CI does not currently promote releases to it automatically.</w:t>
            </w:r>
          </w:p>
        </w:tc>
      </w:tr>
    </w:tbl>
    <w:p>
      <w:pPr>
        <w:spacing w:after="0"/>
      </w:pPr>
    </w:p>
    <w:p>
      <w:r>
        <w:t>Repository-level configuration was clarified: committed credentials are classroom/demo defaults, production replacements must be protected, Terraform supports Docker over SSH, Grafana provisioning was repaired, and deployment/backup scripts were added. A persistent Proxmox deployment is now live; production hardening remains.</w:t>
      </w:r>
    </w:p>
    <w:p>
      <w:pPr>
        <w:spacing w:after="0"/>
      </w:pPr>
    </w:p>
    <w:p>
      <w:bookmarkStart w:id="3" w:name="application_architecture"/>
      <w:pPr>
        <w:pStyle w:val="Heading1"/>
      </w:pPr>
      <w:r>
        <w:t>2. Application architecture</w:t>
      </w:r>
      <w:bookmarkEnd w:id="3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2110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11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75569"/>
          <w:sz w:val="18"/>
        </w:rPr>
        <w:t>Figure 1. Rendered architecture corresponding to the editable Mermaid diagram in README.md.</w:t>
      </w:r>
    </w:p>
    <w:p>
      <w:r>
        <w:t>Data collection and setup scripts feed PostgreSQL, MongoDB, and Neo4j. FastAPI exposes 16 HTTP routes and supplies the dashboard. PostgreSQL contains the analytical schema, MongoDB supports flexible/live data, and Neo4j stores route relationships. The dashboard also calls Open-Meteo for live weather.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BEAFE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F172A"/>
                <w:sz w:val="18"/>
              </w:rPr>
              <w:t>Component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BEAFE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F172A"/>
                <w:sz w:val="18"/>
              </w:rPr>
              <w:t>Responsibility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BEAFE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F172A"/>
                <w:sz w:val="18"/>
              </w:rPr>
              <w:t>Important files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Collector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Kaggle/OpenSky collection and transformation.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collector/collector.py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API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Health, analytics, routes, live data, and prediction endpoints.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api/main.py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Dashboard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Seven-page Dash/Plotly user interface and API client.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dashboard/*.py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PostgreSQL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Bronze, silver, and gold analytical data.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database/sql/init.sql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MongoDB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Live flights, API responses, and prediction records.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database/db_setup.py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Neo4j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Airport nodes, route relationships, paths, and graph queries.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load_neo4j.py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Monitoring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API metrics, Prometheus scrape, Grafana dashboard.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monitoring/</w:t>
            </w:r>
          </w:p>
        </w:tc>
      </w:tr>
    </w:tbl>
    <w:p>
      <w:pPr>
        <w:spacing w:after="0"/>
      </w:pPr>
    </w:p>
    <w:p>
      <w:bookmarkStart w:id="4" w:name="docker_environments"/>
      <w:pPr>
        <w:pStyle w:val="Heading1"/>
      </w:pPr>
      <w:r>
        <w:t>3. Docker and environments</w:t>
      </w:r>
      <w:bookmarkEnd w:id="4"/>
    </w:p>
    <w:p>
      <w:r>
        <w:t>The API and dashboard have production-oriented Dockerfiles. The API also has a development Dockerfile that runs Uvicorn with reload. Docker Compose coordinates databases and application services.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BEAFE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F172A"/>
                <w:sz w:val="18"/>
              </w:rPr>
              <w:t>Configuration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BEAFE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F172A"/>
                <w:sz w:val="18"/>
              </w:rPr>
              <w:t>Services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BEAFE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F172A"/>
                <w:sz w:val="18"/>
              </w:rPr>
              <w:t>Purpose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docker-compose.dev.yml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PostgreSQL, MongoDB, Neo4j, API, dashboard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Local development; reload/debug and source mount.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docker-compose.prod.yml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Databases, API, dashboard, Prometheus, Grafana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Production-oriented stack; private DB ports and loopback web binding.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docker-compose.yml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Above plus pgAdmin, Mongo Express, Prometheus, Grafana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Full local demonstration stack.</w:t>
            </w:r>
          </w:p>
        </w:tc>
      </w:tr>
    </w:tbl>
    <w:p>
      <w:pPr>
        <w:spacing w:after="0"/>
      </w:pPr>
    </w:p>
    <w:p>
      <w:pPr>
        <w:pStyle w:val="ListBullet"/>
      </w:pPr>
      <w:r>
        <w:t>The Dockerfiles use Python 3.11 slim and are single-stage builds.</w:t>
      </w:r>
    </w:p>
    <w:p>
      <w:pPr>
        <w:pStyle w:val="ListBullet"/>
      </w:pPr>
      <w:r>
        <w:t>Named volumes preserve database and monitoring data across container restarts.</w:t>
      </w:r>
    </w:p>
    <w:p>
      <w:pPr>
        <w:pStyle w:val="ListBullet"/>
      </w:pPr>
      <w:r>
        <w:t>The development and production Compose files use separate container and volume names.</w:t>
      </w:r>
    </w:p>
    <w:p>
      <w:pPr>
        <w:pStyle w:val="ListBullet"/>
      </w:pPr>
      <w:r>
        <w:t>A Compose production configuration is not the same as a hosted production environment.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CFCE7"/>
          </w:tcPr>
          <w:p>
            <w:pPr>
              <w:spacing w:after="60"/>
            </w:pPr>
            <w:r>
              <w:rPr>
                <w:b/>
                <w:color w:val="0F172A"/>
              </w:rPr>
              <w:t>Credential workflow</w:t>
            </w:r>
          </w:p>
          <w:p>
            <w:pPr>
              <w:spacing w:after="0"/>
            </w:pPr>
            <w:r>
              <w:rPr>
                <w:sz w:val="20"/>
              </w:rPr>
              <w:t>Committed values are classroom/demo defaults. Production replacements must be unique and stored in protected GitHub/server/Kubernetes secret configuration, not committed to Git.</w:t>
            </w:r>
          </w:p>
        </w:tc>
      </w:tr>
    </w:tbl>
    <w:p>
      <w:pPr>
        <w:spacing w:after="0"/>
      </w:pPr>
    </w:p>
    <w:p>
      <w:bookmarkStart w:id="5" w:name="testing"/>
      <w:pPr>
        <w:pStyle w:val="Heading1"/>
      </w:pPr>
      <w:r>
        <w:t>4. Testing</w:t>
      </w:r>
      <w:bookmarkEnd w:id="5"/>
    </w:p>
    <w:p>
      <w:r>
        <w:t>The repository contains 81 tests. The 47 API tests exercise FastAPI routes against a seeded PostgreSQL service. The 34 dashboard tests exercise the API client, mappings, fallback data, and summary logic using mocked HTTP responses.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BEAFE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F172A"/>
                <w:sz w:val="18"/>
              </w:rPr>
              <w:t>Suite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BEAFE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F172A"/>
                <w:sz w:val="18"/>
              </w:rPr>
              <w:t>Count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BEAFE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F172A"/>
                <w:sz w:val="18"/>
              </w:rPr>
              <w:t>CI dependencies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BEAFE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F172A"/>
                <w:sz w:val="18"/>
              </w:rPr>
              <w:t>Current gaps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API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47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PostgreSQL 16, schema, deterministic seed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No coverage threshold; several external systems are not exercised.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Dashboard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34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Mocked HTTP responses and local fallback data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No browser-level end-to-end test.</w:t>
            </w:r>
          </w:p>
        </w:tc>
      </w:tr>
    </w:tbl>
    <w:p>
      <w:pPr>
        <w:spacing w:after="0"/>
      </w:pPr>
    </w:p>
    <w:p>
      <w:pPr>
        <w:spacing w:before="80" w:after="160"/>
        <w:ind w:left="259" w:right="259"/>
        <w:shd w:fill="F1F5F9"/>
      </w:pPr>
      <w:r>
        <w:rPr>
          <w:rFonts w:ascii="Consolas" w:hAnsi="Consolas"/>
          <w:color w:val="0F172A"/>
          <w:sz w:val="17"/>
        </w:rPr>
        <w:t>python -m pip install -r api/requirements.txt \</w:t>
      </w:r>
      <w:r>
        <w:br/>
      </w:r>
      <w:r>
        <w:rPr>
          <w:rFonts w:ascii="Consolas" w:hAnsi="Consolas"/>
          <w:color w:val="0F172A"/>
          <w:sz w:val="17"/>
        </w:rPr>
        <w:t xml:space="preserve">  -r dashboard/requirements.txt -r requirements-test.txt</w:t>
      </w:r>
      <w:r>
        <w:br/>
      </w:r>
      <w:r>
        <w:rPr>
          <w:rFonts w:ascii="Consolas" w:hAnsi="Consolas"/>
          <w:color w:val="0F172A"/>
          <w:sz w:val="17"/>
        </w:rPr>
        <w:t>cd dashboard &amp;&amp; python -m pytest -q test_data.py</w:t>
      </w:r>
    </w:p>
    <w:p>
      <w:r>
        <w:t>The latest main GitHub Actions run passed all 81 tests and the complete CI/CD workflow. GitHub provides the verified test, Terraform, image, security, Kind deployment, and smoke-test evidence.</w:t>
      </w:r>
    </w:p>
    <w:p>
      <w:bookmarkStart w:id="6" w:name="cicd"/>
      <w:pPr>
        <w:pStyle w:val="Heading1"/>
      </w:pPr>
      <w:r>
        <w:t>5. CI/CD pipeline - Step 5</w:t>
      </w:r>
      <w:bookmarkEnd w:id="6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2110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c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11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75569"/>
          <w:sz w:val="18"/>
        </w:rPr>
        <w:t>Figure 2. CI/CD flow. The source Mermaid diagram is maintained in README.md.</w:t>
      </w:r>
    </w:p>
    <w:p>
      <w:r>
        <w:t>The workflow is stored at .github/workflows/ci-cd.yml. It triggers for pull requests and pushes involving main, dev, or dev-ali, and it can be started manually.</w:t>
      </w:r>
    </w:p>
    <w:p>
      <w:pPr>
        <w:pStyle w:val="ListNumber"/>
      </w:pPr>
      <w:r>
        <w:t>Start PostgreSQL 16 and apply init.sql plus test_seed.sql.</w:t>
      </w:r>
    </w:p>
    <w:p>
      <w:pPr>
        <w:pStyle w:val="ListNumber"/>
      </w:pPr>
      <w:r>
        <w:t>Install Python dependencies and run all 81 tests.</w:t>
      </w:r>
    </w:p>
    <w:p>
      <w:pPr>
        <w:pStyle w:val="ListNumber"/>
      </w:pPr>
      <w:r>
        <w:t>Check Terraform formatting and validate the configuration.</w:t>
      </w:r>
    </w:p>
    <w:p>
      <w:pPr>
        <w:pStyle w:val="ListNumber"/>
      </w:pPr>
      <w:r>
        <w:t>Build the API and dashboard images with Docker Buildx.</w:t>
      </w:r>
    </w:p>
    <w:p>
      <w:pPr>
        <w:pStyle w:val="ListNumber"/>
      </w:pPr>
      <w:r>
        <w:t>For non-pull-request runs, log in to GHCR with GITHUB_TOKEN.</w:t>
      </w:r>
    </w:p>
    <w:p>
      <w:pPr>
        <w:pStyle w:val="ListNumber"/>
      </w:pPr>
      <w:r>
        <w:t>Publish both images with the immutable Git commit SHA.</w:t>
      </w:r>
    </w:p>
    <w:p>
      <w:pPr>
        <w:pStyle w:val="ListNumber"/>
      </w:pPr>
      <w:r>
        <w:t>Scan both images and fail on fixed critical vulnerabilities.</w:t>
      </w:r>
    </w:p>
    <w:p>
      <w:pPr>
        <w:pStyle w:val="ListNumber"/>
      </w:pPr>
      <w:r>
        <w:t>Create a temporary Kind cluster and local registry.</w:t>
      </w:r>
    </w:p>
    <w:p>
      <w:pPr>
        <w:pStyle w:val="ListNumber"/>
      </w:pPr>
      <w:r>
        <w:t>Mirror the GHCR images to the Kind registry and inject image names.</w:t>
      </w:r>
    </w:p>
    <w:p>
      <w:pPr>
        <w:pStyle w:val="ListNumber"/>
      </w:pPr>
      <w:r>
        <w:t>Deploy runtime configuration and workloads through deploy-k8s.sh.</w:t>
      </w:r>
    </w:p>
    <w:p>
      <w:pPr>
        <w:pStyle w:val="ListNumber"/>
      </w:pPr>
      <w:r>
        <w:t>Wait for rollouts, smoke-test the API and dashboard, and print diagnostics on failure.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BEAFE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F172A"/>
                <w:sz w:val="18"/>
              </w:rPr>
              <w:t>Pipeline behavior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BEAFE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F172A"/>
                <w:sz w:val="18"/>
              </w:rPr>
              <w:t>Pull request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BEAFE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F172A"/>
                <w:sz w:val="18"/>
              </w:rPr>
              <w:t>Push/manual run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Tests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Yes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Terraform validation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Yes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Build images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Yes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Push to GHCR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Trivy critical gate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Deploy to Kind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Smoke tests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Persistent deployment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No - Proxmox is deployed separately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EF3C7"/>
          </w:tcPr>
          <w:p>
            <w:pPr>
              <w:spacing w:after="60"/>
            </w:pPr>
            <w:r>
              <w:rPr>
                <w:b/>
                <w:color w:val="0F172A"/>
              </w:rPr>
              <w:t>What remains for a complete deployment strategy</w:t>
            </w:r>
          </w:p>
          <w:p>
            <w:pPr>
              <w:spacing w:after="0"/>
            </w:pPr>
            <w:r>
              <w:rPr>
                <w:sz w:val="20"/>
              </w:rPr>
              <w:t>Persistent demonstration: Proxmox now hosts the live dashboard and API. Still required for production: HTTPS, protected GitHub Environments, environment-specific configuration, and reviewer approval.</w:t>
            </w:r>
          </w:p>
        </w:tc>
      </w:tr>
    </w:tbl>
    <w:p>
      <w:pPr>
        <w:spacing w:after="0"/>
      </w:pPr>
    </w:p>
    <w:p>
      <w:bookmarkStart w:id="7" w:name="kubernetes"/>
      <w:pPr>
        <w:pStyle w:val="Heading1"/>
      </w:pPr>
      <w:r>
        <w:t>6. Kubernetes - Step 4</w:t>
      </w:r>
      <w:bookmarkEnd w:id="7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2110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ubernet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11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75569"/>
          <w:sz w:val="18"/>
        </w:rPr>
        <w:t>Figure 3. Current Kubernetes resource relationships inside the dst-airlines namespace.</w:t>
      </w:r>
    </w:p>
    <w:p>
      <w:r>
        <w:t>Kubernetes manifests define Deployments and Services for the API, dashboard, and three databases. Database PVCs preserve data. API and dashboard probes and resource limits support basic operational checks.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BEAFE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F172A"/>
                <w:sz w:val="18"/>
              </w:rPr>
              <w:t>Resource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BEAFE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F172A"/>
                <w:sz w:val="18"/>
              </w:rPr>
              <w:t>Implemented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BEAFE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F172A"/>
                <w:sz w:val="18"/>
              </w:rPr>
              <w:t>Limitation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Namespace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dst-airlines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No dev/prod namespace separation.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API/dashboard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Deployment, Service, probes, resource limits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One replica; placeholder image names outside CI.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Databases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Deployment, ClusterIP Service, PVC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One replica; no backup controller or HA.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Configuration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ConfigMap, Secret template, deploy script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Runtime values remain external to Git.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External access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Dashboard NodePort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No Ingress, DNS, or TLS.</w:t>
            </w:r>
          </w:p>
        </w:tc>
      </w:tr>
    </w:tbl>
    <w:p>
      <w:pPr>
        <w:spacing w:after="0"/>
      </w:pPr>
    </w:p>
    <w:p>
      <w:pPr>
        <w:pStyle w:val="ListBullet"/>
      </w:pPr>
      <w:r>
        <w:t>Kind is used in CI because it is fast and disposable; it validates Kubernetes deployment and is deleted when the workflow finishes.</w:t>
      </w:r>
    </w:p>
    <w:p>
      <w:pPr>
        <w:pStyle w:val="ListBullet"/>
      </w:pPr>
      <w:r>
        <w:t>Minikube can run the same manifests locally but is not used by the workflow.</w:t>
      </w:r>
    </w:p>
    <w:p>
      <w:pPr>
        <w:pStyle w:val="ListBullet"/>
      </w:pPr>
      <w:r>
        <w:t>Monitoring does not currently have Kubernetes manifests.</w:t>
      </w:r>
    </w:p>
    <w:p>
      <w:pPr>
        <w:pStyle w:val="ListBullet"/>
      </w:pPr>
      <w:r>
        <w:t>No Helm chart, autoscaling, NetworkPolicy, RBAC policy, or PodDisruptionBudget is defined.</w:t>
      </w:r>
    </w:p>
    <w:p>
      <w:bookmarkStart w:id="8" w:name="terraform_proxmox"/>
      <w:pPr>
        <w:pStyle w:val="Heading1"/>
      </w:pPr>
      <w:r>
        <w:t>7. Terraform and Proxmox - Step 6</w:t>
      </w:r>
      <w:bookmarkEnd w:id="8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2110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rafor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11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75569"/>
          <w:sz w:val="18"/>
        </w:rPr>
        <w:t>Figure 4. Terraform resources using a local Unix socket or SSH to a Proxmox Docker guest.</w:t>
      </w:r>
    </w:p>
    <w:p>
      <w:r>
        <w:t>Terraform uses the kreuzwerker/docker provider to manage the Docker network, volumes, databases, API, and dashboard. The persistent Proxmox-hosted environment is live and was verified on 31 July 2026: dashboard HTTP 200 on port 8050 and API HTTP 200 on port 8000.</w:t>
      </w:r>
    </w:p>
    <w:p>
      <w:pPr>
        <w:pStyle w:val="ListBullet"/>
      </w:pPr>
      <w:r>
        <w:t>Terraform manages Docker inside the Proxmox guest; it does not provision the Proxmox host, VM/LXC, or a Kubernetes cluster.</w:t>
      </w:r>
    </w:p>
    <w:p>
      <w:pPr>
        <w:pStyle w:val="ListBullet"/>
      </w:pPr>
      <w:r>
        <w:t>It does not provision monitoring, firewall rules, TLS, a load balancer, or backup storage.</w:t>
      </w:r>
    </w:p>
    <w:p>
      <w:pPr>
        <w:pStyle w:val="ListBullet"/>
      </w:pPr>
      <w:r>
        <w:t>Plain Docker TCP endpoints are rejected; local Unix socket and SSH are supported.</w:t>
      </w:r>
    </w:p>
    <w:p>
      <w:pPr>
        <w:pStyle w:val="ListBullet"/>
      </w:pPr>
      <w:r>
        <w:t>Terraform formatting and validation now run in GitHub Actions.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CFCE7"/>
          </w:tcPr>
          <w:p>
            <w:pPr>
              <w:spacing w:after="60"/>
            </w:pPr>
            <w:r>
              <w:rPr>
                <w:b/>
                <w:color w:val="0F172A"/>
              </w:rPr>
              <w:t>How Proxmox fits</w:t>
            </w:r>
          </w:p>
          <w:p>
            <w:pPr>
              <w:spacing w:after="0"/>
            </w:pPr>
            <w:r>
              <w:rPr>
                <w:sz w:val="20"/>
              </w:rPr>
              <w:t>Proxmox now provides the persistent Docker host for the live demonstration. It supports Step 2 as a hosted environment and Step 6 through Terraform-over-SSH. Kind still covers Kubernetes validation for Step 4, and CI/CD does not yet deploy automatically to Proxmox.</w:t>
            </w:r>
          </w:p>
        </w:tc>
      </w:tr>
    </w:tbl>
    <w:p>
      <w:pPr>
        <w:spacing w:after="0"/>
      </w:pPr>
    </w:p>
    <w:p>
      <w:bookmarkStart w:id="9" w:name="monitoring"/>
      <w:pPr>
        <w:pStyle w:val="Heading1"/>
      </w:pPr>
      <w:r>
        <w:t>8. Monitoring - Step 7</w:t>
      </w:r>
      <w:bookmarkEnd w:id="9"/>
    </w:p>
    <w:p>
      <w:r>
        <w:t>FastAPI exposes Prometheus metrics at /metrics. Prometheus is configured to scrape the API every 15 seconds, and Grafana includes a provisioned Prometheus data source and dashboard JSON.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BEAFE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F172A"/>
                <w:sz w:val="18"/>
              </w:rPr>
              <w:t>Area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BEAFE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F172A"/>
                <w:sz w:val="18"/>
              </w:rPr>
              <w:t>Implemented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BEAFE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F172A"/>
                <w:sz w:val="18"/>
              </w:rPr>
              <w:t>Not implemented or not verified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Metrics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FastAPI request metrics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No business or database metrics.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Collection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Prometheus scrape configuration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No Kubernetes deployment or service discovery.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Visualization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Grafana data source and dashboard JSON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Provisioning mount conflict corrected.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Alerting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None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No alert rules, notifications, SLOs, or escalation.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Logging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Container logs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No aggregation, retention, or tracing.</w:t>
            </w:r>
          </w:p>
        </w:tc>
      </w:tr>
    </w:tbl>
    <w:p>
      <w:pPr>
        <w:spacing w:after="0"/>
      </w:pPr>
    </w:p>
    <w:p>
      <w:bookmarkStart w:id="10" w:name="security"/>
      <w:pPr>
        <w:pStyle w:val="Heading1"/>
      </w:pPr>
      <w:r>
        <w:t>9. Security and DevSecOps - Step 8</w:t>
      </w:r>
      <w:bookmarkEnd w:id="10"/>
    </w:p>
    <w:p>
      <w:r>
        <w:t>The repository contains a Kubernetes Secret template, excludes environment files from Docker build contexts, uses GITHUB_TOKEN for GHCR, scans images in CI, and enables Dependabot. Python modules no longer contain password defaults; committed environment values are classroom/demo credentials that must be replaced for production.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BEAFE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F172A"/>
                <w:sz w:val="18"/>
              </w:rPr>
              <w:t>Control or finding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BEAFE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F172A"/>
                <w:sz w:val="18"/>
              </w:rPr>
              <w:t>Current state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BEAFE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F172A"/>
                <w:sz w:val="18"/>
              </w:rPr>
              <w:t>Remaining action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Tracked runtime secret files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Classroom/demo defaults committed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Replace with unique protected values before production.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Docker TCP 2375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Removed and rejected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Verify the old endpoint is disabled and review host access.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Password defaults in Python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Removed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Provide runtime values through protected configuration.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Image and dependency scanning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Trivy gate + Dependabot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Review Dependabot updates and recurring Trivy results.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Repository hygiene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Bytecode removed; ignore rules repaired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Keep generated files out of future commits.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Public production controls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Live Proxmox demo over HTTP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Add HTTPS, firewall review, NetworkPolicy, and RBAC.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EE2E2"/>
          </w:tcPr>
          <w:p>
            <w:pPr>
              <w:spacing w:after="60"/>
            </w:pPr>
            <w:r>
              <w:rPr>
                <w:b/>
                <w:color w:val="0F172A"/>
              </w:rPr>
              <w:t>Credential warning</w:t>
            </w:r>
          </w:p>
          <w:p>
            <w:pPr>
              <w:spacing w:after="0"/>
            </w:pPr>
            <w:r>
              <w:rPr>
                <w:sz w:val="20"/>
              </w:rPr>
              <w:t>Every committed credential must be treated as public. Demo values are acceptable for coursework only; production must use unique protected secrets and immediate rotation if a real service ever reused a committed value.</w:t>
            </w:r>
          </w:p>
        </w:tc>
      </w:tr>
    </w:tbl>
    <w:p>
      <w:pPr>
        <w:spacing w:after="0"/>
      </w:pPr>
    </w:p>
    <w:p>
      <w:bookmarkStart w:id="11" w:name="disaster_recovery"/>
      <w:pPr>
        <w:pStyle w:val="Heading1"/>
      </w:pPr>
      <w:r>
        <w:t>10. Disaster recovery - Step 9</w:t>
      </w:r>
      <w:bookmarkEnd w:id="11"/>
    </w:p>
    <w:p>
      <w:r>
        <w:t>DISASTER_RECOVERY.md documents backup and restore procedures for PostgreSQL, MongoDB, and Neo4j; container recovery; Kubernetes rollback; GHCR SHA rollback; Terraform recreation; and recovery order. The backup script creates timestamped files, checksums, and retention cleanup.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BEAFE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F172A"/>
                <w:sz w:val="18"/>
              </w:rPr>
              <w:t>Capability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BEAFE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F172A"/>
                <w:sz w:val="18"/>
              </w:rPr>
              <w:t>Current state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BEAFE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F172A"/>
                <w:sz w:val="18"/>
              </w:rPr>
              <w:t>Gap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Database backup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Automated script with retention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Schedule it and copy encrypted backups off-host.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Restore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Commands documented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No automated restore test or integrity verification.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Container recovery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Docker restart and Kubernetes Deployment behavior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No persistent multi-node cluster validation.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Rollback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Kubernetes and SHA image procedures documented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No release promotion record or automated rollback.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RTO/RPO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Targets stated in plan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Not measured through a recovery exercise.</w:t>
            </w:r>
          </w:p>
        </w:tc>
      </w:tr>
    </w:tbl>
    <w:p>
      <w:pPr>
        <w:spacing w:after="0"/>
      </w:pPr>
    </w:p>
    <w:p>
      <w:r>
        <w:t>The corrected plan states that single-node Minikube/Kind cannot reschedule workloads after node failure. A multi-node cluster and storage strategy are required for that behavior.</w:t>
      </w:r>
    </w:p>
    <w:p>
      <w:bookmarkStart w:id="12" w:name="setup_operations"/>
      <w:pPr>
        <w:pStyle w:val="Heading1"/>
      </w:pPr>
      <w:r>
        <w:t>11. Setup and operations</w:t>
      </w:r>
      <w:bookmarkEnd w:id="12"/>
    </w:p>
    <w:p>
      <w:bookmarkStart w:id="13" w:name="docker_development"/>
      <w:pPr>
        <w:pStyle w:val="Heading2"/>
      </w:pPr>
      <w:r>
        <w:t>11.1 Docker development</w:t>
      </w:r>
      <w:bookmarkEnd w:id="13"/>
    </w:p>
    <w:p>
      <w:pPr>
        <w:spacing w:before="80" w:after="160"/>
        <w:ind w:left="259" w:right="259"/>
        <w:shd w:fill="F1F5F9"/>
      </w:pPr>
      <w:r>
        <w:rPr>
          <w:rFonts w:ascii="Consolas" w:hAnsi="Consolas"/>
          <w:color w:val="0F172A"/>
          <w:sz w:val="17"/>
        </w:rPr>
        <w:t>git clone https://github.com/kboroz/dst-airlines-DataOps.git</w:t>
      </w:r>
      <w:r>
        <w:br/>
      </w:r>
      <w:r>
        <w:rPr>
          <w:rFonts w:ascii="Consolas" w:hAnsi="Consolas"/>
          <w:color w:val="0F172A"/>
          <w:sz w:val="17"/>
        </w:rPr>
        <w:t>cd dst-airlines-DataOps</w:t>
      </w:r>
      <w:r>
        <w:br/>
      </w:r>
      <w:r>
        <w:rPr>
          <w:rFonts w:ascii="Consolas" w:hAnsi="Consolas"/>
          <w:color w:val="0F172A"/>
          <w:sz w:val="17"/>
        </w:rPr>
        <w:t>git switch main</w:t>
      </w:r>
      <w:r>
        <w:br/>
      </w:r>
      <w:r>
        <w:rPr>
          <w:rFonts w:ascii="Consolas" w:hAnsi="Consolas"/>
          <w:color w:val="0F172A"/>
          <w:sz w:val="17"/>
        </w:rPr>
        <w:t>cp .env.dev.example .env.dev</w:t>
      </w:r>
      <w:r>
        <w:br/>
      </w:r>
      <w:r>
        <w:rPr>
          <w:rFonts w:ascii="Consolas" w:hAnsi="Consolas"/>
          <w:color w:val="0F172A"/>
          <w:sz w:val="17"/>
        </w:rPr>
        <w:t># Replace every credential placeholder in .env.dev.</w:t>
      </w:r>
      <w:r>
        <w:br/>
      </w:r>
      <w:r>
        <w:rPr>
          <w:rFonts w:ascii="Consolas" w:hAnsi="Consolas"/>
          <w:color w:val="0F172A"/>
          <w:sz w:val="17"/>
        </w:rPr>
        <w:t>docker compose --env-file .env.dev -f docker-compose.dev.yml up --build -d</w:t>
      </w:r>
    </w:p>
    <w:p>
      <w:r>
        <w:t>Create local environment values first and do not commit real secrets. The dashboard is available on port 8050 and FastAPI documentation on port 8000 at /docs.</w:t>
      </w:r>
    </w:p>
    <w:p>
      <w:bookmarkStart w:id="14" w:name="kubernetes_setup"/>
      <w:pPr>
        <w:pStyle w:val="Heading2"/>
      </w:pPr>
      <w:r>
        <w:t>11.2 Kubernetes</w:t>
      </w:r>
      <w:bookmarkEnd w:id="14"/>
    </w:p>
    <w:p>
      <w:r>
        <w:t>The verified route is the GitHub Actions Kind job. For Minikube, build the two ci-tagged images, create .env.k8s from its example, and run the same deployment script used by CI.</w:t>
      </w:r>
    </w:p>
    <w:p>
      <w:pPr>
        <w:spacing w:before="80" w:after="160"/>
        <w:ind w:left="259" w:right="259"/>
        <w:shd w:fill="F1F5F9"/>
      </w:pPr>
      <w:r>
        <w:rPr>
          <w:rFonts w:ascii="Consolas" w:hAnsi="Consolas"/>
          <w:color w:val="0F172A"/>
          <w:sz w:val="17"/>
        </w:rPr>
        <w:t>minikube start --driver=docker</w:t>
      </w:r>
      <w:r>
        <w:br/>
      </w:r>
      <w:r>
        <w:rPr>
          <w:rFonts w:ascii="Consolas" w:hAnsi="Consolas"/>
          <w:color w:val="0F172A"/>
          <w:sz w:val="17"/>
        </w:rPr>
        <w:t>eval "$(minikube docker-env)"</w:t>
      </w:r>
      <w:r>
        <w:br/>
      </w:r>
      <w:r>
        <w:rPr>
          <w:rFonts w:ascii="Consolas" w:hAnsi="Consolas"/>
          <w:color w:val="0F172A"/>
          <w:sz w:val="17"/>
        </w:rPr>
        <w:t>docker build -t dst-airlines-api:ci ./api</w:t>
      </w:r>
      <w:r>
        <w:br/>
      </w:r>
      <w:r>
        <w:rPr>
          <w:rFonts w:ascii="Consolas" w:hAnsi="Consolas"/>
          <w:color w:val="0F172A"/>
          <w:sz w:val="17"/>
        </w:rPr>
        <w:t>docker build -t dst-airlines-dashboard:ci ./dashboard</w:t>
      </w:r>
      <w:r>
        <w:br/>
      </w:r>
      <w:r>
        <w:rPr>
          <w:rFonts w:ascii="Consolas" w:hAnsi="Consolas"/>
          <w:color w:val="0F172A"/>
          <w:sz w:val="17"/>
        </w:rPr>
        <w:t>cp .env.k8s.example .env.k8s</w:t>
      </w:r>
      <w:r>
        <w:br/>
      </w:r>
      <w:r>
        <w:rPr>
          <w:rFonts w:ascii="Consolas" w:hAnsi="Consolas"/>
          <w:color w:val="0F172A"/>
          <w:sz w:val="17"/>
        </w:rPr>
        <w:t># Replace password and DATABASE_URL placeholders.</w:t>
      </w:r>
      <w:r>
        <w:br/>
      </w:r>
      <w:r>
        <w:rPr>
          <w:rFonts w:ascii="Consolas" w:hAnsi="Consolas"/>
          <w:color w:val="0F172A"/>
          <w:sz w:val="17"/>
        </w:rPr>
        <w:t>./scripts/deploy-k8s.sh</w:t>
      </w:r>
    </w:p>
    <w:p>
      <w:r>
        <w:t>Do not commit a populated Secret. The README contains the complete example command and explains the required keys.</w:t>
      </w:r>
    </w:p>
    <w:p>
      <w:bookmarkStart w:id="15" w:name="proxmox_setup"/>
      <w:pPr>
        <w:pStyle w:val="Heading2"/>
      </w:pPr>
      <w:r>
        <w:t>11.3 Terraform on Proxmox</w:t>
      </w:r>
      <w:bookmarkEnd w:id="15"/>
    </w:p>
    <w:p>
      <w:r>
        <w:t>The implemented persistent environment runs Docker in a Proxmox VM/LXC and exposes the dashboard at the verified endpoint below. Terraform supports management over SSH; plain Docker TCP port 2375 must remain disabled.</w:t>
      </w:r>
    </w:p>
    <w:p>
      <w:r>
        <w:t xml:space="preserve">Verified live dashboard: </w:t>
      </w:r>
      <w:hyperlink r:id="rId15">
        <w:r>
          <w:rPr>
            <w:color w:val="0563C1"/>
            <w:u w:val="single"/>
          </w:rPr>
          <w:t>http://51.158.200.169:8050</w:t>
        </w:r>
      </w:hyperlink>
      <w:r>
        <w:t xml:space="preserve"> | API: </w:t>
      </w:r>
      <w:hyperlink r:id="rId16">
        <w:r>
          <w:rPr>
            <w:color w:val="0563C1"/>
            <w:u w:val="single"/>
          </w:rPr>
          <w:t>http://51.158.200.169:8000</w:t>
        </w:r>
      </w:hyperlink>
    </w:p>
    <w:p>
      <w:pPr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5" name="Picture 5" title="Live DST Airlines dashboard on Proxmox" descr="Live DST Airlines overview dashboard hosted on Proxmox, showing API LIVE status, flight KPIs, filters, monthly delay trends, weekday delays, a departure-delay histogram, and the most delayed rout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026-07-31T07-54-21-178Z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</w:rPr>
        <w:t>Figure 5. Live Proxmox-hosted DST Airlines dashboard, verified 31 July 2026.</w:t>
      </w:r>
    </w:p>
    <w:p>
      <w:pPr>
        <w:spacing w:before="80" w:after="160"/>
        <w:ind w:left="259" w:right="259"/>
        <w:shd w:fill="F1F5F9"/>
      </w:pPr>
      <w:r>
        <w:rPr>
          <w:rFonts w:ascii="Consolas" w:hAnsi="Consolas"/>
          <w:color w:val="0F172A"/>
          <w:sz w:val="17"/>
        </w:rPr>
        <w:t>cp terraform/terraform.tfvars.example terraform/terraform.tfvars</w:t>
      </w:r>
      <w:r>
        <w:br/>
      </w:r>
      <w:r>
        <w:rPr>
          <w:rFonts w:ascii="Consolas" w:hAnsi="Consolas"/>
          <w:color w:val="0F172A"/>
          <w:sz w:val="17"/>
        </w:rPr>
        <w:t># Set docker_host = "ssh://docker-user@proxmox-guest:22"</w:t>
      </w:r>
      <w:r>
        <w:br/>
      </w:r>
      <w:r>
        <w:rPr>
          <w:rFonts w:ascii="Consolas" w:hAnsi="Consolas"/>
          <w:color w:val="0F172A"/>
          <w:sz w:val="17"/>
        </w:rPr>
        <w:t># Set deployment host, immutable GHCR image tags, and strong passwords.</w:t>
      </w:r>
      <w:r>
        <w:br/>
      </w:r>
      <w:r>
        <w:rPr>
          <w:rFonts w:ascii="Consolas" w:hAnsi="Consolas"/>
          <w:color w:val="0F172A"/>
          <w:sz w:val="17"/>
        </w:rPr>
        <w:t>cd terraform</w:t>
      </w:r>
      <w:r>
        <w:br/>
      </w:r>
      <w:r>
        <w:rPr>
          <w:rFonts w:ascii="Consolas" w:hAnsi="Consolas"/>
          <w:color w:val="0F172A"/>
          <w:sz w:val="17"/>
        </w:rPr>
        <w:t>terraform init</w:t>
      </w:r>
      <w:r>
        <w:br/>
      </w:r>
      <w:r>
        <w:rPr>
          <w:rFonts w:ascii="Consolas" w:hAnsi="Consolas"/>
          <w:color w:val="0F172A"/>
          <w:sz w:val="17"/>
        </w:rPr>
        <w:t>terraform plan</w:t>
      </w:r>
      <w:r>
        <w:br/>
      </w:r>
      <w:r>
        <w:rPr>
          <w:rFonts w:ascii="Consolas" w:hAnsi="Consolas"/>
          <w:color w:val="0F172A"/>
          <w:sz w:val="17"/>
        </w:rPr>
        <w:t>terraform apply</w:t>
      </w:r>
    </w:p>
    <w:p>
      <w:bookmarkStart w:id="16" w:name="remaining_actions"/>
      <w:pPr>
        <w:pStyle w:val="Heading1"/>
      </w:pPr>
      <w:r>
        <w:t>12. Next steps</w:t>
      </w:r>
      <w:bookmarkEnd w:id="16"/>
    </w:p>
    <w:p>
      <w:pPr/>
      <w:r>
        <w:t>Next steps are to rotate all classroom/demo credentials, enable HTTPS, review firewall exposure, add protected GitHub production environments with approval controls, deploy monitoring persistently with alerting, pin immutable image digests, and complete a documented backup-and-restore exercise.</w:t>
      </w:r>
    </w:p>
    <w:p>
      <w:pPr>
        <w:spacing w:after="0"/>
      </w:pPr>
    </w:p>
    <w:p>
      <w:bookmarkStart w:id="17" w:name="conclusion"/>
      <w:pPr>
        <w:pStyle w:val="Heading1"/>
      </w:pPr>
      <w:r>
        <w:t>13. Conclusion</w:t>
      </w:r>
      <w:bookmarkEnd w:id="17"/>
    </w:p>
    <w:p>
      <w:pPr>
        <w:keepNext/>
      </w:pPr>
      <w:r>
        <w:t>The project demonstrates a modern DataOps delivery system with verified CI validation and a persistent Proxmox-hosted demonstration. Step 5 is implemented: tests, Terraform validation, GHCR, Trivy, Kind deployment, and smoke tests pass. Kind proves Kubernetes deployability; Proxmox keeps the dashboard and API continuously reachable.</w:t>
      </w:r>
    </w:p>
    <w:p>
      <w:r>
        <w:t>The remaining production actions are unique protected credentials, HTTPS, firewall review, approved release controls, monitoring alerts, and a restore exercise. The current Proxmox Docker deployment is persistent but does not replace the Kubernetes validation required by Step 4.</w:t>
      </w:r>
    </w:p>
    <w:p>
      <w:bookmarkStart w:id="18" w:name="evidence_map"/>
      <w:pPr>
        <w:pStyle w:val="Heading1"/>
        <w:pageBreakBefore w:val="0"/>
      </w:pPr>
      <w:r>
        <w:t>Appendix A. Evidence map</w:t>
      </w:r>
      <w:bookmarkEnd w:id="18"/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BEAFE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F172A"/>
                <w:sz w:val="18"/>
              </w:rPr>
              <w:t>Evidence</w:t>
            </w:r>
          </w:p>
        </w:tc>
        <w:tc>
          <w:tcPr>
            <w:tcW w:type="dxa" w:w="55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BEAFE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F172A"/>
                <w:sz w:val="18"/>
              </w:rPr>
              <w:t>Purpose</w:t>
            </w:r>
          </w:p>
        </w:tc>
      </w:tr>
      <w:tr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.github/workflows/ci-cd.yml</w:t>
            </w:r>
          </w:p>
        </w:tc>
        <w:tc>
          <w:tcPr>
            <w:tcW w:type="dxa" w:w="55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CI/CD source of truth</w:t>
            </w:r>
          </w:p>
        </w:tc>
      </w:tr>
      <w:tr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.github/dependabot.yml</w:t>
            </w:r>
          </w:p>
        </w:tc>
        <w:tc>
          <w:tcPr>
            <w:tcW w:type="dxa" w:w="55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Automated dependency update configuration</w:t>
            </w:r>
          </w:p>
        </w:tc>
      </w:tr>
      <w:tr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api/test_api.py; dashboard/test_data.py</w:t>
            </w:r>
          </w:p>
        </w:tc>
        <w:tc>
          <w:tcPr>
            <w:tcW w:type="dxa" w:w="55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81 automated tests</w:t>
            </w:r>
          </w:p>
        </w:tc>
      </w:tr>
      <w:tr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k8s/*.yaml</w:t>
            </w:r>
          </w:p>
        </w:tc>
        <w:tc>
          <w:tcPr>
            <w:tcW w:type="dxa" w:w="55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Kubernetes resources</w:t>
            </w:r>
          </w:p>
        </w:tc>
      </w:tr>
      <w:tr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scripts/deploy-k8s.sh</w:t>
            </w:r>
          </w:p>
        </w:tc>
        <w:tc>
          <w:tcPr>
            <w:tcW w:type="dxa" w:w="55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Shared local/CI Kubernetes deployment</w:t>
            </w:r>
          </w:p>
        </w:tc>
      </w:tr>
      <w:tr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scripts/backup_databases.sh</w:t>
            </w:r>
          </w:p>
        </w:tc>
        <w:tc>
          <w:tcPr>
            <w:tcW w:type="dxa" w:w="55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Database backup and retention automation</w:t>
            </w:r>
          </w:p>
        </w:tc>
      </w:tr>
      <w:tr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terraform/*.tf</w:t>
            </w:r>
          </w:p>
        </w:tc>
        <w:tc>
          <w:tcPr>
            <w:tcW w:type="dxa" w:w="55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Remote Docker infrastructure definitions</w:t>
            </w:r>
          </w:p>
        </w:tc>
      </w:tr>
      <w:tr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monitoring/</w:t>
            </w:r>
          </w:p>
        </w:tc>
        <w:tc>
          <w:tcPr>
            <w:tcW w:type="dxa" w:w="55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Prometheus and Grafana configuration</w:t>
            </w:r>
          </w:p>
        </w:tc>
      </w:tr>
      <w:tr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trivy-report-*.json</w:t>
            </w:r>
          </w:p>
        </w:tc>
        <w:tc>
          <w:tcPr>
            <w:tcW w:type="dxa" w:w="55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Point-in-time vulnerability scan evidence</w:t>
            </w:r>
          </w:p>
        </w:tc>
      </w:tr>
      <w:tr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SECURITY.md</w:t>
            </w:r>
          </w:p>
        </w:tc>
        <w:tc>
          <w:tcPr>
            <w:tcW w:type="dxa" w:w="55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Security notes</w:t>
            </w:r>
          </w:p>
        </w:tc>
      </w:tr>
      <w:tr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DISASTER_RECOVERY.md</w:t>
            </w:r>
          </w:p>
        </w:tc>
        <w:tc>
          <w:tcPr>
            <w:tcW w:type="dxa" w:w="55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Recovery procedures</w:t>
            </w:r>
          </w:p>
        </w:tc>
      </w:tr>
      <w:tr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README.md</w:t>
            </w:r>
          </w:p>
        </w:tc>
        <w:tc>
          <w:tcPr>
            <w:tcW w:type="dxa" w:w="55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Operational overview and editable Mermaid diagrams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Page </w:t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color w:val="475569"/>
        <w:sz w:val="18"/>
      </w:rPr>
      <w:t>DST Airlines DataOps | Project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D4ED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D4ED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E3A8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ind w:left="900" w:hanging="271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hyperlink" Target="http://51.158.200.169:8050" TargetMode="External"/><Relationship Id="rId16" Type="http://schemas.openxmlformats.org/officeDocument/2006/relationships/hyperlink" Target="http://51.158.200.169:8000" TargetMode="External"/><Relationship Id="rId17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DST Airlines DataOps Project Report</dc:title>
  <dc:subject>Architecture, implementation status, CI/CD, and operational readiness</dc:subject>
  <dc:creator>DST Airlines Group 1</dc:creator>
  <cp:keywords>DataOps, CI/CD, Docker, Kubernetes, Terraform, Prometheus, Grafana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