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5FDD4" w14:textId="77777777" w:rsidR="00F626EE" w:rsidRDefault="00F245E4">
      <w:pPr>
        <w:spacing w:after="60"/>
        <w:jc w:val="center"/>
      </w:pPr>
      <w:r>
        <w:rPr>
          <w:color w:val="666666"/>
          <w:sz w:val="19"/>
          <w:szCs w:val="19"/>
        </w:rPr>
        <w:t>AI2002 – Artificial Intelligence | Project Phase 1 Submission</w:t>
      </w:r>
    </w:p>
    <w:p w14:paraId="0195FDD5" w14:textId="77777777" w:rsidR="00F626EE" w:rsidRDefault="00F245E4">
      <w:pPr>
        <w:spacing w:after="100"/>
        <w:jc w:val="center"/>
      </w:pPr>
      <w:r>
        <w:rPr>
          <w:b/>
          <w:bCs/>
          <w:color w:val="1F4E79"/>
          <w:sz w:val="34"/>
          <w:szCs w:val="34"/>
        </w:rPr>
        <w:t>From Prediction to Prescription: An Explainable AI Framework for Value-Based Customer Retention in the Telecom Sector</w:t>
      </w:r>
    </w:p>
    <w:p w14:paraId="0195FDD6" w14:textId="313FB91D" w:rsidR="00F626EE" w:rsidRDefault="00F245E4" w:rsidP="005925ED">
      <w:pPr>
        <w:spacing w:after="60"/>
        <w:jc w:val="center"/>
      </w:pPr>
      <w:r>
        <w:rPr>
          <w:color w:val="555555"/>
          <w:sz w:val="20"/>
          <w:szCs w:val="20"/>
        </w:rPr>
        <w:t xml:space="preserve">Track A: Research &amp; Development (R&amp;D) </w:t>
      </w:r>
      <w:r>
        <w:rPr>
          <w:color w:val="555555"/>
          <w:sz w:val="20"/>
          <w:szCs w:val="20"/>
        </w:rPr>
        <w:t xml:space="preserve">| </w:t>
      </w:r>
      <w:r>
        <w:rPr>
          <w:color w:val="555555"/>
          <w:sz w:val="20"/>
          <w:szCs w:val="20"/>
        </w:rPr>
        <w:t xml:space="preserve">Group ID: </w:t>
      </w:r>
      <w:r w:rsidR="005925ED" w:rsidRPr="005925ED">
        <w:rPr>
          <w:color w:val="555555"/>
          <w:sz w:val="20"/>
          <w:szCs w:val="20"/>
        </w:rPr>
        <w:t>F26-11</w:t>
      </w:r>
      <w:r>
        <w:rPr>
          <w:color w:val="555555"/>
          <w:sz w:val="20"/>
          <w:szCs w:val="20"/>
        </w:rPr>
        <w:t xml:space="preserve">  </w:t>
      </w:r>
    </w:p>
    <w:p w14:paraId="5E010A40" w14:textId="23EE6954" w:rsidR="005925ED" w:rsidRPr="005925ED" w:rsidRDefault="00F245E4" w:rsidP="005925ED">
      <w:pPr>
        <w:spacing w:after="160"/>
        <w:jc w:val="center"/>
        <w:rPr>
          <w:color w:val="555555"/>
          <w:sz w:val="20"/>
          <w:szCs w:val="20"/>
        </w:rPr>
      </w:pPr>
      <w:r>
        <w:rPr>
          <w:color w:val="555555"/>
          <w:sz w:val="20"/>
          <w:szCs w:val="20"/>
        </w:rPr>
        <w:t>Group members:</w:t>
      </w:r>
      <w:r w:rsidR="005925ED">
        <w:rPr>
          <w:color w:val="555555"/>
          <w:sz w:val="20"/>
          <w:szCs w:val="20"/>
        </w:rPr>
        <w:t xml:space="preserve"> Saqib Qazi, 24L-2506 ; Hassan Shakil, 24L-2521; Ammara Saleem, 24L-2571</w:t>
      </w:r>
    </w:p>
    <w:p w14:paraId="0195FDD8" w14:textId="77777777" w:rsidR="00F626EE" w:rsidRDefault="00F245E4">
      <w:pPr>
        <w:pStyle w:val="Heading2"/>
        <w:spacing w:before="240" w:after="100"/>
      </w:pPr>
      <w:r>
        <w:rPr>
          <w:b/>
          <w:bCs/>
          <w:color w:val="1F4E79"/>
          <w:sz w:val="25"/>
          <w:szCs w:val="25"/>
        </w:rPr>
        <w:t>1. Problem Statement</w:t>
      </w:r>
    </w:p>
    <w:p w14:paraId="0195FDD9" w14:textId="77777777" w:rsidR="00F626EE" w:rsidRDefault="00F245E4">
      <w:pPr>
        <w:spacing w:after="110" w:line="280" w:lineRule="auto"/>
      </w:pPr>
      <w:r>
        <w:t>Customer churn is one of the costliest problems in the telecom sector: acquiring a new subscriber is far more expensive than retaining an existing one. Most published churn-prediction work frames the task as binary classification and stops at reporting accuracy. This leaves three practical gaps:</w:t>
      </w:r>
    </w:p>
    <w:p w14:paraId="0195FDDA" w14:textId="77777777" w:rsidR="00F626EE" w:rsidRDefault="00F245E4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No value-weighting: </w:t>
      </w:r>
      <w:r>
        <w:t>a high-risk customer paying a small monthly fee and one paying a large fee are treated identically, though their retention value differs sharply.</w:t>
      </w:r>
    </w:p>
    <w:p w14:paraId="0195FDDB" w14:textId="77777777" w:rsidR="00F626EE" w:rsidRDefault="00F245E4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No individual-level explanation: </w:t>
      </w:r>
      <w:r>
        <w:t>feature-importance rankings describe the model globally but do not tell a retention manager why a specific customer was flagged.</w:t>
      </w:r>
    </w:p>
    <w:p w14:paraId="0195FDDC" w14:textId="77777777" w:rsidR="00F626EE" w:rsidRDefault="00F245E4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No prescription: </w:t>
      </w:r>
      <w:r>
        <w:t>a probability score is not an action; there is no step that decides who to target first under a limited retention budget.</w:t>
      </w:r>
    </w:p>
    <w:p w14:paraId="0195FDDD" w14:textId="77777777" w:rsidR="00F626EE" w:rsidRDefault="00F245E4">
      <w:pPr>
        <w:spacing w:after="110" w:line="280" w:lineRule="auto"/>
      </w:pPr>
      <w:r>
        <w:rPr>
          <w:b/>
          <w:bCs/>
        </w:rPr>
        <w:t xml:space="preserve">Research question: </w:t>
      </w:r>
      <w:r>
        <w:t>Can a framework that combines churn prediction, Customer Lifetime Value (CLV) estimation and SHAP-based explainability produce a more actionable retention strategy than plain churn classification?</w:t>
      </w:r>
    </w:p>
    <w:p w14:paraId="0195FDDE" w14:textId="77777777" w:rsidR="00F626EE" w:rsidRDefault="00F245E4">
      <w:pPr>
        <w:pStyle w:val="Heading2"/>
        <w:spacing w:before="240" w:after="100"/>
      </w:pPr>
      <w:r>
        <w:rPr>
          <w:b/>
          <w:bCs/>
          <w:color w:val="1F4E79"/>
          <w:sz w:val="25"/>
          <w:szCs w:val="25"/>
        </w:rPr>
        <w:t>2. Dataset</w:t>
      </w:r>
    </w:p>
    <w:p w14:paraId="0195FDDF" w14:textId="77777777" w:rsidR="00F626EE" w:rsidRDefault="00F245E4">
      <w:pPr>
        <w:spacing w:after="110" w:line="280" w:lineRule="auto"/>
      </w:pPr>
      <w:r>
        <w:rPr>
          <w:b/>
          <w:bCs/>
        </w:rPr>
        <w:t xml:space="preserve">Telecom Customer Churn </w:t>
      </w:r>
      <w:r>
        <w:t>(Maven Analytics, public). Customer-level records for a California-based telecom provider, with an accompanying data dictionary and a zip-code population file.</w:t>
      </w:r>
    </w:p>
    <w:tbl>
      <w:tblPr>
        <w:tblW w:w="99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900"/>
      </w:tblGrid>
      <w:tr w:rsidR="00F626EE" w14:paraId="0195FD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95FDE0" w14:textId="77777777" w:rsidR="00F626EE" w:rsidRDefault="00F245E4"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79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95FDE1" w14:textId="77777777" w:rsidR="00F626EE" w:rsidRDefault="00F245E4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F626EE" w14:paraId="0195FDE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95FDE3" w14:textId="77777777" w:rsidR="00F626EE" w:rsidRDefault="00F245E4">
            <w:r>
              <w:t>Size</w:t>
            </w:r>
          </w:p>
        </w:tc>
        <w:tc>
          <w:tcPr>
            <w:tcW w:w="7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95FDE4" w14:textId="77777777" w:rsidR="00F626EE" w:rsidRDefault="00F245E4">
            <w:r>
              <w:t>7,043 customers × 38 attributes</w:t>
            </w:r>
          </w:p>
        </w:tc>
      </w:tr>
      <w:tr w:rsidR="00F626EE" w14:paraId="0195FDE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AF2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95FDE6" w14:textId="77777777" w:rsidR="00F626EE" w:rsidRDefault="00F245E4">
            <w:r>
              <w:t>Target</w:t>
            </w:r>
          </w:p>
        </w:tc>
        <w:tc>
          <w:tcPr>
            <w:tcW w:w="7900" w:type="dxa"/>
            <w:shd w:val="clear" w:color="auto" w:fill="EAF2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95FDE7" w14:textId="77777777" w:rsidR="00F626EE" w:rsidRDefault="00F245E4">
            <w:r>
              <w:rPr>
                <w:i/>
                <w:iCs/>
              </w:rPr>
              <w:t>Customer Status</w:t>
            </w:r>
            <w:r>
              <w:t>: Stayed 4,720 (67.0%), Churned 1,869 (26.5%), Joined 454 (6.4%). Treated as binary (churned vs. retained); 'Joined' customers are retained and will be handled and documented explicitly during preprocessing.</w:t>
            </w:r>
          </w:p>
        </w:tc>
      </w:tr>
      <w:tr w:rsidR="00F626EE" w14:paraId="0195FDE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95FDE9" w14:textId="77777777" w:rsidR="00F626EE" w:rsidRDefault="00F245E4">
            <w:r>
              <w:t>Feature groups</w:t>
            </w:r>
          </w:p>
        </w:tc>
        <w:tc>
          <w:tcPr>
            <w:tcW w:w="7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95FDEA" w14:textId="77777777" w:rsidR="00F626EE" w:rsidRDefault="00F245E4">
            <w:r>
              <w:t>Demographics (age, gender, marital status, dependents); subscription (contract, tenure, phone/internet services, add-ons); financial (monthly charge, total charges, total revenue, refunds); location (city, zip, lat/long).</w:t>
            </w:r>
          </w:p>
        </w:tc>
      </w:tr>
      <w:tr w:rsidR="00F626EE" w14:paraId="0195FDE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AF2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95FDEC" w14:textId="77777777" w:rsidR="00F626EE" w:rsidRDefault="00F245E4">
            <w:r>
              <w:t>Known issues</w:t>
            </w:r>
          </w:p>
        </w:tc>
        <w:tc>
          <w:tcPr>
            <w:tcW w:w="7900" w:type="dxa"/>
            <w:shd w:val="clear" w:color="auto" w:fill="EAF2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95FDED" w14:textId="77777777" w:rsidR="00F626EE" w:rsidRDefault="00F245E4">
            <w:r>
              <w:t>Missing values in service-dependent fields (e.g., no internet subscription), class imbalance (~27% churn); post-churn fields (</w:t>
            </w:r>
            <w:r>
              <w:rPr>
                <w:i/>
                <w:iCs/>
              </w:rPr>
              <w:t>Churn Category/Reason</w:t>
            </w:r>
            <w:r>
              <w:t>) must be excluded to avoid target leakage.</w:t>
            </w:r>
          </w:p>
        </w:tc>
      </w:tr>
      <w:tr w:rsidR="00F626EE" w14:paraId="0195FDF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95FDEF" w14:textId="77777777" w:rsidR="00F626EE" w:rsidRDefault="00F245E4">
            <w:r>
              <w:t>Source</w:t>
            </w:r>
          </w:p>
        </w:tc>
        <w:tc>
          <w:tcPr>
            <w:tcW w:w="7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95FDF0" w14:textId="77777777" w:rsidR="00F626EE" w:rsidRDefault="00F245E4">
            <w:r>
              <w:t>https://mavenanalytics.io/data-playground?search=churn</w:t>
            </w:r>
          </w:p>
        </w:tc>
      </w:tr>
    </w:tbl>
    <w:p w14:paraId="0195FDF2" w14:textId="77777777" w:rsidR="00F626EE" w:rsidRDefault="00F245E4">
      <w:pPr>
        <w:pStyle w:val="Heading2"/>
        <w:spacing w:before="240" w:after="100"/>
      </w:pPr>
      <w:r>
        <w:rPr>
          <w:b/>
          <w:bCs/>
          <w:color w:val="1F4E79"/>
          <w:sz w:val="25"/>
          <w:szCs w:val="25"/>
        </w:rPr>
        <w:t>3. Paper Link / Related Work (Track A – no single paper is being reproduced)</w:t>
      </w:r>
    </w:p>
    <w:p w14:paraId="0195FDF3" w14:textId="77777777" w:rsidR="00F626EE" w:rsidRDefault="00F245E4">
      <w:pPr>
        <w:spacing w:after="110" w:line="280" w:lineRule="auto"/>
      </w:pPr>
      <w:r>
        <w:t>The project is original work motivated by a gap in the literature below; the methods build on these references:</w:t>
      </w:r>
    </w:p>
    <w:p w14:paraId="0195FDF4" w14:textId="77777777" w:rsidR="00F626EE" w:rsidRDefault="00F245E4">
      <w:pPr>
        <w:pStyle w:val="ListParagraph"/>
        <w:numPr>
          <w:ilvl w:val="0"/>
          <w:numId w:val="2"/>
        </w:numPr>
        <w:spacing w:after="60" w:line="270" w:lineRule="auto"/>
      </w:pPr>
      <w:r>
        <w:t xml:space="preserve">Ahmad, Jafar &amp; Aljoumaa (2019), </w:t>
      </w:r>
      <w:r>
        <w:rPr>
          <w:i/>
          <w:iCs/>
        </w:rPr>
        <w:t>Customer churn prediction in telecom using machine learning in big data platform</w:t>
      </w:r>
      <w:r>
        <w:t xml:space="preserve">, Journal of Big Data. </w:t>
      </w:r>
      <w:r>
        <w:t>https://doi.org/10.1186/s40537-019-0191-6</w:t>
      </w:r>
    </w:p>
    <w:p w14:paraId="0195FDF5" w14:textId="77777777" w:rsidR="00F626EE" w:rsidRDefault="00F245E4">
      <w:pPr>
        <w:pStyle w:val="ListParagraph"/>
        <w:numPr>
          <w:ilvl w:val="0"/>
          <w:numId w:val="2"/>
        </w:numPr>
        <w:spacing w:after="60" w:line="270" w:lineRule="auto"/>
      </w:pPr>
      <w:r>
        <w:t xml:space="preserve">Jain, Khunteta &amp; Srivastava (2020), </w:t>
      </w:r>
      <w:r>
        <w:rPr>
          <w:i/>
          <w:iCs/>
        </w:rPr>
        <w:t>Churn prediction in telecommunication using Logistic Regression and Logit Boost</w:t>
      </w:r>
      <w:r>
        <w:t>, Procedia Computer Science. https://doi.org/10.1016/j.procs.2020.03.187</w:t>
      </w:r>
    </w:p>
    <w:p w14:paraId="0195FDF6" w14:textId="77777777" w:rsidR="00F626EE" w:rsidRDefault="00F245E4">
      <w:pPr>
        <w:pStyle w:val="ListParagraph"/>
        <w:numPr>
          <w:ilvl w:val="0"/>
          <w:numId w:val="2"/>
        </w:numPr>
        <w:spacing w:after="60" w:line="270" w:lineRule="auto"/>
      </w:pPr>
      <w:r>
        <w:t xml:space="preserve">Coussement &amp; Van den Poel (2008), </w:t>
      </w:r>
      <w:r>
        <w:rPr>
          <w:i/>
          <w:iCs/>
        </w:rPr>
        <w:t>Churn prediction in subscription services: an application of support vector machines</w:t>
      </w:r>
      <w:r>
        <w:t>, Expert Systems with Applications. https://doi.org/10.1016/j.eswa.2006.09.038</w:t>
      </w:r>
    </w:p>
    <w:p w14:paraId="0195FDF7" w14:textId="77777777" w:rsidR="00F626EE" w:rsidRDefault="00F245E4">
      <w:pPr>
        <w:pStyle w:val="ListParagraph"/>
        <w:numPr>
          <w:ilvl w:val="0"/>
          <w:numId w:val="2"/>
        </w:numPr>
        <w:spacing w:after="60" w:line="270" w:lineRule="auto"/>
      </w:pPr>
      <w:r>
        <w:t xml:space="preserve">Lundberg &amp; Lee (2017), </w:t>
      </w:r>
      <w:r>
        <w:rPr>
          <w:i/>
          <w:iCs/>
        </w:rPr>
        <w:t>A Unified Approach to Interpreting Model Predictions</w:t>
      </w:r>
      <w:r>
        <w:t xml:space="preserve"> (SHAP), NeurIPS. https://arxiv.org/abs/1705.07874</w:t>
      </w:r>
    </w:p>
    <w:p w14:paraId="0195FDF8" w14:textId="77777777" w:rsidR="00F626EE" w:rsidRDefault="00F245E4">
      <w:pPr>
        <w:pStyle w:val="ListParagraph"/>
        <w:numPr>
          <w:ilvl w:val="0"/>
          <w:numId w:val="2"/>
        </w:numPr>
        <w:spacing w:after="60" w:line="270" w:lineRule="auto"/>
      </w:pPr>
      <w:r>
        <w:lastRenderedPageBreak/>
        <w:t xml:space="preserve">Chen &amp; Guestrin (2016), </w:t>
      </w:r>
      <w:r>
        <w:rPr>
          <w:i/>
          <w:iCs/>
        </w:rPr>
        <w:t>XGBoost: A Scalable Tree Boosting System</w:t>
      </w:r>
      <w:r>
        <w:t>, KDD. https://doi.org/10.1145/2939672.2939785</w:t>
      </w:r>
    </w:p>
    <w:p w14:paraId="0195FDF9" w14:textId="77777777" w:rsidR="00F626EE" w:rsidRDefault="00F245E4">
      <w:pPr>
        <w:pStyle w:val="Heading2"/>
        <w:spacing w:before="240" w:after="100"/>
      </w:pPr>
      <w:r>
        <w:rPr>
          <w:b/>
          <w:bCs/>
          <w:color w:val="1F4E79"/>
          <w:sz w:val="25"/>
          <w:szCs w:val="25"/>
        </w:rPr>
        <w:t>4. Scope of the Project</w:t>
      </w:r>
    </w:p>
    <w:p w14:paraId="0195FDFA" w14:textId="77777777" w:rsidR="00F626EE" w:rsidRDefault="00F245E4">
      <w:pPr>
        <w:spacing w:after="110" w:line="280" w:lineRule="auto"/>
      </w:pPr>
      <w:r>
        <w:rPr>
          <w:b/>
          <w:bCs/>
        </w:rPr>
        <w:t xml:space="preserve">In scope </w:t>
      </w:r>
      <w:r>
        <w:t>(four layers, all built from scratch on the dataset above):</w:t>
      </w:r>
    </w:p>
    <w:tbl>
      <w:tblPr>
        <w:tblW w:w="99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900"/>
      </w:tblGrid>
      <w:tr w:rsidR="00F626EE" w14:paraId="0195FD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95FDFB" w14:textId="77777777" w:rsidR="00F626EE" w:rsidRDefault="00F245E4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79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95FDFC" w14:textId="77777777" w:rsidR="00F626EE" w:rsidRDefault="00F245E4">
            <w:r>
              <w:rPr>
                <w:b/>
                <w:bCs/>
                <w:color w:val="FFFFFF"/>
                <w:sz w:val="20"/>
                <w:szCs w:val="20"/>
              </w:rPr>
              <w:t>What will be done</w:t>
            </w:r>
          </w:p>
        </w:tc>
      </w:tr>
      <w:tr w:rsidR="00F626EE" w14:paraId="0195FE0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95FDFE" w14:textId="77777777" w:rsidR="00F626EE" w:rsidRDefault="00F245E4">
            <w:r>
              <w:t>1. Prediction</w:t>
            </w:r>
          </w:p>
        </w:tc>
        <w:tc>
          <w:tcPr>
            <w:tcW w:w="7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95FDFF" w14:textId="402B9883" w:rsidR="00F626EE" w:rsidRDefault="00F245E4">
            <w:r>
              <w:t>Clean and encode the data; train and tune Logistic Regression, Random Forest and XGBoost; compare with accuracy, precision, recall, F1 and ROC-AUC; ablation across feature-selection strategies (all features vs. correlation-based vs. importance-based); handle class imbalance.</w:t>
            </w:r>
            <w:r w:rsidR="00B02222">
              <w:t xml:space="preserve"> Cost sensitive learning as training is weighted by CLV and the 0.5 probability threshold is replaced by a cost based decision rule.</w:t>
            </w:r>
          </w:p>
        </w:tc>
      </w:tr>
      <w:tr w:rsidR="00F626EE" w14:paraId="0195FE0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AF2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95FE01" w14:textId="77777777" w:rsidR="00F626EE" w:rsidRDefault="00F245E4">
            <w:r>
              <w:t>2. Valuation (CLV)</w:t>
            </w:r>
          </w:p>
        </w:tc>
        <w:tc>
          <w:tcPr>
            <w:tcW w:w="7900" w:type="dxa"/>
            <w:shd w:val="clear" w:color="auto" w:fill="EAF2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95FE02" w14:textId="77777777" w:rsidR="00F626EE" w:rsidRDefault="00F245E4">
            <w:r>
              <w:t>Historical CLV from revenue fields, and predictive CLV = monthly charge × expected remaining tenure; compare the two and select one for the prescriptive layer.</w:t>
            </w:r>
          </w:p>
        </w:tc>
      </w:tr>
      <w:tr w:rsidR="00F626EE" w14:paraId="0195FE0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95FE04" w14:textId="77777777" w:rsidR="00F626EE" w:rsidRDefault="00F245E4">
            <w:r>
              <w:t>3. Explainability</w:t>
            </w:r>
          </w:p>
        </w:tc>
        <w:tc>
          <w:tcPr>
            <w:tcW w:w="7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95FE05" w14:textId="77777777" w:rsidR="00F626EE" w:rsidRDefault="00F245E4">
            <w:r>
              <w:t>SHAP global explanations (summary plots) and local per-customer explanations for flagged customers.</w:t>
            </w:r>
          </w:p>
        </w:tc>
      </w:tr>
      <w:tr w:rsidR="00F626EE" w14:paraId="0195FE0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AF2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95FE07" w14:textId="77777777" w:rsidR="00F626EE" w:rsidRDefault="00F245E4">
            <w:r>
              <w:t>4. Prescription</w:t>
            </w:r>
          </w:p>
        </w:tc>
        <w:tc>
          <w:tcPr>
            <w:tcW w:w="7900" w:type="dxa"/>
            <w:shd w:val="clear" w:color="auto" w:fill="EAF2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95FE08" w14:textId="57A62D4E" w:rsidR="00F626EE" w:rsidRDefault="000C6616" w:rsidP="000C6616">
            <w:r w:rsidRPr="000C6616">
              <w:t>A budget-constrained optimization model assigns retention actions to customers to maximize expected net value, using churn probability, CLV and SHAP-derived driver information. The Risk × CLV matrix is retained as a baseline.</w:t>
            </w:r>
            <w:r w:rsidR="00F245E4">
              <w:t>.</w:t>
            </w:r>
          </w:p>
        </w:tc>
      </w:tr>
      <w:tr w:rsidR="00F626EE" w14:paraId="0195FE0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95FE0A" w14:textId="77777777" w:rsidR="00F626EE" w:rsidRDefault="00F245E4">
            <w:r>
              <w:t>Evaluation</w:t>
            </w:r>
          </w:p>
        </w:tc>
        <w:tc>
          <w:tcPr>
            <w:tcW w:w="7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95FE0B" w14:textId="77777777" w:rsidR="00F626EE" w:rsidRDefault="00F245E4">
            <w:r>
              <w:t>Bias/fairness check of error rates across demographic subgroups (age band, marital status, dependents).</w:t>
            </w:r>
          </w:p>
        </w:tc>
      </w:tr>
      <w:tr w:rsidR="00F626EE" w14:paraId="0195FE0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AF2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95FE0D" w14:textId="77777777" w:rsidR="00F626EE" w:rsidRDefault="00F245E4">
            <w:r>
              <w:t>Deliverables</w:t>
            </w:r>
          </w:p>
        </w:tc>
        <w:tc>
          <w:tcPr>
            <w:tcW w:w="7900" w:type="dxa"/>
            <w:shd w:val="clear" w:color="auto" w:fill="EAF2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95FE0E" w14:textId="77777777" w:rsidR="00F626EE" w:rsidRDefault="00F245E4">
            <w:r>
              <w:t>Reproducible codebase, LaTeX technical report with error analysis, Power BI dashboard on the scored output; optional Streamlit SHAP explorer (bonus).</w:t>
            </w:r>
          </w:p>
        </w:tc>
      </w:tr>
    </w:tbl>
    <w:p w14:paraId="0195FE10" w14:textId="77777777" w:rsidR="00F626EE" w:rsidRDefault="00F626EE">
      <w:pPr>
        <w:spacing w:after="80"/>
      </w:pPr>
    </w:p>
    <w:p w14:paraId="0195FE12" w14:textId="474351A7" w:rsidR="00F626EE" w:rsidRDefault="00F245E4">
      <w:pPr>
        <w:spacing w:after="110" w:line="280" w:lineRule="auto"/>
      </w:pPr>
      <w:r>
        <w:rPr>
          <w:b/>
          <w:bCs/>
        </w:rPr>
        <w:t xml:space="preserve">Assumptions and limitations: </w:t>
      </w:r>
      <w:r>
        <w:t>the dataset is a single snapshot from one provider, so findings may not generalise to other markets; CLV is an estimate from the available fields, not observed future revenue; the prescriptive segments are decision-support recommendations, not validated causal effects.</w:t>
      </w:r>
      <w:r w:rsidR="000C6616">
        <w:t xml:space="preserve"> Additionally, there are no intervention based outcomes in the dataset. So, the action effectiveness is just an assumption</w:t>
      </w:r>
      <w:r w:rsidR="007753BA">
        <w:t>.</w:t>
      </w:r>
    </w:p>
    <w:p w14:paraId="0195FE14" w14:textId="38C0D627" w:rsidR="00F626EE" w:rsidRDefault="00F245E4" w:rsidP="001C4310">
      <w:pPr>
        <w:spacing w:after="110" w:line="280" w:lineRule="auto"/>
      </w:pPr>
      <w:r>
        <w:rPr>
          <w:b/>
          <w:bCs/>
        </w:rPr>
        <w:t xml:space="preserve">Success criteria: </w:t>
      </w:r>
      <w:r>
        <w:t>three tuned models compared on identical splits; CLV scores for every customer; working global and local SHAP explanations; a justified segmentation with a priority list; and a documented bias check.</w:t>
      </w:r>
    </w:p>
    <w:sectPr w:rsidR="00F626EE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4383F"/>
    <w:multiLevelType w:val="hybridMultilevel"/>
    <w:tmpl w:val="067E8EBC"/>
    <w:lvl w:ilvl="0" w:tplc="619AAC8C">
      <w:start w:val="1"/>
      <w:numFmt w:val="bullet"/>
      <w:lvlText w:val="•"/>
      <w:lvlJc w:val="left"/>
      <w:pPr>
        <w:ind w:left="460" w:hanging="260"/>
      </w:pPr>
    </w:lvl>
    <w:lvl w:ilvl="1" w:tplc="282EBADA">
      <w:numFmt w:val="decimal"/>
      <w:lvlText w:val=""/>
      <w:lvlJc w:val="left"/>
    </w:lvl>
    <w:lvl w:ilvl="2" w:tplc="EA1E07BA">
      <w:numFmt w:val="decimal"/>
      <w:lvlText w:val=""/>
      <w:lvlJc w:val="left"/>
    </w:lvl>
    <w:lvl w:ilvl="3" w:tplc="DAE646BC">
      <w:numFmt w:val="decimal"/>
      <w:lvlText w:val=""/>
      <w:lvlJc w:val="left"/>
    </w:lvl>
    <w:lvl w:ilvl="4" w:tplc="062C2222">
      <w:numFmt w:val="decimal"/>
      <w:lvlText w:val=""/>
      <w:lvlJc w:val="left"/>
    </w:lvl>
    <w:lvl w:ilvl="5" w:tplc="E08AAE04">
      <w:numFmt w:val="decimal"/>
      <w:lvlText w:val=""/>
      <w:lvlJc w:val="left"/>
    </w:lvl>
    <w:lvl w:ilvl="6" w:tplc="5DFCF44C">
      <w:numFmt w:val="decimal"/>
      <w:lvlText w:val=""/>
      <w:lvlJc w:val="left"/>
    </w:lvl>
    <w:lvl w:ilvl="7" w:tplc="AD52CE04">
      <w:numFmt w:val="decimal"/>
      <w:lvlText w:val=""/>
      <w:lvlJc w:val="left"/>
    </w:lvl>
    <w:lvl w:ilvl="8" w:tplc="24D8C588">
      <w:numFmt w:val="decimal"/>
      <w:lvlText w:val=""/>
      <w:lvlJc w:val="left"/>
    </w:lvl>
  </w:abstractNum>
  <w:abstractNum w:abstractNumId="1" w15:restartNumberingAfterBreak="0">
    <w:nsid w:val="723651D4"/>
    <w:multiLevelType w:val="hybridMultilevel"/>
    <w:tmpl w:val="21541D0A"/>
    <w:lvl w:ilvl="0" w:tplc="8F540C16">
      <w:start w:val="1"/>
      <w:numFmt w:val="bullet"/>
      <w:lvlText w:val="●"/>
      <w:lvlJc w:val="left"/>
      <w:pPr>
        <w:ind w:left="720" w:hanging="360"/>
      </w:pPr>
    </w:lvl>
    <w:lvl w:ilvl="1" w:tplc="2CB80C0E">
      <w:start w:val="1"/>
      <w:numFmt w:val="bullet"/>
      <w:lvlText w:val="○"/>
      <w:lvlJc w:val="left"/>
      <w:pPr>
        <w:ind w:left="1440" w:hanging="360"/>
      </w:pPr>
    </w:lvl>
    <w:lvl w:ilvl="2" w:tplc="EC1C725E">
      <w:start w:val="1"/>
      <w:numFmt w:val="bullet"/>
      <w:lvlText w:val="■"/>
      <w:lvlJc w:val="left"/>
      <w:pPr>
        <w:ind w:left="2160" w:hanging="360"/>
      </w:pPr>
    </w:lvl>
    <w:lvl w:ilvl="3" w:tplc="F64C7DD6">
      <w:start w:val="1"/>
      <w:numFmt w:val="bullet"/>
      <w:lvlText w:val="●"/>
      <w:lvlJc w:val="left"/>
      <w:pPr>
        <w:ind w:left="2880" w:hanging="360"/>
      </w:pPr>
    </w:lvl>
    <w:lvl w:ilvl="4" w:tplc="1B2CC04A">
      <w:start w:val="1"/>
      <w:numFmt w:val="bullet"/>
      <w:lvlText w:val="○"/>
      <w:lvlJc w:val="left"/>
      <w:pPr>
        <w:ind w:left="3600" w:hanging="360"/>
      </w:pPr>
    </w:lvl>
    <w:lvl w:ilvl="5" w:tplc="5B9616A6">
      <w:start w:val="1"/>
      <w:numFmt w:val="bullet"/>
      <w:lvlText w:val="■"/>
      <w:lvlJc w:val="left"/>
      <w:pPr>
        <w:ind w:left="4320" w:hanging="360"/>
      </w:pPr>
    </w:lvl>
    <w:lvl w:ilvl="6" w:tplc="211CAD18">
      <w:start w:val="1"/>
      <w:numFmt w:val="bullet"/>
      <w:lvlText w:val="●"/>
      <w:lvlJc w:val="left"/>
      <w:pPr>
        <w:ind w:left="5040" w:hanging="360"/>
      </w:pPr>
    </w:lvl>
    <w:lvl w:ilvl="7" w:tplc="F6BC5136">
      <w:start w:val="1"/>
      <w:numFmt w:val="bullet"/>
      <w:lvlText w:val="●"/>
      <w:lvlJc w:val="left"/>
      <w:pPr>
        <w:ind w:left="5760" w:hanging="360"/>
      </w:pPr>
    </w:lvl>
    <w:lvl w:ilvl="8" w:tplc="D3C47F72">
      <w:start w:val="1"/>
      <w:numFmt w:val="bullet"/>
      <w:lvlText w:val="●"/>
      <w:lvlJc w:val="left"/>
      <w:pPr>
        <w:ind w:left="6480" w:hanging="360"/>
      </w:pPr>
    </w:lvl>
  </w:abstractNum>
  <w:num w:numId="1" w16cid:durableId="963660990">
    <w:abstractNumId w:val="1"/>
    <w:lvlOverride w:ilvl="0">
      <w:startOverride w:val="1"/>
    </w:lvlOverride>
  </w:num>
  <w:num w:numId="2" w16cid:durableId="16047252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6EE"/>
    <w:rsid w:val="000C6616"/>
    <w:rsid w:val="001C4310"/>
    <w:rsid w:val="005925ED"/>
    <w:rsid w:val="00663292"/>
    <w:rsid w:val="007753BA"/>
    <w:rsid w:val="00B02222"/>
    <w:rsid w:val="00F245E4"/>
    <w:rsid w:val="00F62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5FDD4"/>
  <w15:docId w15:val="{16696D96-446B-42C8-B9B2-CC7667B3B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PK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791</Words>
  <Characters>4515</Characters>
  <Application>Microsoft Office Word</Application>
  <DocSecurity>0</DocSecurity>
  <Lines>37</Lines>
  <Paragraphs>10</Paragraphs>
  <ScaleCrop>false</ScaleCrop>
  <Company/>
  <LinksUpToDate>false</LinksUpToDate>
  <CharactersWithSpaces>5296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Saqib Qazi</cp:lastModifiedBy>
  <cp:revision>6</cp:revision>
  <dcterms:created xsi:type="dcterms:W3CDTF">2026-10-04T09:32:00Z</dcterms:created>
  <dcterms:modified xsi:type="dcterms:W3CDTF">2026-10-04T10:17:00Z</dcterms:modified>
</cp:coreProperties>
</file>