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Supplementary Table S1. Leave-one-subject-out (LOO) jackknife analysis of R2 pre-calibration balanced accuracy (C3).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 excluded</w:t>
            </w:r>
          </w:p>
        </w:tc>
        <w:tc>
          <w:tcPr/>
          <w:p>
            <w:pPr>
              <w:pStyle w:val="Compact"/>
            </w:pPr>
            <w:r>
              <w:t xml:space="preserve">Per-fold accuracy</w:t>
            </w:r>
          </w:p>
        </w:tc>
        <w:tc>
          <w:tcPr/>
          <w:p>
            <w:pPr>
              <w:pStyle w:val="Compact"/>
            </w:pPr>
            <w:r>
              <w:t xml:space="preserve">LOO mean</w:t>
            </w:r>
          </w:p>
        </w:tc>
        <w:tc>
          <w:tcPr/>
          <w:p>
            <w:pPr>
              <w:pStyle w:val="Compact"/>
            </w:pPr>
            <w:r>
              <w:t xml:space="preserve">Shift from full-sample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sub-01</w:t>
            </w:r>
          </w:p>
        </w:tc>
        <w:tc>
          <w:tcPr/>
          <w:p>
            <w:pPr>
              <w:pStyle w:val="Compact"/>
            </w:pPr>
            <w:r>
              <w:t xml:space="preserve">0.6383</w:t>
            </w:r>
          </w:p>
        </w:tc>
        <w:tc>
          <w:tcPr/>
          <w:p>
            <w:pPr>
              <w:pStyle w:val="Compact"/>
            </w:pPr>
            <w:r>
              <w:t xml:space="preserve">0.5714</w:t>
            </w:r>
          </w:p>
        </w:tc>
        <w:tc>
          <w:tcPr/>
          <w:p>
            <w:pPr>
              <w:pStyle w:val="Compact"/>
            </w:pPr>
            <w:r>
              <w:t xml:space="preserve">−0.0023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sub-02</w:t>
            </w:r>
          </w:p>
        </w:tc>
        <w:tc>
          <w:tcPr/>
          <w:p>
            <w:pPr>
              <w:pStyle w:val="Compact"/>
            </w:pPr>
            <w:r>
              <w:t xml:space="preserve">0.5069</w:t>
            </w:r>
          </w:p>
        </w:tc>
        <w:tc>
          <w:tcPr/>
          <w:p>
            <w:pPr>
              <w:pStyle w:val="Compact"/>
            </w:pPr>
            <w:r>
              <w:t xml:space="preserve">0.5761</w:t>
            </w:r>
          </w:p>
        </w:tc>
        <w:tc>
          <w:tcPr/>
          <w:p>
            <w:pPr>
              <w:pStyle w:val="Compact"/>
            </w:pPr>
            <w:r>
              <w:t xml:space="preserve">+0.0024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sub-03</w:t>
            </w:r>
          </w:p>
        </w:tc>
        <w:tc>
          <w:tcPr/>
          <w:p>
            <w:pPr>
              <w:pStyle w:val="Compact"/>
            </w:pPr>
            <w:r>
              <w:t xml:space="preserve">0.3571</w:t>
            </w:r>
          </w:p>
        </w:tc>
        <w:tc>
          <w:tcPr/>
          <w:p>
            <w:pPr>
              <w:pStyle w:val="Compact"/>
            </w:pPr>
            <w:r>
              <w:t xml:space="preserve">0.5815</w:t>
            </w:r>
          </w:p>
        </w:tc>
        <w:tc>
          <w:tcPr/>
          <w:p>
            <w:pPr>
              <w:pStyle w:val="Compact"/>
            </w:pPr>
            <w:r>
              <w:t xml:space="preserve">+0.0077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sub-04</w:t>
            </w:r>
          </w:p>
        </w:tc>
        <w:tc>
          <w:tcPr/>
          <w:p>
            <w:pPr>
              <w:pStyle w:val="Compact"/>
            </w:pPr>
            <w:r>
              <w:t xml:space="preserve">0.5836</w:t>
            </w:r>
          </w:p>
        </w:tc>
        <w:tc>
          <w:tcPr/>
          <w:p>
            <w:pPr>
              <w:pStyle w:val="Compact"/>
            </w:pPr>
            <w:r>
              <w:t xml:space="preserve">0.5734</w:t>
            </w:r>
          </w:p>
        </w:tc>
        <w:tc>
          <w:tcPr/>
          <w:p>
            <w:pPr>
              <w:pStyle w:val="Compact"/>
            </w:pPr>
            <w:r>
              <w:t xml:space="preserve">−0.0004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sub-05</w:t>
            </w:r>
          </w:p>
        </w:tc>
        <w:tc>
          <w:tcPr/>
          <w:p>
            <w:pPr>
              <w:pStyle w:val="Compact"/>
            </w:pPr>
            <w:r>
              <w:t xml:space="preserve">0.5296</w:t>
            </w:r>
          </w:p>
        </w:tc>
        <w:tc>
          <w:tcPr/>
          <w:p>
            <w:pPr>
              <w:pStyle w:val="Compact"/>
            </w:pPr>
            <w:r>
              <w:t xml:space="preserve">0.5753</w:t>
            </w:r>
          </w:p>
        </w:tc>
        <w:tc>
          <w:tcPr/>
          <w:p>
            <w:pPr>
              <w:pStyle w:val="Compact"/>
            </w:pPr>
            <w:r>
              <w:t xml:space="preserve">+0.0016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sub-06</w:t>
            </w:r>
          </w:p>
        </w:tc>
        <w:tc>
          <w:tcPr/>
          <w:p>
            <w:pPr>
              <w:pStyle w:val="Compact"/>
            </w:pPr>
            <w:r>
              <w:t xml:space="preserve">0.6802</w:t>
            </w:r>
          </w:p>
        </w:tc>
        <w:tc>
          <w:tcPr/>
          <w:p>
            <w:pPr>
              <w:pStyle w:val="Compact"/>
            </w:pPr>
            <w:r>
              <w:t xml:space="preserve">0.5699</w:t>
            </w:r>
          </w:p>
        </w:tc>
        <w:tc>
          <w:tcPr/>
          <w:p>
            <w:pPr>
              <w:pStyle w:val="Compact"/>
            </w:pPr>
            <w:r>
              <w:t xml:space="preserve">−0.0038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sub-07</w:t>
            </w:r>
          </w:p>
        </w:tc>
        <w:tc>
          <w:tcPr/>
          <w:p>
            <w:pPr>
              <w:pStyle w:val="Compact"/>
            </w:pPr>
            <w:r>
              <w:t xml:space="preserve">0.7173</w:t>
            </w:r>
          </w:p>
        </w:tc>
        <w:tc>
          <w:tcPr/>
          <w:p>
            <w:pPr>
              <w:pStyle w:val="Compact"/>
            </w:pPr>
            <w:r>
              <w:t xml:space="preserve">0.5686</w:t>
            </w:r>
          </w:p>
        </w:tc>
        <w:tc>
          <w:tcPr/>
          <w:p>
            <w:pPr>
              <w:pStyle w:val="Compact"/>
            </w:pPr>
            <w:r>
              <w:t xml:space="preserve">−0.0051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sub-08</w:t>
            </w:r>
          </w:p>
        </w:tc>
        <w:tc>
          <w:tcPr/>
          <w:p>
            <w:pPr>
              <w:pStyle w:val="Compact"/>
            </w:pPr>
            <w:r>
              <w:t xml:space="preserve">0.5338</w:t>
            </w:r>
          </w:p>
        </w:tc>
        <w:tc>
          <w:tcPr/>
          <w:p>
            <w:pPr>
              <w:pStyle w:val="Compact"/>
            </w:pPr>
            <w:r>
              <w:t xml:space="preserve">0.5752</w:t>
            </w:r>
          </w:p>
        </w:tc>
        <w:tc>
          <w:tcPr/>
          <w:p>
            <w:pPr>
              <w:pStyle w:val="Compact"/>
            </w:pPr>
            <w:r>
              <w:t xml:space="preserve">+0.0014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sub-10</w:t>
            </w:r>
          </w:p>
        </w:tc>
        <w:tc>
          <w:tcPr/>
          <w:p>
            <w:pPr>
              <w:pStyle w:val="Compact"/>
            </w:pPr>
            <w:r>
              <w:t xml:space="preserve">0.5739</w:t>
            </w:r>
          </w:p>
        </w:tc>
        <w:tc>
          <w:tcPr/>
          <w:p>
            <w:pPr>
              <w:pStyle w:val="Compact"/>
            </w:pPr>
            <w:r>
              <w:t xml:space="preserve">0.5737</w:t>
            </w:r>
          </w:p>
        </w:tc>
        <w:tc>
          <w:tcPr/>
          <w:p>
            <w:pPr>
              <w:pStyle w:val="Compact"/>
            </w:pPr>
            <w:r>
              <w:t xml:space="preserve">−0.0000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sub-11</w:t>
            </w:r>
          </w:p>
        </w:tc>
        <w:tc>
          <w:tcPr/>
          <w:p>
            <w:pPr>
              <w:pStyle w:val="Compact"/>
            </w:pPr>
            <w:r>
              <w:t xml:space="preserve">0.6346</w:t>
            </w:r>
          </w:p>
        </w:tc>
        <w:tc>
          <w:tcPr/>
          <w:p>
            <w:pPr>
              <w:pStyle w:val="Compact"/>
            </w:pPr>
            <w:r>
              <w:t xml:space="preserve">0.5716</w:t>
            </w:r>
          </w:p>
        </w:tc>
        <w:tc>
          <w:tcPr/>
          <w:p>
            <w:pPr>
              <w:pStyle w:val="Compact"/>
            </w:pPr>
            <w:r>
              <w:t xml:space="preserve">−0.0022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sub-12</w:t>
            </w:r>
          </w:p>
        </w:tc>
        <w:tc>
          <w:tcPr/>
          <w:p>
            <w:pPr>
              <w:pStyle w:val="Compact"/>
            </w:pPr>
            <w:r>
              <w:t xml:space="preserve">0.5651</w:t>
            </w:r>
          </w:p>
        </w:tc>
        <w:tc>
          <w:tcPr/>
          <w:p>
            <w:pPr>
              <w:pStyle w:val="Compact"/>
            </w:pPr>
            <w:r>
              <w:t xml:space="preserve">0.5740</w:t>
            </w:r>
          </w:p>
        </w:tc>
        <w:tc>
          <w:tcPr/>
          <w:p>
            <w:pPr>
              <w:pStyle w:val="Compact"/>
            </w:pPr>
            <w:r>
              <w:t xml:space="preserve">+0.0003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sub-13</w:t>
            </w:r>
          </w:p>
        </w:tc>
        <w:tc>
          <w:tcPr/>
          <w:p>
            <w:pPr>
              <w:pStyle w:val="Compact"/>
            </w:pPr>
            <w:r>
              <w:t xml:space="preserve">0.7040</w:t>
            </w:r>
          </w:p>
        </w:tc>
        <w:tc>
          <w:tcPr/>
          <w:p>
            <w:pPr>
              <w:pStyle w:val="Compact"/>
            </w:pPr>
            <w:r>
              <w:t xml:space="preserve">0.5691</w:t>
            </w:r>
          </w:p>
        </w:tc>
        <w:tc>
          <w:tcPr/>
          <w:p>
            <w:pPr>
              <w:pStyle w:val="Compact"/>
            </w:pPr>
            <w:r>
              <w:t xml:space="preserve">−0.0047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sub-14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0.5764</w:t>
            </w:r>
          </w:p>
        </w:tc>
        <w:tc>
          <w:tcPr/>
          <w:p>
            <w:pPr>
              <w:pStyle w:val="Compact"/>
            </w:pPr>
            <w:r>
              <w:t xml:space="preserve">+0.0026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sub-15</w:t>
            </w:r>
          </w:p>
        </w:tc>
        <w:tc>
          <w:tcPr/>
          <w:p>
            <w:pPr>
              <w:pStyle w:val="Compact"/>
            </w:pPr>
            <w:r>
              <w:t xml:space="preserve">0.5778</w:t>
            </w:r>
          </w:p>
        </w:tc>
        <w:tc>
          <w:tcPr/>
          <w:p>
            <w:pPr>
              <w:pStyle w:val="Compact"/>
            </w:pPr>
            <w:r>
              <w:t xml:space="preserve">0.5736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sub-16</w:t>
            </w:r>
          </w:p>
        </w:tc>
        <w:tc>
          <w:tcPr/>
          <w:p>
            <w:pPr>
              <w:pStyle w:val="Compact"/>
            </w:pPr>
            <w:r>
              <w:t xml:space="preserve">0.5880</w:t>
            </w:r>
          </w:p>
        </w:tc>
        <w:tc>
          <w:tcPr/>
          <w:p>
            <w:pPr>
              <w:pStyle w:val="Compact"/>
            </w:pPr>
            <w:r>
              <w:t xml:space="preserve">0.5732</w:t>
            </w:r>
          </w:p>
        </w:tc>
        <w:tc>
          <w:tcPr/>
          <w:p>
            <w:pPr>
              <w:pStyle w:val="Compact"/>
            </w:pPr>
            <w:r>
              <w:t xml:space="preserve">−0.0005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sub-17</w:t>
            </w:r>
          </w:p>
        </w:tc>
        <w:tc>
          <w:tcPr/>
          <w:p>
            <w:pPr>
              <w:pStyle w:val="Compact"/>
            </w:pPr>
            <w:r>
              <w:t xml:space="preserve">0.5637</w:t>
            </w:r>
          </w:p>
        </w:tc>
        <w:tc>
          <w:tcPr/>
          <w:p>
            <w:pPr>
              <w:pStyle w:val="Compact"/>
            </w:pPr>
            <w:r>
              <w:t xml:space="preserve">0.5741</w:t>
            </w:r>
          </w:p>
        </w:tc>
        <w:tc>
          <w:tcPr/>
          <w:p>
            <w:pPr>
              <w:pStyle w:val="Compact"/>
            </w:pPr>
            <w:r>
              <w:t xml:space="preserve">+0.0004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sub-18</w:t>
            </w:r>
          </w:p>
        </w:tc>
        <w:tc>
          <w:tcPr/>
          <w:p>
            <w:pPr>
              <w:pStyle w:val="Compact"/>
            </w:pPr>
            <w:r>
              <w:t xml:space="preserve">0.7508</w:t>
            </w:r>
          </w:p>
        </w:tc>
        <w:tc>
          <w:tcPr/>
          <w:p>
            <w:pPr>
              <w:pStyle w:val="Compact"/>
            </w:pPr>
            <w:r>
              <w:t xml:space="preserve">0.5674</w:t>
            </w:r>
          </w:p>
        </w:tc>
        <w:tc>
          <w:tcPr/>
          <w:p>
            <w:pPr>
              <w:pStyle w:val="Compact"/>
            </w:pPr>
            <w:r>
              <w:t xml:space="preserve">−0.0063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sub-19</w:t>
            </w:r>
          </w:p>
        </w:tc>
        <w:tc>
          <w:tcPr/>
          <w:p>
            <w:pPr>
              <w:pStyle w:val="Compact"/>
            </w:pPr>
            <w:r>
              <w:t xml:space="preserve">0.6238</w:t>
            </w:r>
          </w:p>
        </w:tc>
        <w:tc>
          <w:tcPr/>
          <w:p>
            <w:pPr>
              <w:pStyle w:val="Compact"/>
            </w:pPr>
            <w:r>
              <w:t xml:space="preserve">0.5719</w:t>
            </w:r>
          </w:p>
        </w:tc>
        <w:tc>
          <w:tcPr/>
          <w:p>
            <w:pPr>
              <w:pStyle w:val="Compact"/>
            </w:pPr>
            <w:r>
              <w:t xml:space="preserve">−0.0018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sub-20</w:t>
            </w:r>
          </w:p>
        </w:tc>
        <w:tc>
          <w:tcPr/>
          <w:p>
            <w:pPr>
              <w:pStyle w:val="Compact"/>
            </w:pPr>
            <w:r>
              <w:t xml:space="preserve">0.4654</w:t>
            </w:r>
          </w:p>
        </w:tc>
        <w:tc>
          <w:tcPr/>
          <w:p>
            <w:pPr>
              <w:pStyle w:val="Compact"/>
            </w:pPr>
            <w:r>
              <w:t xml:space="preserve">0.5776</w:t>
            </w:r>
          </w:p>
        </w:tc>
        <w:tc>
          <w:tcPr/>
          <w:p>
            <w:pPr>
              <w:pStyle w:val="Compact"/>
            </w:pPr>
            <w:r>
              <w:t xml:space="preserve">+0.0039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sub-21</w:t>
            </w:r>
          </w:p>
        </w:tc>
        <w:tc>
          <w:tcPr/>
          <w:p>
            <w:pPr>
              <w:pStyle w:val="Compact"/>
            </w:pPr>
            <w:r>
              <w:t xml:space="preserve">0.5797</w:t>
            </w:r>
          </w:p>
        </w:tc>
        <w:tc>
          <w:tcPr/>
          <w:p>
            <w:pPr>
              <w:pStyle w:val="Compact"/>
            </w:pPr>
            <w:r>
              <w:t xml:space="preserve">0.5735</w:t>
            </w:r>
          </w:p>
        </w:tc>
        <w:tc>
          <w:tcPr/>
          <w:p>
            <w:pPr>
              <w:pStyle w:val="Compact"/>
            </w:pPr>
            <w:r>
              <w:t xml:space="preserve">−0.0002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sub-22</w:t>
            </w:r>
          </w:p>
        </w:tc>
        <w:tc>
          <w:tcPr/>
          <w:p>
            <w:pPr>
              <w:pStyle w:val="Compact"/>
            </w:pPr>
            <w:r>
              <w:t xml:space="preserve">0.5789</w:t>
            </w:r>
          </w:p>
        </w:tc>
        <w:tc>
          <w:tcPr/>
          <w:p>
            <w:pPr>
              <w:pStyle w:val="Compact"/>
            </w:pPr>
            <w:r>
              <w:t xml:space="preserve">0.5735</w:t>
            </w:r>
          </w:p>
        </w:tc>
        <w:tc>
          <w:tcPr/>
          <w:p>
            <w:pPr>
              <w:pStyle w:val="Compact"/>
            </w:pPr>
            <w:r>
              <w:t xml:space="preserve">−0.0002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sub-23</w:t>
            </w:r>
          </w:p>
        </w:tc>
        <w:tc>
          <w:tcPr/>
          <w:p>
            <w:pPr>
              <w:pStyle w:val="Compact"/>
            </w:pPr>
            <w:r>
              <w:t xml:space="preserve">0.5570</w:t>
            </w:r>
          </w:p>
        </w:tc>
        <w:tc>
          <w:tcPr/>
          <w:p>
            <w:pPr>
              <w:pStyle w:val="Compact"/>
            </w:pPr>
            <w:r>
              <w:t xml:space="preserve">0.5743</w:t>
            </w:r>
          </w:p>
        </w:tc>
        <w:tc>
          <w:tcPr/>
          <w:p>
            <w:pPr>
              <w:pStyle w:val="Compact"/>
            </w:pPr>
            <w:r>
              <w:t xml:space="preserve">+0.0006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sub-24</w:t>
            </w:r>
          </w:p>
        </w:tc>
        <w:tc>
          <w:tcPr/>
          <w:p>
            <w:pPr>
              <w:pStyle w:val="Compact"/>
            </w:pPr>
            <w:r>
              <w:t xml:space="preserve">0.5377</w:t>
            </w:r>
          </w:p>
        </w:tc>
        <w:tc>
          <w:tcPr/>
          <w:p>
            <w:pPr>
              <w:pStyle w:val="Compact"/>
            </w:pPr>
            <w:r>
              <w:t xml:space="preserve">0.5750</w:t>
            </w:r>
          </w:p>
        </w:tc>
        <w:tc>
          <w:tcPr/>
          <w:p>
            <w:pPr>
              <w:pStyle w:val="Compact"/>
            </w:pPr>
            <w:r>
              <w:t xml:space="preserve">+0.0013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sub-25</w:t>
            </w:r>
          </w:p>
        </w:tc>
        <w:tc>
          <w:tcPr/>
          <w:p>
            <w:pPr>
              <w:pStyle w:val="Compact"/>
            </w:pPr>
            <w:r>
              <w:t xml:space="preserve">0.6235</w:t>
            </w:r>
          </w:p>
        </w:tc>
        <w:tc>
          <w:tcPr/>
          <w:p>
            <w:pPr>
              <w:pStyle w:val="Compact"/>
            </w:pPr>
            <w:r>
              <w:t xml:space="preserve">0.5720</w:t>
            </w:r>
          </w:p>
        </w:tc>
        <w:tc>
          <w:tcPr/>
          <w:p>
            <w:pPr>
              <w:pStyle w:val="Compact"/>
            </w:pPr>
            <w:r>
              <w:t xml:space="preserve">−0.0018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sub-26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0.5764</w:t>
            </w:r>
          </w:p>
        </w:tc>
        <w:tc>
          <w:tcPr/>
          <w:p>
            <w:pPr>
              <w:pStyle w:val="Compact"/>
            </w:pPr>
            <w:r>
              <w:t xml:space="preserve">+0.0026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sub-27</w:t>
            </w:r>
          </w:p>
        </w:tc>
        <w:tc>
          <w:tcPr/>
          <w:p>
            <w:pPr>
              <w:pStyle w:val="Compact"/>
            </w:pPr>
            <w:r>
              <w:t xml:space="preserve">0.5916</w:t>
            </w:r>
          </w:p>
        </w:tc>
        <w:tc>
          <w:tcPr/>
          <w:p>
            <w:pPr>
              <w:pStyle w:val="Compact"/>
            </w:pPr>
            <w:r>
              <w:t xml:space="preserve">0.5731</w:t>
            </w:r>
          </w:p>
        </w:tc>
        <w:tc>
          <w:tcPr/>
          <w:p>
            <w:pPr>
              <w:pStyle w:val="Compact"/>
            </w:pPr>
            <w:r>
              <w:t xml:space="preserve">−0.0006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sub-28</w:t>
            </w:r>
          </w:p>
        </w:tc>
        <w:tc>
          <w:tcPr/>
          <w:p>
            <w:pPr>
              <w:pStyle w:val="Compact"/>
            </w:pPr>
            <w:r>
              <w:t xml:space="preserve">0.4665</w:t>
            </w:r>
          </w:p>
        </w:tc>
        <w:tc>
          <w:tcPr/>
          <w:p>
            <w:pPr>
              <w:pStyle w:val="Compact"/>
            </w:pPr>
            <w:r>
              <w:t xml:space="preserve">0.5776</w:t>
            </w:r>
          </w:p>
        </w:tc>
        <w:tc>
          <w:tcPr/>
          <w:p>
            <w:pPr>
              <w:pStyle w:val="Compact"/>
            </w:pPr>
            <w:r>
              <w:t xml:space="preserve">+0.0038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sub-29</w:t>
            </w:r>
          </w:p>
        </w:tc>
        <w:tc>
          <w:tcPr/>
          <w:p>
            <w:pPr>
              <w:pStyle w:val="Compact"/>
            </w:pPr>
            <w:r>
              <w:t xml:space="preserve">0.6016</w:t>
            </w:r>
          </w:p>
        </w:tc>
        <w:tc>
          <w:tcPr/>
          <w:p>
            <w:pPr>
              <w:pStyle w:val="Compact"/>
            </w:pPr>
            <w:r>
              <w:t xml:space="preserve">0.5727</w:t>
            </w:r>
          </w:p>
        </w:tc>
        <w:tc>
          <w:tcPr/>
          <w:p>
            <w:pPr>
              <w:pStyle w:val="Compact"/>
            </w:pPr>
            <w:r>
              <w:t xml:space="preserve">−0.0010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sub-30</w:t>
            </w:r>
          </w:p>
        </w:tc>
        <w:tc>
          <w:tcPr/>
          <w:p>
            <w:pPr>
              <w:pStyle w:val="Compact"/>
            </w:pPr>
            <w:r>
              <w:t xml:space="preserve">0.5078</w:t>
            </w:r>
          </w:p>
        </w:tc>
        <w:tc>
          <w:tcPr/>
          <w:p>
            <w:pPr>
              <w:pStyle w:val="Compact"/>
            </w:pPr>
            <w:r>
              <w:t xml:space="preserve">0.5761</w:t>
            </w:r>
          </w:p>
        </w:tc>
        <w:tc>
          <w:tcPr/>
          <w:p>
            <w:pPr>
              <w:pStyle w:val="Compact"/>
            </w:pPr>
            <w:r>
              <w:t xml:space="preserve">+0.0024</w:t>
            </w:r>
          </w:p>
        </w:tc>
      </w:tr>
    </w:tbl>
    <w:p>
      <w:pPr>
        <w:pStyle w:val="BodyText"/>
      </w:pPr>
      <w:r>
        <w:t xml:space="preserve">Full-sample mean = 0.5737. No single exclusion drops the LOO mean below the pre-registered null CI upper bound (0.5223).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2026-08-23T13:26:33Z</dcterms:created>
  <dcterms:modified xsi:type="dcterms:W3CDTF">2026-08-23T13:26:33Z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