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Georgia" w:cs="Georgia" w:eastAsia="Georgia" w:hAnsi="Georgia"/>
          <w:color w:val="9A7A2E"/>
          <w:sz w:val="24"/>
          <w:szCs w:val="24"/>
        </w:rPr>
        <w:t xml:space="preserve">— ✦ —</w:t>
      </w:r>
    </w:p>
    <w:p>
      <w:pPr>
        <w:spacing w:before="0" w:after="80"/>
        <w:jc w:val="center"/>
      </w:pPr>
      <w:r>
        <w:rPr>
          <w:rFonts w:ascii="Georgia" w:cs="Georgia" w:eastAsia="Georgia" w:hAnsi="Georgia"/>
          <w:b/>
          <w:bCs/>
          <w:caps/>
          <w:color w:val="9A7A2E"/>
          <w:spacing w:val="120"/>
          <w:sz w:val="14"/>
          <w:szCs w:val="14"/>
        </w:rPr>
        <w:t xml:space="preserve">About This Project</w:t>
      </w:r>
    </w:p>
    <w:p>
      <w:pPr>
        <w:spacing w:before="0" w:after="80"/>
        <w:jc w:val="center"/>
      </w:pPr>
      <w:r>
        <w:rPr>
          <w:rFonts w:ascii="Georgia" w:cs="Georgia" w:eastAsia="Georgia" w:hAnsi="Georgia"/>
          <w:b/>
          <w:bCs/>
          <w:color w:val="7A3020"/>
          <w:sz w:val="40"/>
          <w:szCs w:val="40"/>
        </w:rPr>
        <w:t xml:space="preserve">The Shakespeare Digital Variorum</w:t>
      </w:r>
    </w:p>
    <w:p>
      <w:pPr>
        <w:spacing w:before="0" w:after="320"/>
        <w:jc w:val="center"/>
      </w:pPr>
      <w:r>
        <w:rPr>
          <w:rFonts w:ascii="Georgia" w:cs="Georgia" w:eastAsia="Georgia" w:hAnsi="Georgia"/>
          <w:i/>
          <w:iCs/>
          <w:color w:val="9A7A2E"/>
          <w:spacing w:val="60"/>
          <w:sz w:val="18"/>
          <w:szCs w:val="18"/>
        </w:rPr>
        <w:t xml:space="preserve">Scholarly Tradition · Artificial Intelligence · Universal Access</w:t>
      </w:r>
    </w:p>
    <w:p>
      <w:pPr>
        <w:spacing w:before="120" w:after="120"/>
        <w:jc w:val="center"/>
      </w:pPr>
      <w:r>
        <w:rPr>
          <w:rFonts w:ascii="Georgia" w:cs="Georgia" w:eastAsia="Georgia" w:hAnsi="Georgia"/>
          <w:color w:val="9A7A2E"/>
          <w:sz w:val="24"/>
          <w:szCs w:val="24"/>
        </w:rPr>
        <w:t xml:space="preserve">✶ ❧ ✶</w:t>
      </w:r>
    </w:p>
    <w:p>
      <w:pPr>
        <w:spacing w:before="0" w:after="160"/>
        <w:jc w:val="both"/>
      </w:pPr>
      <w:r>
        <w:rPr>
          <w:rFonts w:ascii="Georgia" w:cs="Georgia" w:eastAsia="Georgia" w:hAnsi="Georgia"/>
          <w:b/>
          <w:bCs/>
          <w:color w:val="2A1F0E"/>
          <w:sz w:val="24"/>
          <w:szCs w:val="24"/>
        </w:rPr>
        <w:t xml:space="preserve">The New Variorum Shakespeare</w:t>
      </w:r>
      <w:r>
        <w:rPr>
          <w:rFonts w:ascii="Georgia" w:cs="Georgia" w:eastAsia="Georgia" w:hAnsi="Georgia"/>
          <w:color w:val="2A1F0E"/>
          <w:sz w:val="24"/>
          <w:szCs w:val="24"/>
        </w:rPr>
        <w:t xml:space="preserve"> editions have been the gold standard of Shakespearean scholarship for over a century, bringing together the most important critical commentary, textual analysis, and historical context in comprehensive annotated volumes. The </w:t>
      </w:r>
      <w:r>
        <w:rPr>
          <w:rFonts w:ascii="Georgia" w:cs="Georgia" w:eastAsia="Georgia" w:hAnsi="Georgia"/>
          <w:i/>
          <w:iCs/>
          <w:color w:val="2A1F0E"/>
          <w:sz w:val="24"/>
          <w:szCs w:val="24"/>
        </w:rPr>
        <w:t xml:space="preserve">Shakespeare Digital Variorum</w:t>
      </w:r>
      <w:r>
        <w:rPr>
          <w:rFonts w:ascii="Georgia" w:cs="Georgia" w:eastAsia="Georgia" w:hAnsi="Georgia"/>
          <w:color w:val="2A1F0E"/>
          <w:sz w:val="24"/>
          <w:szCs w:val="24"/>
        </w:rPr>
        <w:t xml:space="preserve"> builds on this tradition, harnessing the power of artificial intelligence to make centuries of scholarly insight accessible to everyone — from high school students to veteran researchers.</w:t>
      </w:r>
    </w:p>
    <w:p>
      <w:pPr>
        <w:spacing w:before="0" w:after="160"/>
        <w:jc w:val="both"/>
      </w:pPr>
      <w:r>
        <w:rPr>
          <w:rFonts w:ascii="Georgia" w:cs="Georgia" w:eastAsia="Georgia" w:hAnsi="Georgia"/>
          <w:color w:val="2A1F0E"/>
          <w:sz w:val="24"/>
          <w:szCs w:val="24"/>
        </w:rPr>
        <w:t xml:space="preserve">Our platform integrates authoritative texts based on the Folger Shakespeare Library editions of each play, with commentary from major variorum editions, scholarly databases, and historical sources. We include references to film adaptations, stage productions, and cultural interpretations that show how Shakespeare’s works have lived and evolved across different media and eras. Using advanced AI, we can instantly provide plain-language explanations of complex passages, trace the etymology of Early Modern English words as they appear in context, analyze prosodic patterns across scenes and plays, and illuminate the historical events and cultural forces that shaped each work.</w:t>
      </w:r>
    </w:p>
    <w:p>
      <w:pPr>
        <w:spacing w:before="120" w:after="120"/>
        <w:jc w:val="center"/>
      </w:pPr>
      <w:r>
        <w:rPr>
          <w:rFonts w:ascii="Georgia" w:cs="Georgia" w:eastAsia="Georgia" w:hAnsi="Georgia"/>
          <w:color w:val="9A7A2E"/>
          <w:sz w:val="24"/>
          <w:szCs w:val="24"/>
        </w:rPr>
        <w:t xml:space="preserve">✶</w:t>
      </w:r>
    </w:p>
    <w:p>
      <w:pPr>
        <w:pBdr>
          <w:bottom w:val="single" w:color="9A7A2E" w:sz="4" w:space="4"/>
        </w:pBdr>
        <w:spacing w:before="320" w:after="120"/>
      </w:pPr>
      <w:r>
        <w:rPr>
          <w:rFonts w:ascii="Georgia" w:cs="Georgia" w:eastAsia="Georgia" w:hAnsi="Georgia"/>
          <w:b/>
          <w:bCs/>
          <w:color w:val="7A3020"/>
          <w:spacing w:val="80"/>
          <w:sz w:val="20"/>
          <w:szCs w:val="20"/>
        </w:rPr>
        <w:t xml:space="preserve">RADICAL ACCESSIBILITY</w:t>
      </w:r>
    </w:p>
    <w:p>
      <w:pPr>
        <w:spacing w:before="0" w:after="160"/>
        <w:jc w:val="both"/>
      </w:pPr>
      <w:r>
        <w:rPr>
          <w:rFonts w:ascii="Georgia" w:cs="Georgia" w:eastAsia="Georgia" w:hAnsi="Georgia"/>
          <w:color w:val="2A1F0E"/>
          <w:sz w:val="24"/>
          <w:szCs w:val="24"/>
        </w:rPr>
        <w:t xml:space="preserve">The goal is radical accessibility. Whether you’re encountering Hamlet’s soliloquies for the first time or you’re a seasoned scholar investigating textual variants, the </w:t>
      </w:r>
      <w:r>
        <w:rPr>
          <w:rFonts w:ascii="Georgia" w:cs="Georgia" w:eastAsia="Georgia" w:hAnsi="Georgia"/>
          <w:i/>
          <w:iCs/>
          <w:color w:val="2A1F0E"/>
          <w:sz w:val="24"/>
          <w:szCs w:val="24"/>
        </w:rPr>
        <w:t xml:space="preserve">Shakespeare Digital Variorum</w:t>
      </w:r>
      <w:r>
        <w:rPr>
          <w:rFonts w:ascii="Georgia" w:cs="Georgia" w:eastAsia="Georgia" w:hAnsi="Georgia"/>
          <w:color w:val="2A1F0E"/>
          <w:sz w:val="24"/>
          <w:szCs w:val="24"/>
        </w:rPr>
        <w:t xml:space="preserve"> meets you where you are. Students can receive immediate clarification of archaic language and historical references. Researchers can discover thematic connections across the complete canon. Theater practitioners can access centuries of performance history, from Garrick to Branagh to contemporary productions worldwide.</w:t>
      </w:r>
    </w:p>
    <w:p>
      <w:pPr>
        <w:spacing w:before="0" w:after="160"/>
        <w:jc w:val="both"/>
      </w:pPr>
      <w:r>
        <w:rPr>
          <w:rFonts w:ascii="Georgia" w:cs="Georgia" w:eastAsia="Georgia" w:hAnsi="Georgia"/>
          <w:color w:val="2A1F0E"/>
          <w:sz w:val="24"/>
          <w:szCs w:val="24"/>
        </w:rPr>
        <w:t xml:space="preserve">We believe Shakespeare belongs to everyone, not just academics. By connecting scholarly commentary with film clips, performance videos, and multimedia resources, we show how these 400-year-old plays continue to speak to modern audiences. A teenager reading </w:t>
      </w:r>
      <w:r>
        <w:rPr>
          <w:rFonts w:ascii="Georgia" w:cs="Georgia" w:eastAsia="Georgia" w:hAnsi="Georgia"/>
          <w:i/>
          <w:iCs/>
          <w:color w:val="2A1F0E"/>
          <w:sz w:val="24"/>
          <w:szCs w:val="24"/>
        </w:rPr>
        <w:t xml:space="preserve">Romeo and Juliet</w:t>
      </w:r>
      <w:r>
        <w:rPr>
          <w:rFonts w:ascii="Georgia" w:cs="Georgia" w:eastAsia="Georgia" w:hAnsi="Georgia"/>
          <w:color w:val="2A1F0E"/>
          <w:sz w:val="24"/>
          <w:szCs w:val="24"/>
        </w:rPr>
        <w:t xml:space="preserve"> can instantly see how Baz Luhrmann reimagined the balcony scene, while a graduate student can access the full textual apparatus from multiple critical editions.</w:t>
      </w:r>
    </w:p>
    <w:p>
      <w:pPr>
        <w:spacing w:before="0" w:after="160"/>
        <w:jc w:val="both"/>
      </w:pPr>
      <w:r>
        <w:rPr>
          <w:rFonts w:ascii="Georgia" w:cs="Georgia" w:eastAsia="Georgia" w:hAnsi="Georgia"/>
          <w:color w:val="2A1F0E"/>
          <w:sz w:val="24"/>
          <w:szCs w:val="24"/>
        </w:rPr>
        <w:t xml:space="preserve">This isn’t about replacing human scholarship but about democratizing it. Every AI-generated insight is grounded in the work of generations of Shakespeare scholars, from the earliest editors to contemporary critics. We’ve simply made it possible for anyone to access that collective wisdom instantly, searchably, and in conversation with the texts themselves.</w:t>
      </w:r>
    </w:p>
    <w:p>
      <w:pPr>
        <w:spacing w:before="120" w:after="120"/>
        <w:jc w:val="center"/>
      </w:pPr>
      <w:r>
        <w:rPr>
          <w:rFonts w:ascii="Georgia" w:cs="Georgia" w:eastAsia="Georgia" w:hAnsi="Georgia"/>
          <w:color w:val="9A7A2E"/>
          <w:sz w:val="24"/>
          <w:szCs w:val="24"/>
        </w:rPr>
        <w:t xml:space="preserve">✶</w:t>
      </w:r>
    </w:p>
    <w:p>
      <w:pPr>
        <w:pBdr>
          <w:bottom w:val="single" w:color="9A7A2E" w:sz="4" w:space="4"/>
        </w:pBdr>
        <w:spacing w:before="320" w:after="120"/>
      </w:pPr>
      <w:r>
        <w:rPr>
          <w:rFonts w:ascii="Georgia" w:cs="Georgia" w:eastAsia="Georgia" w:hAnsi="Georgia"/>
          <w:b/>
          <w:bCs/>
          <w:color w:val="7A3020"/>
          <w:spacing w:val="80"/>
          <w:sz w:val="20"/>
          <w:szCs w:val="20"/>
        </w:rPr>
        <w:t xml:space="preserve">NEW VARIORUM COVERAGE</w:t>
      </w:r>
    </w:p>
    <w:p>
      <w:pPr>
        <w:spacing w:before="0" w:after="160"/>
        <w:jc w:val="both"/>
      </w:pPr>
      <w:r>
        <w:rPr>
          <w:rFonts w:ascii="Georgia" w:cs="Georgia" w:eastAsia="Georgia" w:hAnsi="Georgia"/>
          <w:color w:val="2A1F0E"/>
          <w:sz w:val="24"/>
          <w:szCs w:val="24"/>
        </w:rPr>
        <w:t xml:space="preserve">The pre-1956 New Variorum Shakespeare series includes </w:t>
      </w:r>
      <w:r>
        <w:rPr>
          <w:rFonts w:ascii="Georgia" w:cs="Georgia" w:eastAsia="Georgia" w:hAnsi="Georgia"/>
          <w:b/>
          <w:bCs/>
          <w:color w:val="2A1F0E"/>
          <w:sz w:val="24"/>
          <w:szCs w:val="24"/>
        </w:rPr>
        <w:t xml:space="preserve">23 plays</w:t>
      </w:r>
      <w:r>
        <w:rPr>
          <w:rFonts w:ascii="Georgia" w:cs="Georgia" w:eastAsia="Georgia" w:hAnsi="Georgia"/>
          <w:color w:val="2A1F0E"/>
          <w:sz w:val="24"/>
          <w:szCs w:val="24"/>
        </w:rPr>
        <w:t xml:space="preserve"> out of copyright, along with 2 non-dramatic poetry volumes. This site presents the complete NVS scholarly notes for </w:t>
      </w:r>
      <w:r>
        <w:rPr>
          <w:rFonts w:ascii="Georgia" w:cs="Georgia" w:eastAsia="Georgia" w:hAnsi="Georgia"/>
          <w:b/>
          <w:bCs/>
          <w:color w:val="2A1F0E"/>
          <w:sz w:val="24"/>
          <w:szCs w:val="24"/>
        </w:rPr>
        <w:t xml:space="preserve">20 of those 23 plays</w:t>
      </w:r>
      <w:r>
        <w:rPr>
          <w:rFonts w:ascii="Georgia" w:cs="Georgia" w:eastAsia="Georgia" w:hAnsi="Georgia"/>
          <w:color w:val="2A1F0E"/>
          <w:sz w:val="24"/>
          <w:szCs w:val="24"/>
        </w:rPr>
        <w:t xml:space="preserve"> — all volumes that were available in full text. Three plays are forthcoming as access permits.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1200"/>
        <w:gridCol w:w="3000"/>
      </w:tblGrid>
      <w:tr>
        <w:trPr>
          <w:tblHeader/>
        </w:trPr>
        <w:tc>
          <w:tcPr>
            <w:tcW w:type="dxa" w:w="600"/>
            <w:tcBorders>
              <w:top w:val="single" w:color="C9A84C" w:sz="1"/>
              <w:left w:val="single" w:color="C9A84C" w:sz="1"/>
              <w:bottom w:val="single" w:color="C9A84C" w:sz="1"/>
              <w:right w:val="single" w:color="C9A84C" w:sz="1"/>
            </w:tcBorders>
            <w:shd w:fill="7A3020" w:val="clear"/>
            <w:tcMar>
              <w:top w:type="dxa" w:w="80"/>
              <w:left w:type="dxa" w:w="120"/>
              <w:bottom w:type="dxa" w:w="80"/>
              <w:right w:type="dxa" w:w="120"/>
            </w:tcMar>
            <w:vAlign w:val="center"/>
          </w:tcPr>
          <w:p>
            <w:r>
              <w:rPr>
                <w:rFonts w:ascii="Georgia" w:cs="Georgia" w:eastAsia="Georgia" w:hAnsi="Georgia"/>
                <w:b/>
                <w:bCs/>
                <w:color w:val="F5EFE2"/>
                <w:spacing w:val="40"/>
                <w:sz w:val="20"/>
                <w:szCs w:val="20"/>
              </w:rPr>
              <w:t xml:space="preserve">#</w:t>
            </w:r>
          </w:p>
        </w:tc>
        <w:tc>
          <w:tcPr>
            <w:tcW w:type="dxa" w:w="4560"/>
            <w:tcBorders>
              <w:top w:val="single" w:color="C9A84C" w:sz="1"/>
              <w:left w:val="single" w:color="C9A84C" w:sz="1"/>
              <w:bottom w:val="single" w:color="C9A84C" w:sz="1"/>
              <w:right w:val="single" w:color="C9A84C" w:sz="1"/>
            </w:tcBorders>
            <w:shd w:fill="7A3020" w:val="clear"/>
            <w:tcMar>
              <w:top w:type="dxa" w:w="80"/>
              <w:left w:type="dxa" w:w="120"/>
              <w:bottom w:type="dxa" w:w="80"/>
              <w:right w:type="dxa" w:w="120"/>
            </w:tcMar>
            <w:vAlign w:val="center"/>
          </w:tcPr>
          <w:p>
            <w:r>
              <w:rPr>
                <w:rFonts w:ascii="Georgia" w:cs="Georgia" w:eastAsia="Georgia" w:hAnsi="Georgia"/>
                <w:b/>
                <w:bCs/>
                <w:color w:val="F5EFE2"/>
                <w:spacing w:val="40"/>
                <w:sz w:val="20"/>
                <w:szCs w:val="20"/>
              </w:rPr>
              <w:t xml:space="preserve">Play</w:t>
            </w:r>
          </w:p>
        </w:tc>
        <w:tc>
          <w:tcPr>
            <w:tcW w:type="dxa" w:w="1200"/>
            <w:tcBorders>
              <w:top w:val="single" w:color="C9A84C" w:sz="1"/>
              <w:left w:val="single" w:color="C9A84C" w:sz="1"/>
              <w:bottom w:val="single" w:color="C9A84C" w:sz="1"/>
              <w:right w:val="single" w:color="C9A84C" w:sz="1"/>
            </w:tcBorders>
            <w:shd w:fill="7A3020" w:val="clear"/>
            <w:tcMar>
              <w:top w:type="dxa" w:w="80"/>
              <w:left w:type="dxa" w:w="120"/>
              <w:bottom w:type="dxa" w:w="80"/>
              <w:right w:type="dxa" w:w="120"/>
            </w:tcMar>
            <w:vAlign w:val="center"/>
          </w:tcPr>
          <w:p>
            <w:r>
              <w:rPr>
                <w:rFonts w:ascii="Georgia" w:cs="Georgia" w:eastAsia="Georgia" w:hAnsi="Georgia"/>
                <w:b/>
                <w:bCs/>
                <w:color w:val="F5EFE2"/>
                <w:spacing w:val="40"/>
                <w:sz w:val="20"/>
                <w:szCs w:val="20"/>
              </w:rPr>
              <w:t xml:space="preserve">Year</w:t>
            </w:r>
          </w:p>
        </w:tc>
        <w:tc>
          <w:tcPr>
            <w:tcW w:type="dxa" w:w="3000"/>
            <w:tcBorders>
              <w:top w:val="single" w:color="C9A84C" w:sz="1"/>
              <w:left w:val="single" w:color="C9A84C" w:sz="1"/>
              <w:bottom w:val="single" w:color="C9A84C" w:sz="1"/>
              <w:right w:val="single" w:color="C9A84C" w:sz="1"/>
            </w:tcBorders>
            <w:shd w:fill="7A3020" w:val="clear"/>
            <w:tcMar>
              <w:top w:type="dxa" w:w="80"/>
              <w:left w:type="dxa" w:w="120"/>
              <w:bottom w:type="dxa" w:w="80"/>
              <w:right w:type="dxa" w:w="120"/>
            </w:tcMar>
            <w:vAlign w:val="center"/>
          </w:tcPr>
          <w:p>
            <w:r>
              <w:rPr>
                <w:rFonts w:ascii="Georgia" w:cs="Georgia" w:eastAsia="Georgia" w:hAnsi="Georgia"/>
                <w:b/>
                <w:bCs/>
                <w:color w:val="F5EFE2"/>
                <w:spacing w:val="40"/>
                <w:sz w:val="20"/>
                <w:szCs w:val="20"/>
              </w:rPr>
              <w:t xml:space="preserve">Editor</w:t>
            </w:r>
          </w:p>
        </w:tc>
      </w:tr>
      <w:tr>
        <w:tc>
          <w:tcPr>
            <w:tcW w:type="dxa" w:w="6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w:t>
            </w:r>
          </w:p>
        </w:tc>
        <w:tc>
          <w:tcPr>
            <w:tcW w:type="dxa" w:w="45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Romeo and Juliet</w:t>
            </w:r>
          </w:p>
        </w:tc>
        <w:tc>
          <w:tcPr>
            <w:tcW w:type="dxa" w:w="12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1871</w:t>
            </w:r>
          </w:p>
        </w:tc>
        <w:tc>
          <w:tcPr>
            <w:tcW w:type="dxa" w:w="3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2</w:t>
            </w:r>
          </w:p>
        </w:tc>
        <w:tc>
          <w:tcPr>
            <w:tcW w:type="dxa" w:w="45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Macbeth</w:t>
            </w:r>
          </w:p>
        </w:tc>
        <w:tc>
          <w:tcPr>
            <w:tcW w:type="dxa" w:w="12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1873</w:t>
            </w:r>
          </w:p>
        </w:tc>
        <w:tc>
          <w:tcPr>
            <w:tcW w:type="dxa" w:w="3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3</w:t>
            </w:r>
          </w:p>
        </w:tc>
        <w:tc>
          <w:tcPr>
            <w:tcW w:type="dxa" w:w="45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Hamlet</w:t>
            </w:r>
          </w:p>
        </w:tc>
        <w:tc>
          <w:tcPr>
            <w:tcW w:type="dxa" w:w="12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1877</w:t>
            </w:r>
          </w:p>
        </w:tc>
        <w:tc>
          <w:tcPr>
            <w:tcW w:type="dxa" w:w="3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4</w:t>
            </w:r>
          </w:p>
        </w:tc>
        <w:tc>
          <w:tcPr>
            <w:tcW w:type="dxa" w:w="45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King Lear</w:t>
            </w:r>
          </w:p>
        </w:tc>
        <w:tc>
          <w:tcPr>
            <w:tcW w:type="dxa" w:w="12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1880</w:t>
            </w:r>
          </w:p>
        </w:tc>
        <w:tc>
          <w:tcPr>
            <w:tcW w:type="dxa" w:w="3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5</w:t>
            </w:r>
          </w:p>
        </w:tc>
        <w:tc>
          <w:tcPr>
            <w:tcW w:type="dxa" w:w="45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Othello</w:t>
            </w:r>
          </w:p>
        </w:tc>
        <w:tc>
          <w:tcPr>
            <w:tcW w:type="dxa" w:w="12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1886</w:t>
            </w:r>
          </w:p>
        </w:tc>
        <w:tc>
          <w:tcPr>
            <w:tcW w:type="dxa" w:w="3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6</w:t>
            </w:r>
          </w:p>
        </w:tc>
        <w:tc>
          <w:tcPr>
            <w:tcW w:type="dxa" w:w="45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The Merchant of Venice</w:t>
            </w:r>
          </w:p>
        </w:tc>
        <w:tc>
          <w:tcPr>
            <w:tcW w:type="dxa" w:w="12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1888</w:t>
            </w:r>
          </w:p>
        </w:tc>
        <w:tc>
          <w:tcPr>
            <w:tcW w:type="dxa" w:w="3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7</w:t>
            </w:r>
          </w:p>
        </w:tc>
        <w:tc>
          <w:tcPr>
            <w:tcW w:type="dxa" w:w="45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As You Like It</w:t>
            </w:r>
          </w:p>
        </w:tc>
        <w:tc>
          <w:tcPr>
            <w:tcW w:type="dxa" w:w="12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1890</w:t>
            </w:r>
          </w:p>
        </w:tc>
        <w:tc>
          <w:tcPr>
            <w:tcW w:type="dxa" w:w="3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8</w:t>
            </w:r>
          </w:p>
        </w:tc>
        <w:tc>
          <w:tcPr>
            <w:tcW w:type="dxa" w:w="45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The Tempest</w:t>
            </w:r>
          </w:p>
        </w:tc>
        <w:tc>
          <w:tcPr>
            <w:tcW w:type="dxa" w:w="12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1892</w:t>
            </w:r>
          </w:p>
        </w:tc>
        <w:tc>
          <w:tcPr>
            <w:tcW w:type="dxa" w:w="3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9</w:t>
            </w:r>
          </w:p>
        </w:tc>
        <w:tc>
          <w:tcPr>
            <w:tcW w:type="dxa" w:w="45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A Midsummer Night’s Dream</w:t>
            </w:r>
          </w:p>
        </w:tc>
        <w:tc>
          <w:tcPr>
            <w:tcW w:type="dxa" w:w="12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1895</w:t>
            </w:r>
          </w:p>
        </w:tc>
        <w:tc>
          <w:tcPr>
            <w:tcW w:type="dxa" w:w="3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10</w:t>
            </w:r>
          </w:p>
        </w:tc>
        <w:tc>
          <w:tcPr>
            <w:tcW w:type="dxa" w:w="45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The Winter’s Tale</w:t>
            </w:r>
          </w:p>
        </w:tc>
        <w:tc>
          <w:tcPr>
            <w:tcW w:type="dxa" w:w="12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1898</w:t>
            </w:r>
          </w:p>
        </w:tc>
        <w:tc>
          <w:tcPr>
            <w:tcW w:type="dxa" w:w="3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11</w:t>
            </w:r>
          </w:p>
        </w:tc>
        <w:tc>
          <w:tcPr>
            <w:tcW w:type="dxa" w:w="45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Much Ado About Nothing</w:t>
            </w:r>
          </w:p>
        </w:tc>
        <w:tc>
          <w:tcPr>
            <w:tcW w:type="dxa" w:w="12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1899</w:t>
            </w:r>
          </w:p>
        </w:tc>
        <w:tc>
          <w:tcPr>
            <w:tcW w:type="dxa" w:w="3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12</w:t>
            </w:r>
          </w:p>
        </w:tc>
        <w:tc>
          <w:tcPr>
            <w:tcW w:type="dxa" w:w="45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Twelfth Night</w:t>
            </w:r>
          </w:p>
        </w:tc>
        <w:tc>
          <w:tcPr>
            <w:tcW w:type="dxa" w:w="12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1901</w:t>
            </w:r>
          </w:p>
        </w:tc>
        <w:tc>
          <w:tcPr>
            <w:tcW w:type="dxa" w:w="3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13</w:t>
            </w:r>
          </w:p>
        </w:tc>
        <w:tc>
          <w:tcPr>
            <w:tcW w:type="dxa" w:w="45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Love’s Labour’s Lost</w:t>
            </w:r>
          </w:p>
        </w:tc>
        <w:tc>
          <w:tcPr>
            <w:tcW w:type="dxa" w:w="12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1904</w:t>
            </w:r>
          </w:p>
        </w:tc>
        <w:tc>
          <w:tcPr>
            <w:tcW w:type="dxa" w:w="3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14</w:t>
            </w:r>
          </w:p>
        </w:tc>
        <w:tc>
          <w:tcPr>
            <w:tcW w:type="dxa" w:w="45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Antony and Cleopatra</w:t>
            </w:r>
          </w:p>
        </w:tc>
        <w:tc>
          <w:tcPr>
            <w:tcW w:type="dxa" w:w="12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1907</w:t>
            </w:r>
          </w:p>
        </w:tc>
        <w:tc>
          <w:tcPr>
            <w:tcW w:type="dxa" w:w="3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15</w:t>
            </w:r>
          </w:p>
        </w:tc>
        <w:tc>
          <w:tcPr>
            <w:tcW w:type="dxa" w:w="45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Richard III</w:t>
            </w:r>
          </w:p>
        </w:tc>
        <w:tc>
          <w:tcPr>
            <w:tcW w:type="dxa" w:w="12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1908</w:t>
            </w:r>
          </w:p>
        </w:tc>
        <w:tc>
          <w:tcPr>
            <w:tcW w:type="dxa" w:w="3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16</w:t>
            </w:r>
          </w:p>
        </w:tc>
        <w:tc>
          <w:tcPr>
            <w:tcW w:type="dxa" w:w="45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Julius Caesar</w:t>
            </w:r>
          </w:p>
        </w:tc>
        <w:tc>
          <w:tcPr>
            <w:tcW w:type="dxa" w:w="12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1913</w:t>
            </w:r>
          </w:p>
        </w:tc>
        <w:tc>
          <w:tcPr>
            <w:tcW w:type="dxa" w:w="3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17</w:t>
            </w:r>
          </w:p>
        </w:tc>
        <w:tc>
          <w:tcPr>
            <w:tcW w:type="dxa" w:w="45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Cymbeline</w:t>
            </w:r>
          </w:p>
        </w:tc>
        <w:tc>
          <w:tcPr>
            <w:tcW w:type="dxa" w:w="12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1913</w:t>
            </w:r>
          </w:p>
        </w:tc>
        <w:tc>
          <w:tcPr>
            <w:tcW w:type="dxa" w:w="3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H. H. Furness</w:t>
            </w:r>
          </w:p>
        </w:tc>
      </w:tr>
      <w:tr>
        <w:tc>
          <w:tcPr>
            <w:tcW w:type="dxa" w:w="6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18</w:t>
            </w:r>
          </w:p>
        </w:tc>
        <w:tc>
          <w:tcPr>
            <w:tcW w:type="dxa" w:w="45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King John</w:t>
            </w:r>
          </w:p>
        </w:tc>
        <w:tc>
          <w:tcPr>
            <w:tcW w:type="dxa" w:w="12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1919</w:t>
            </w:r>
          </w:p>
        </w:tc>
        <w:tc>
          <w:tcPr>
            <w:tcW w:type="dxa" w:w="3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H. H. Furness Jr.</w:t>
            </w:r>
          </w:p>
        </w:tc>
      </w:tr>
      <w:tr>
        <w:tc>
          <w:tcPr>
            <w:tcW w:type="dxa" w:w="6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19</w:t>
            </w:r>
          </w:p>
        </w:tc>
        <w:tc>
          <w:tcPr>
            <w:tcW w:type="dxa" w:w="45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Coriolanus</w:t>
            </w:r>
          </w:p>
        </w:tc>
        <w:tc>
          <w:tcPr>
            <w:tcW w:type="dxa" w:w="12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1928</w:t>
            </w:r>
          </w:p>
        </w:tc>
        <w:tc>
          <w:tcPr>
            <w:tcW w:type="dxa" w:w="3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2"/>
                <w:szCs w:val="22"/>
              </w:rPr>
              <w:t xml:space="preserve">H. H. Furness Jr.</w:t>
            </w:r>
          </w:p>
        </w:tc>
      </w:tr>
      <w:tr>
        <w:tc>
          <w:tcPr>
            <w:tcW w:type="dxa" w:w="6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20</w:t>
            </w:r>
          </w:p>
        </w:tc>
        <w:tc>
          <w:tcPr>
            <w:tcW w:type="dxa" w:w="45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Henry IV, Part 1</w:t>
            </w:r>
          </w:p>
        </w:tc>
        <w:tc>
          <w:tcPr>
            <w:tcW w:type="dxa" w:w="12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1936</w:t>
            </w:r>
          </w:p>
        </w:tc>
        <w:tc>
          <w:tcPr>
            <w:tcW w:type="dxa" w:w="3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2"/>
                <w:szCs w:val="22"/>
              </w:rPr>
              <w:t xml:space="preserve">S. B. Hemingway</w:t>
            </w:r>
          </w:p>
        </w:tc>
      </w:tr>
    </w:tbl>
    <w:p>
      <w:pPr>
        <w:spacing w:before="200" w:after="80"/>
      </w:pPr>
    </w:p>
    <w:p>
      <w:pPr>
        <w:spacing w:before="0" w:after="80"/>
      </w:pPr>
      <w:r>
        <w:rPr>
          <w:rFonts w:ascii="Georgia" w:cs="Georgia" w:eastAsia="Georgia" w:hAnsi="Georgia"/>
          <w:b/>
          <w:bCs/>
          <w:color w:val="7A3020"/>
          <w:sz w:val="22"/>
          <w:szCs w:val="22"/>
        </w:rPr>
        <w:t xml:space="preserve">Three Plays Forthcoming</w:t>
      </w:r>
    </w:p>
    <w:p>
      <w:pPr>
        <w:spacing w:before="0" w:after="160"/>
        <w:jc w:val="both"/>
      </w:pPr>
      <w:r>
        <w:rPr>
          <w:rFonts w:ascii="Georgia" w:cs="Georgia" w:eastAsia="Georgia" w:hAnsi="Georgia"/>
          <w:color w:val="2A1F0E"/>
          <w:sz w:val="24"/>
          <w:szCs w:val="24"/>
        </w:rPr>
        <w:t xml:space="preserve">The following three volumes were accessible only as Google Books snippets and could not be fully processed. They will be added as access permits.</w:t>
      </w:r>
    </w:p>
    <w:p>
      <w:pPr>
        <w:pStyle w:val="ListParagraph"/>
        <w:numPr>
          <w:ilvl w:val="0"/>
          <w:numId w:val="2"/>
        </w:numPr>
        <w:spacing w:before="0" w:after="60"/>
      </w:pPr>
      <w:r>
        <w:rPr>
          <w:rFonts w:ascii="Georgia" w:cs="Georgia" w:eastAsia="Georgia" w:hAnsi="Georgia"/>
          <w:b/>
          <w:bCs/>
          <w:color w:val="2A1F0E"/>
          <w:sz w:val="24"/>
          <w:szCs w:val="24"/>
        </w:rPr>
        <w:t xml:space="preserve">Henry IV, Part 2</w:t>
      </w:r>
      <w:r>
        <w:rPr>
          <w:rFonts w:ascii="Georgia" w:cs="Georgia" w:eastAsia="Georgia" w:hAnsi="Georgia"/>
          <w:color w:val="2A1F0E"/>
          <w:sz w:val="24"/>
          <w:szCs w:val="24"/>
        </w:rPr>
        <w:t xml:space="preserve"> (1940, ed. M. A. Shaaber)</w:t>
      </w:r>
    </w:p>
    <w:p>
      <w:pPr>
        <w:pStyle w:val="ListParagraph"/>
        <w:numPr>
          <w:ilvl w:val="0"/>
          <w:numId w:val="2"/>
        </w:numPr>
        <w:spacing w:before="0" w:after="60"/>
      </w:pPr>
      <w:r>
        <w:rPr>
          <w:rFonts w:ascii="Georgia" w:cs="Georgia" w:eastAsia="Georgia" w:hAnsi="Georgia"/>
          <w:b/>
          <w:bCs/>
          <w:color w:val="2A1F0E"/>
          <w:sz w:val="24"/>
          <w:szCs w:val="24"/>
        </w:rPr>
        <w:t xml:space="preserve">Troilus and Cressida</w:t>
      </w:r>
      <w:r>
        <w:rPr>
          <w:rFonts w:ascii="Georgia" w:cs="Georgia" w:eastAsia="Georgia" w:hAnsi="Georgia"/>
          <w:color w:val="2A1F0E"/>
          <w:sz w:val="24"/>
          <w:szCs w:val="24"/>
        </w:rPr>
        <w:t xml:space="preserve"> (1953, ed. H. N. Hillebrand &amp; T. W. Baldwin)</w:t>
      </w:r>
    </w:p>
    <w:p>
      <w:pPr>
        <w:pStyle w:val="ListParagraph"/>
        <w:numPr>
          <w:ilvl w:val="0"/>
          <w:numId w:val="2"/>
        </w:numPr>
        <w:spacing w:before="0" w:after="160"/>
      </w:pPr>
      <w:r>
        <w:rPr>
          <w:rFonts w:ascii="Georgia" w:cs="Georgia" w:eastAsia="Georgia" w:hAnsi="Georgia"/>
          <w:b/>
          <w:bCs/>
          <w:color w:val="2A1F0E"/>
          <w:sz w:val="24"/>
          <w:szCs w:val="24"/>
        </w:rPr>
        <w:t xml:space="preserve">Richard II</w:t>
      </w:r>
      <w:r>
        <w:rPr>
          <w:rFonts w:ascii="Georgia" w:cs="Georgia" w:eastAsia="Georgia" w:hAnsi="Georgia"/>
          <w:color w:val="2A1F0E"/>
          <w:sz w:val="24"/>
          <w:szCs w:val="24"/>
        </w:rPr>
        <w:t xml:space="preserve"> (1955, ed. M. W. Black)</w:t>
      </w:r>
    </w:p>
    <w:p>
      <w:pPr>
        <w:spacing w:before="0" w:after="80"/>
      </w:pPr>
      <w:r>
        <w:rPr>
          <w:rFonts w:ascii="Georgia" w:cs="Georgia" w:eastAsia="Georgia" w:hAnsi="Georgia"/>
          <w:b/>
          <w:bCs/>
          <w:color w:val="7A3020"/>
          <w:sz w:val="22"/>
          <w:szCs w:val="22"/>
        </w:rPr>
        <w:t xml:space="preserve">Non-Dramatic Volumes</w:t>
      </w:r>
    </w:p>
    <w:p>
      <w:pPr>
        <w:pStyle w:val="ListParagraph"/>
        <w:numPr>
          <w:ilvl w:val="0"/>
          <w:numId w:val="2"/>
        </w:numPr>
        <w:spacing w:before="0" w:after="60"/>
      </w:pPr>
      <w:r>
        <w:rPr>
          <w:rFonts w:ascii="Georgia" w:cs="Georgia" w:eastAsia="Georgia" w:hAnsi="Georgia"/>
          <w:b/>
          <w:bCs/>
          <w:color w:val="2A1F0E"/>
          <w:sz w:val="24"/>
          <w:szCs w:val="24"/>
        </w:rPr>
        <w:t xml:space="preserve">The Poems</w:t>
      </w:r>
      <w:r>
        <w:rPr>
          <w:rFonts w:ascii="Georgia" w:cs="Georgia" w:eastAsia="Georgia" w:hAnsi="Georgia"/>
          <w:color w:val="2A1F0E"/>
          <w:sz w:val="24"/>
          <w:szCs w:val="24"/>
        </w:rPr>
        <w:t xml:space="preserve"> (1938, ed. H. E. Rollins)</w:t>
      </w:r>
    </w:p>
    <w:p>
      <w:pPr>
        <w:pStyle w:val="ListParagraph"/>
        <w:numPr>
          <w:ilvl w:val="0"/>
          <w:numId w:val="2"/>
        </w:numPr>
        <w:spacing w:before="0" w:after="160"/>
      </w:pPr>
      <w:r>
        <w:rPr>
          <w:rFonts w:ascii="Georgia" w:cs="Georgia" w:eastAsia="Georgia" w:hAnsi="Georgia"/>
          <w:b/>
          <w:bCs/>
          <w:color w:val="2A1F0E"/>
          <w:sz w:val="24"/>
          <w:szCs w:val="24"/>
        </w:rPr>
        <w:t xml:space="preserve">The Sonnets</w:t>
      </w:r>
      <w:r>
        <w:rPr>
          <w:rFonts w:ascii="Georgia" w:cs="Georgia" w:eastAsia="Georgia" w:hAnsi="Georgia"/>
          <w:color w:val="2A1F0E"/>
          <w:sz w:val="24"/>
          <w:szCs w:val="24"/>
        </w:rPr>
        <w:t xml:space="preserve"> (1944, ed. H. E. Rollins, 2 vols.)</w:t>
      </w:r>
    </w:p>
    <w:p>
      <w:pPr>
        <w:spacing w:before="0" w:after="80"/>
      </w:pPr>
      <w:r>
        <w:rPr>
          <w:rFonts w:ascii="Georgia" w:cs="Georgia" w:eastAsia="Georgia" w:hAnsi="Georgia"/>
          <w:b/>
          <w:bCs/>
          <w:color w:val="7A3020"/>
          <w:sz w:val="22"/>
          <w:szCs w:val="22"/>
        </w:rPr>
        <w:t xml:space="preserve">Summary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4"/>
                <w:szCs w:val="24"/>
              </w:rPr>
              <w:t xml:space="preserve">Out-of-copyright NVS plays (total)</w:t>
            </w:r>
          </w:p>
        </w:tc>
        <w:tc>
          <w:tcPr>
            <w:tcW w:type="dxa" w:w="2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pPr>
              <w:jc w:val="center"/>
            </w:pPr>
            <w:r>
              <w:rPr>
                <w:rFonts w:ascii="Georgia" w:cs="Georgia" w:eastAsia="Georgia" w:hAnsi="Georgia"/>
                <w:b/>
                <w:bCs/>
                <w:color w:val="7A3020"/>
                <w:sz w:val="24"/>
                <w:szCs w:val="24"/>
              </w:rPr>
              <w:t xml:space="preserve">23</w:t>
            </w:r>
          </w:p>
        </w:tc>
      </w:tr>
      <w:tr>
        <w:tc>
          <w:tcPr>
            <w:tcW w:type="dxa" w:w="73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4"/>
                <w:szCs w:val="24"/>
              </w:rPr>
              <w:t xml:space="preserve">Plays fully included on this site</w:t>
            </w:r>
          </w:p>
        </w:tc>
        <w:tc>
          <w:tcPr>
            <w:tcW w:type="dxa" w:w="2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pPr>
              <w:jc w:val="center"/>
            </w:pPr>
            <w:r>
              <w:rPr>
                <w:rFonts w:ascii="Georgia" w:cs="Georgia" w:eastAsia="Georgia" w:hAnsi="Georgia"/>
                <w:b/>
                <w:bCs/>
                <w:color w:val="7A3020"/>
                <w:sz w:val="24"/>
                <w:szCs w:val="24"/>
              </w:rPr>
              <w:t xml:space="preserve">20</w:t>
            </w:r>
          </w:p>
        </w:tc>
      </w:tr>
      <w:tr>
        <w:tc>
          <w:tcPr>
            <w:tcW w:type="dxa" w:w="73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rFonts w:ascii="Georgia" w:cs="Georgia" w:eastAsia="Georgia" w:hAnsi="Georgia"/>
                <w:color w:val="2A1F0E"/>
                <w:sz w:val="24"/>
                <w:szCs w:val="24"/>
              </w:rPr>
              <w:t xml:space="preserve">Plays forthcoming (Google Books snippets only)</w:t>
            </w:r>
          </w:p>
        </w:tc>
        <w:tc>
          <w:tcPr>
            <w:tcW w:type="dxa" w:w="200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pPr>
              <w:jc w:val="center"/>
            </w:pPr>
            <w:r>
              <w:rPr>
                <w:rFonts w:ascii="Georgia" w:cs="Georgia" w:eastAsia="Georgia" w:hAnsi="Georgia"/>
                <w:b/>
                <w:bCs/>
                <w:color w:val="7A3020"/>
                <w:sz w:val="24"/>
                <w:szCs w:val="24"/>
              </w:rPr>
              <w:t xml:space="preserve">3</w:t>
            </w:r>
          </w:p>
        </w:tc>
      </w:tr>
      <w:tr>
        <w:tc>
          <w:tcPr>
            <w:tcW w:type="dxa" w:w="736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r>
              <w:rPr>
                <w:rFonts w:ascii="Georgia" w:cs="Georgia" w:eastAsia="Georgia" w:hAnsi="Georgia"/>
                <w:color w:val="2A1F0E"/>
                <w:sz w:val="24"/>
                <w:szCs w:val="24"/>
              </w:rPr>
              <w:t xml:space="preserve">Non-dramatic poetry volumes</w:t>
            </w:r>
          </w:p>
        </w:tc>
        <w:tc>
          <w:tcPr>
            <w:tcW w:type="dxa" w:w="2000"/>
            <w:tcBorders>
              <w:top w:val="single" w:color="C9A84C" w:sz="1"/>
              <w:left w:val="single" w:color="C9A84C" w:sz="1"/>
              <w:bottom w:val="single" w:color="C9A84C" w:sz="1"/>
              <w:right w:val="single" w:color="C9A84C" w:sz="1"/>
            </w:tcBorders>
            <w:shd w:fill="F5EFE2" w:val="clear"/>
            <w:tcMar>
              <w:top w:type="dxa" w:w="80"/>
              <w:left w:type="dxa" w:w="120"/>
              <w:bottom w:type="dxa" w:w="80"/>
              <w:right w:type="dxa" w:w="120"/>
            </w:tcMar>
          </w:tcPr>
          <w:p>
            <w:pPr>
              <w:jc w:val="center"/>
            </w:pPr>
            <w:r>
              <w:rPr>
                <w:rFonts w:ascii="Georgia" w:cs="Georgia" w:eastAsia="Georgia" w:hAnsi="Georgia"/>
                <w:b/>
                <w:bCs/>
                <w:color w:val="7A3020"/>
                <w:sz w:val="24"/>
                <w:szCs w:val="24"/>
              </w:rPr>
              <w:t xml:space="preserve">2</w:t>
            </w:r>
          </w:p>
        </w:tc>
      </w:tr>
    </w:tbl>
    <w:p>
      <w:pPr>
        <w:spacing w:before="200" w:after="0"/>
      </w:pPr>
    </w:p>
    <w:p>
      <w:pPr>
        <w:spacing w:before="120" w:after="120"/>
        <w:jc w:val="center"/>
      </w:pPr>
      <w:r>
        <w:rPr>
          <w:rFonts w:ascii="Georgia" w:cs="Georgia" w:eastAsia="Georgia" w:hAnsi="Georgia"/>
          <w:color w:val="9A7A2E"/>
          <w:sz w:val="24"/>
          <w:szCs w:val="24"/>
        </w:rPr>
        <w:t xml:space="preserve">✶</w:t>
      </w:r>
    </w:p>
    <w:p>
      <w:pPr>
        <w:pBdr>
          <w:bottom w:val="single" w:color="9A7A2E" w:sz="4" w:space="4"/>
        </w:pBdr>
        <w:spacing w:before="320" w:after="120"/>
      </w:pPr>
      <w:r>
        <w:rPr>
          <w:rFonts w:ascii="Georgia" w:cs="Georgia" w:eastAsia="Georgia" w:hAnsi="Georgia"/>
          <w:b/>
          <w:bCs/>
          <w:color w:val="7A3020"/>
          <w:spacing w:val="80"/>
          <w:sz w:val="20"/>
          <w:szCs w:val="20"/>
        </w:rPr>
        <w:t xml:space="preserve">THE NEXT EVOLUTION</w:t>
      </w:r>
    </w:p>
    <w:p>
      <w:pPr>
        <w:spacing w:before="0" w:after="160"/>
        <w:jc w:val="both"/>
      </w:pPr>
      <w:r>
        <w:rPr>
          <w:rFonts w:ascii="Georgia" w:cs="Georgia" w:eastAsia="Georgia" w:hAnsi="Georgia"/>
          <w:color w:val="2A1F0E"/>
          <w:sz w:val="24"/>
          <w:szCs w:val="24"/>
        </w:rPr>
        <w:t xml:space="preserve">The </w:t>
      </w:r>
      <w:r>
        <w:rPr>
          <w:rFonts w:ascii="Georgia" w:cs="Georgia" w:eastAsia="Georgia" w:hAnsi="Georgia"/>
          <w:i/>
          <w:iCs/>
          <w:color w:val="2A1F0E"/>
          <w:sz w:val="24"/>
          <w:szCs w:val="24"/>
        </w:rPr>
        <w:t xml:space="preserve">Shakespeare Digital Variorum</w:t>
      </w:r>
      <w:r>
        <w:rPr>
          <w:rFonts w:ascii="Georgia" w:cs="Georgia" w:eastAsia="Georgia" w:hAnsi="Georgia"/>
          <w:color w:val="2A1F0E"/>
          <w:sz w:val="24"/>
          <w:szCs w:val="24"/>
        </w:rPr>
        <w:t xml:space="preserve"> represents the next evolution of the variorum tradition: comprehensive, scholarly, and designed for universal access. Shakespeare’s world is vast — and now everyone can explore all of it.</w:t>
      </w:r>
    </w:p>
    <w:p>
      <w:pPr>
        <w:spacing w:before="120" w:after="120"/>
        <w:jc w:val="center"/>
      </w:pPr>
      <w:r>
        <w:rPr>
          <w:rFonts w:ascii="Georgia" w:cs="Georgia" w:eastAsia="Georgia" w:hAnsi="Georgia"/>
          <w:color w:val="9A7A2E"/>
          <w:sz w:val="24"/>
          <w:szCs w:val="24"/>
        </w:rPr>
        <w:t xml:space="preserve">— ✦ ❧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1F0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2026-03-29T05:13:06.271Z</dcterms:created>
  <dcterms:modified xsi:type="dcterms:W3CDTF">2026-03-29T05:13:06.272Z</dcterms:modified>
</cp:coreProperties>
</file>

<file path=docProps/custom.xml><?xml version="1.0" encoding="utf-8"?>
<Properties xmlns="http://schemas.openxmlformats.org/officeDocument/2006/custom-properties" xmlns:vt="http://schemas.openxmlformats.org/officeDocument/2006/docPropsVTypes"/>
</file>