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7D6B" w14:textId="77777777" w:rsidR="003F3427" w:rsidRPr="003F3427" w:rsidRDefault="003F3427" w:rsidP="003F34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3427">
        <w:rPr>
          <w:rFonts w:ascii="Times New Roman" w:eastAsia="Times New Roman" w:hAnsi="Times New Roman" w:cs="Times New Roman"/>
          <w:b/>
          <w:bCs/>
          <w:kern w:val="36"/>
          <w:sz w:val="48"/>
          <w:szCs w:val="48"/>
          <w14:ligatures w14:val="none"/>
        </w:rPr>
        <w:t>Full Fathom Five: Transforming the New Variorum Shakespeare Through AI-Powered Democratic Access</w:t>
      </w:r>
    </w:p>
    <w:p w14:paraId="215F3130"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Abstract</w:t>
      </w:r>
    </w:p>
    <w:p w14:paraId="5BEEC49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We present a digital platform that addresses longstanding accessibility barriers to the New Variorum Shakespeare (NVS) editions through systematic corpus digitization, computational bibliographic resolution, and adaptive interface design. The NVS represents over a century of accumulated Shakespeare scholarship but has remained difficult to use due to physical rarity, archaic textual conventions, and incomplete citation practices. Our approach combines multi-stage OCR processing with large-language-model validation, aligns Early Modern Variorum text with contemporary accessible editions, and employs computational agents to systematically resolve thousands of incomplete citations throughout the corpus. The resulting platform provides line-level access to historical commentary alongside tiered computational analysis that adapts to different user expertise levels. This work contributes to digital humanities methodology by demonstrating how computational approaches can preserve scholarly authority while expanding access to cultural heritage, creating a comprehensive digital surrogate that covers twenty of twenty-three pre-1956 Variorum editions.</w:t>
      </w:r>
    </w:p>
    <w:p w14:paraId="71F7EF7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Index Terms</w:t>
      </w:r>
      <w:r w:rsidRPr="003F3427">
        <w:rPr>
          <w:rFonts w:ascii="Times New Roman" w:eastAsia="Times New Roman" w:hAnsi="Times New Roman" w:cs="Times New Roman"/>
          <w:kern w:val="0"/>
          <w14:ligatures w14:val="none"/>
        </w:rPr>
        <w:t>—Digital Humanities, Shakespeare Studies, Electronic Scholarly Editions, Computational Bibliography, Optical Character Recognition, Large Language Models</w:t>
      </w:r>
    </w:p>
    <w:p w14:paraId="4FAAFE60"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I. Introduction</w:t>
      </w:r>
    </w:p>
    <w:p w14:paraId="6DED87A8"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The Democratic Vision and Its Technical Barriers</w:t>
      </w:r>
    </w:p>
    <w:p w14:paraId="4C7A2F9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In 1871, Horace Howard Furness embarked on one of the most ambitious projects in literary scholarship: the New Variorum Shakespeare. His vision was revolutionary—to gather, in a single edition, every significant comment, gloss, interpretation, and textual variant that had accumulated around Shakespeare's works since their first publication. This was not merely an editorial project but a democratic ideal: that the complete scholarly conversation about Shakespeare, previously scattered across rare books in elite libraries, should be available to any serious reader. Furness himself articulated this vision in his preface to the first volume, declaring that his goal was to provide "the humblest student" with "the same advantages as the most learned professor."</w:t>
      </w:r>
    </w:p>
    <w:p w14:paraId="0681965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Yet Furness's democratic vision has been constrained by multiple technical barriers that persist even in the digital age. The Variorum editions present challenges that simple digitization cannot resolve: they employ Early Modern spelling conventions that impede contemporary comprehension; they contain thousands of abbreviated and incomplete citations that resist </w:t>
      </w:r>
      <w:r w:rsidRPr="003F3427">
        <w:rPr>
          <w:rFonts w:ascii="Times New Roman" w:eastAsia="Times New Roman" w:hAnsi="Times New Roman" w:cs="Times New Roman"/>
          <w:kern w:val="0"/>
          <w14:ligatures w14:val="none"/>
        </w:rPr>
        <w:lastRenderedPageBreak/>
        <w:t>resolution even by specialists; and their critical apparatus is so dense and cross-referenced that extracting coherent commentary requires extensive scholarly training.</w:t>
      </w:r>
    </w:p>
    <w:p w14:paraId="34716E8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project addresses these barriers through computational methods that preserve scholarly integrity while enabling broader accessibility. We have developed a multi-stage pipeline that converts historical Variorum editions into usable digital surrogates, resolves incomplete bibliographic references through systematic extraction and cross-referencing, and provides adaptive interface design that serves readers at different levels of expertise.</w:t>
      </w:r>
    </w:p>
    <w:p w14:paraId="7EAB2D73"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The Scope and Challenge of the New Variorum Corpus</w:t>
      </w:r>
    </w:p>
    <w:p w14:paraId="07FB9C4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complete pre-1956 New Variorum Shakespeare comprises 25 volumes: 23 play editions and 2 non-dramatic poetry volumes (</w:t>
      </w:r>
      <w:r w:rsidRPr="003F3427">
        <w:rPr>
          <w:rFonts w:ascii="Times New Roman" w:eastAsia="Times New Roman" w:hAnsi="Times New Roman" w:cs="Times New Roman"/>
          <w:i/>
          <w:iCs/>
          <w:kern w:val="0"/>
          <w14:ligatures w14:val="none"/>
        </w:rPr>
        <w:t>The Poems</w:t>
      </w:r>
      <w:r w:rsidRPr="003F3427">
        <w:rPr>
          <w:rFonts w:ascii="Times New Roman" w:eastAsia="Times New Roman" w:hAnsi="Times New Roman" w:cs="Times New Roman"/>
          <w:kern w:val="0"/>
          <w14:ligatures w14:val="none"/>
        </w:rPr>
        <w:t xml:space="preserve"> [1938] and </w:t>
      </w:r>
      <w:r w:rsidRPr="003F3427">
        <w:rPr>
          <w:rFonts w:ascii="Times New Roman" w:eastAsia="Times New Roman" w:hAnsi="Times New Roman" w:cs="Times New Roman"/>
          <w:i/>
          <w:iCs/>
          <w:kern w:val="0"/>
          <w14:ligatures w14:val="none"/>
        </w:rPr>
        <w:t>The Sonnets</w:t>
      </w:r>
      <w:r w:rsidRPr="003F3427">
        <w:rPr>
          <w:rFonts w:ascii="Times New Roman" w:eastAsia="Times New Roman" w:hAnsi="Times New Roman" w:cs="Times New Roman"/>
          <w:kern w:val="0"/>
          <w14:ligatures w14:val="none"/>
        </w:rPr>
        <w:t xml:space="preserve"> [1944]). The plays span from Furness's 1871 </w:t>
      </w:r>
      <w:r w:rsidRPr="003F3427">
        <w:rPr>
          <w:rFonts w:ascii="Times New Roman" w:eastAsia="Times New Roman" w:hAnsi="Times New Roman" w:cs="Times New Roman"/>
          <w:i/>
          <w:iCs/>
          <w:kern w:val="0"/>
          <w14:ligatures w14:val="none"/>
        </w:rPr>
        <w:t>Romeo and Juliet</w:t>
      </w:r>
      <w:r w:rsidRPr="003F3427">
        <w:rPr>
          <w:rFonts w:ascii="Times New Roman" w:eastAsia="Times New Roman" w:hAnsi="Times New Roman" w:cs="Times New Roman"/>
          <w:kern w:val="0"/>
          <w14:ligatures w14:val="none"/>
        </w:rPr>
        <w:t xml:space="preserve"> through the MLA's 1955 </w:t>
      </w:r>
      <w:r w:rsidRPr="003F3427">
        <w:rPr>
          <w:rFonts w:ascii="Times New Roman" w:eastAsia="Times New Roman" w:hAnsi="Times New Roman" w:cs="Times New Roman"/>
          <w:i/>
          <w:iCs/>
          <w:kern w:val="0"/>
          <w14:ligatures w14:val="none"/>
        </w:rPr>
        <w:t>Richard II</w:t>
      </w:r>
      <w:r w:rsidRPr="003F3427">
        <w:rPr>
          <w:rFonts w:ascii="Times New Roman" w:eastAsia="Times New Roman" w:hAnsi="Times New Roman" w:cs="Times New Roman"/>
          <w:kern w:val="0"/>
          <w14:ligatures w14:val="none"/>
        </w:rPr>
        <w:t>. These dramatic volumes contain approximately 15,000 pages of accumulated scholarship representing over 1,000 critics, editors, and commentators from 1709 to 1955. Our project focuses exclusively on the dramatic works, as they represent the core of the Variorum tradition and present the most complex challenges for line-level annotation alignment.</w:t>
      </w:r>
    </w:p>
    <w:p w14:paraId="5AA6064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However, this scholarly wealth remains largely inaccessible due to systematic barriers embedded in the editorial tradition:</w:t>
      </w:r>
    </w:p>
    <w:p w14:paraId="2E4CF45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Textual Opacity</w:t>
      </w:r>
      <w:r w:rsidRPr="003F3427">
        <w:rPr>
          <w:rFonts w:ascii="Times New Roman" w:eastAsia="Times New Roman" w:hAnsi="Times New Roman" w:cs="Times New Roman"/>
          <w:kern w:val="0"/>
          <w14:ligatures w14:val="none"/>
        </w:rPr>
        <w:t>: The Variorum maintains original folio and quarto spellings that impede comprehension for modern readers, even those with literary training.</w:t>
      </w:r>
    </w:p>
    <w:p w14:paraId="5946A02B"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Citation Incompleteness</w:t>
      </w:r>
      <w:r w:rsidRPr="003F3427">
        <w:rPr>
          <w:rFonts w:ascii="Times New Roman" w:eastAsia="Times New Roman" w:hAnsi="Times New Roman" w:cs="Times New Roman"/>
          <w:kern w:val="0"/>
          <w14:ligatures w14:val="none"/>
        </w:rPr>
        <w:t>: References frequently appear as fragments ("Clar." for Edward Capell, "Steev." for George Steevens, "Murr." for James Murray of the Oxford English Dictionary) that require consultation of bibliographic tables located dozens or hundreds of pages from the commentary itself. More problematically, many significant figures—lexicographers like Murray, prominent actors, theater managers—are mentioned in the extensive prose introductions and appendices but never appear in the formal bibliographic apparatus, making their identification nearly impossible even for specialists. Our computational agents systematically extracted every proper noun (persons, theaters, institutions) mentioned throughout the corpus, creating a comprehensive searchable database that allows users to quickly identify any figure referenced in the commentary, regardless of whether they appear in the original bibliographic apparatus.</w:t>
      </w:r>
    </w:p>
    <w:p w14:paraId="057B876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Cross-Reference Density</w:t>
      </w:r>
      <w:r w:rsidRPr="003F3427">
        <w:rPr>
          <w:rFonts w:ascii="Times New Roman" w:eastAsia="Times New Roman" w:hAnsi="Times New Roman" w:cs="Times New Roman"/>
          <w:kern w:val="0"/>
          <w14:ligatures w14:val="none"/>
        </w:rPr>
        <w:t>: Commentary often assumes familiarity with earlier annotations, creating webs of interdependence that make isolated consultation nearly impossible.</w:t>
      </w:r>
    </w:p>
    <w:p w14:paraId="6F068F4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Physical Inaccessibility</w:t>
      </w:r>
      <w:r w:rsidRPr="003F3427">
        <w:rPr>
          <w:rFonts w:ascii="Times New Roman" w:eastAsia="Times New Roman" w:hAnsi="Times New Roman" w:cs="Times New Roman"/>
          <w:kern w:val="0"/>
          <w14:ligatures w14:val="none"/>
        </w:rPr>
        <w:t>: Complete sets exist in fewer than 100 libraries worldwide, with individual volumes often restricted to special collections.</w:t>
      </w:r>
    </w:p>
    <w:p w14:paraId="69B453BD"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II. Related Work and Methodological Context</w:t>
      </w:r>
    </w:p>
    <w:p w14:paraId="45FD6089"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Digital Shakespeare Editions and Their Approaches</w:t>
      </w:r>
    </w:p>
    <w:p w14:paraId="246D50A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The digital humanities community has created several significant Shakespeare platforms, each with distinct editorial philosophies and technical implementations. The Folger Digital Texts provides clean, modernized editions optimized for readability and classroom use, employing contemporary spelling and punctuation while maintaining scholarly accuracy through careful editorial practice. The Internet Shakespeare Editions takes a more complex approach, offering multiple text versions with extensive textual apparatus, performance databases, and peer-reviewed scholarly annotation that attempts to serve both general readers and specialists.</w:t>
      </w:r>
    </w:p>
    <w:p w14:paraId="10BC955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Global </w:t>
      </w:r>
      <w:proofErr w:type="spellStart"/>
      <w:r w:rsidRPr="003F3427">
        <w:rPr>
          <w:rFonts w:ascii="Times New Roman" w:eastAsia="Times New Roman" w:hAnsi="Times New Roman" w:cs="Times New Roman"/>
          <w:kern w:val="0"/>
          <w14:ligatures w14:val="none"/>
        </w:rPr>
        <w:t>Shakespeares</w:t>
      </w:r>
      <w:proofErr w:type="spellEnd"/>
      <w:r w:rsidRPr="003F3427">
        <w:rPr>
          <w:rFonts w:ascii="Times New Roman" w:eastAsia="Times New Roman" w:hAnsi="Times New Roman" w:cs="Times New Roman"/>
          <w:kern w:val="0"/>
          <w14:ligatures w14:val="none"/>
        </w:rPr>
        <w:t xml:space="preserve"> focuses specifically on international and contemporary performance, archiving productions from around the world to demonstrate Shakespeare's global cultural presence. The Shakespeare Quartos Archive provides high-resolution facsimiles of early editions, serving primarily scholarly users interested in bibliographic and textual research. </w:t>
      </w:r>
      <w:proofErr w:type="gramStart"/>
      <w:r w:rsidRPr="003F3427">
        <w:rPr>
          <w:rFonts w:ascii="Times New Roman" w:eastAsia="Times New Roman" w:hAnsi="Times New Roman" w:cs="Times New Roman"/>
          <w:kern w:val="0"/>
          <w14:ligatures w14:val="none"/>
        </w:rPr>
        <w:t>Open Source</w:t>
      </w:r>
      <w:proofErr w:type="gramEnd"/>
      <w:r w:rsidRPr="003F3427">
        <w:rPr>
          <w:rFonts w:ascii="Times New Roman" w:eastAsia="Times New Roman" w:hAnsi="Times New Roman" w:cs="Times New Roman"/>
          <w:kern w:val="0"/>
          <w14:ligatures w14:val="none"/>
        </w:rPr>
        <w:t xml:space="preserve"> Shakespeare offers simple, accessible text with basic search functionality, prioritizing broad access over scholarly apparatus.</w:t>
      </w:r>
    </w:p>
    <w:p w14:paraId="2DBA606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These projects represent different solutions to the fundamental tension in digital editions between accessibility and scholarly completeness. The Folger prioritizes usability, ISE attempts comprehensive coverage, and the Quartos Archive preserves original materiality. However, none addresses the specific challenge of the Variorum tradition: making centuries of accumulated commentary accessible in context while preserving the historical scholarly record.</w:t>
      </w:r>
    </w:p>
    <w:p w14:paraId="62105C67"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Electronic Scholarly Edition Theory and Practice</w:t>
      </w:r>
    </w:p>
    <w:p w14:paraId="28B5BC3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approach must be situated within broader theoretical debates about electronic scholarly editions. Elena Pierazzo's influential work on digital editions argues for recognizing the fundamental differences between print and digital media, suggesting that digital editions should leverage computational capabilities rather than simply reproducing print conventions. Patrick Sahle's framework for digital editions emphasizes the importance of explicit editorial decisions and transparent methodologies, particularly relevant for projects that combine historical sources with computational processing.</w:t>
      </w:r>
    </w:p>
    <w:p w14:paraId="5F02CA9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Kenneth Price's work on collaborative digital editions highlights the potential for platforms that serve multiple audiences simultaneously, though he emphasizes the importance of maintaining clear distinctions between different types of editorial authority. Our platform's separation of historical Variorum commentary from AI-generated analysis directly addresses this concern.</w:t>
      </w:r>
    </w:p>
    <w:p w14:paraId="09240F8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Text Encoding Initiative (TEI) provides established standards for encoding historical texts, and many digital edition projects employ TEI-XML as their foundational markup language. However, our project deliberately chooses a different technical approach—structured JSON aligned with contemporary web technologies—for several reasons: first, the density and complexity of Variorum commentary exceeds what can be practically encoded in TEI without creating unwieldy documents; second, our emphasis on line-level computational alignment requires more flexible data structures than TEI readily supports; and third, our integration with contemporary language models benefits from JSON's native compatibility with modern API architectures.</w:t>
      </w:r>
    </w:p>
    <w:p w14:paraId="477478BF"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lastRenderedPageBreak/>
        <w:t>C. Artificial Intelligence in Digital Humanities: Opportunities and Concerns</w:t>
      </w:r>
    </w:p>
    <w:p w14:paraId="5A4914E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integration of large language models into digital humanities platforms has generated significant scholarly discussion, much of it appropriately cautious about the epistemological implications of computational text generation. Ted Underwood's recent work on machine learning in literary studies emphasizes the importance of understanding what AI systems can and cannot reliably do, particularly warning against treating LLM outputs as equivalent to scholarly analysis.</w:t>
      </w:r>
    </w:p>
    <w:p w14:paraId="40B3896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Ryan Cordell's research on computational approaches to historical texts highlights both the potential and the pitfalls of using AI for textual processing, noting that computational methods work best when their limitations are clearly understood and communicated to users. Kathleen Fitzpatrick's writing on digital humanities infrastructure emphasizes the importance of sustainable, transparent platforms that serve scholarly communities rather than replacing human expertise.</w:t>
      </w:r>
    </w:p>
    <w:p w14:paraId="42AB2A0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platform attempts to address these concerns through several design principles: clear labeling of AI-generated content as computationally produced rather than authoritative; preservation of original historical sources alongside AI analysis; and adaptive presentation that allows users to engage with materials at their chosen level of computational mediation. However, we acknowledge that significant questions remain about the appropriate role of AI in scholarly contexts, particularly regarding the reliability and verifiability of machine-generated textual analysis.</w:t>
      </w:r>
    </w:p>
    <w:p w14:paraId="3B793BAB"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D. Computational Bibliography and Citation Resolution</w:t>
      </w:r>
    </w:p>
    <w:p w14:paraId="34F2EE2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While computational bibliography has received less attention than other digital humanities methods, several projects have explored automated approaches to citation extraction and resolution. The Perseus Digital Library's work on classical texts has developed methods for linking fragmented references across multiple sources, though primarily within more standardized classical citation conventions.</w:t>
      </w:r>
    </w:p>
    <w:p w14:paraId="66A64E1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Recent work in bibliometric analysis has employed machine learning for citation disambiguation and author identification, but typically within contemporary academic databases rather than historical scholarly sources. Our approach differs by focusing specifically on the incomplete and abbreviated citation practices common in historical scholarship, where standard disambiguation techniques often fail due to insufficient contextual information.</w:t>
      </w:r>
    </w:p>
    <w:p w14:paraId="150F9E7B"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challenge of resolving historical citations represents a broader methodological problem in digital humanities: how to apply computational methods to materials that were created according to different scholarly conventions and technological constraints. Our systematic approach using AI agents for extraction and cross-referencing provides a potential model for similar work with other historical scholarly corpora.</w:t>
      </w:r>
    </w:p>
    <w:p w14:paraId="796C58AB" w14:textId="77777777" w:rsidR="00503C87" w:rsidRDefault="00503C87">
      <w:pPr>
        <w:rPr>
          <w:rFonts w:ascii="Times New Roman" w:hAnsi="Times New Roman" w:cs="Times New Roman"/>
          <w:b/>
          <w:sz w:val="36"/>
          <w:szCs w:val="36"/>
        </w:rPr>
      </w:pPr>
    </w:p>
    <w:p w14:paraId="133F9666" w14:textId="1FF79DC5" w:rsidR="007B589B" w:rsidRDefault="00000000">
      <w:r>
        <w:rPr>
          <w:rFonts w:ascii="Times New Roman" w:hAnsi="Times New Roman" w:cs="Times New Roman"/>
          <w:b/>
          <w:sz w:val="36"/>
          <w:szCs w:val="36"/>
        </w:rPr>
        <w:lastRenderedPageBreak/>
        <w:t>III. Methodology and System Development</w:t>
      </w:r>
    </w:p>
    <w:p w14:paraId="09798600" w14:textId="77777777" w:rsidR="007B589B" w:rsidRDefault="00000000">
      <w:r>
        <w:rPr>
          <w:rFonts w:ascii="Times New Roman" w:hAnsi="Times New Roman" w:cs="Times New Roman"/>
        </w:rPr>
        <w:t>This section presents a technically precise account of the pipeline, architecture, and engineering trade-offs involved in transforming the New Variorum Shakespeare from digitized historical volumes into a live, AI-augmented scholarly platform. Where design decisions were contested or where multiple viable approaches existed, we describe the alternatives considered, the obstacles that forced particular choices, and the concrete implications of each path taken.</w:t>
      </w:r>
    </w:p>
    <w:p w14:paraId="1616514B" w14:textId="77777777" w:rsidR="007B589B" w:rsidRDefault="00000000">
      <w:r>
        <w:rPr>
          <w:rFonts w:ascii="Times New Roman" w:hAnsi="Times New Roman" w:cs="Times New Roman"/>
          <w:b/>
          <w:sz w:val="27"/>
          <w:szCs w:val="27"/>
        </w:rPr>
        <w:t>A. Corpus Acquisition: Source Selection and Scan-Quality Triage</w:t>
      </w:r>
    </w:p>
    <w:p w14:paraId="713972ED" w14:textId="77777777" w:rsidR="007B589B" w:rsidRDefault="00000000">
      <w:r>
        <w:rPr>
          <w:rFonts w:ascii="Times New Roman" w:hAnsi="Times New Roman" w:cs="Times New Roman"/>
        </w:rPr>
        <w:t>Digital surrogates of the 23 pre-1956 NVS dramatic editions were sourced from Internet Archive and HathiTrust. Of these, 20 volumes yielded page-level TIFF/JPEG scans at 300–400 DPI—sufficient for OCR. Three volumes (</w:t>
      </w:r>
      <w:r>
        <w:rPr>
          <w:rFonts w:ascii="Times New Roman" w:hAnsi="Times New Roman" w:cs="Times New Roman"/>
          <w:i/>
        </w:rPr>
        <w:t>Henry IV, Part 2</w:t>
      </w:r>
      <w:r>
        <w:rPr>
          <w:rFonts w:ascii="Times New Roman" w:hAnsi="Times New Roman" w:cs="Times New Roman"/>
        </w:rPr>
        <w:t xml:space="preserve">, </w:t>
      </w:r>
      <w:r>
        <w:rPr>
          <w:rFonts w:ascii="Times New Roman" w:hAnsi="Times New Roman" w:cs="Times New Roman"/>
          <w:i/>
        </w:rPr>
        <w:t>Troilus and Cressida</w:t>
      </w:r>
      <w:r>
        <w:rPr>
          <w:rFonts w:ascii="Times New Roman" w:hAnsi="Times New Roman" w:cs="Times New Roman"/>
        </w:rPr>
        <w:t xml:space="preserve">, </w:t>
      </w:r>
      <w:r>
        <w:rPr>
          <w:rFonts w:ascii="Times New Roman" w:hAnsi="Times New Roman" w:cs="Times New Roman"/>
          <w:i/>
        </w:rPr>
        <w:t>Richard II</w:t>
      </w:r>
      <w:r>
        <w:rPr>
          <w:rFonts w:ascii="Times New Roman" w:hAnsi="Times New Roman" w:cs="Times New Roman"/>
        </w:rPr>
        <w:t xml:space="preserve">) remain in active digitization. Each volume was triaged into quality tiers—high, moderate, low—based on three measurable criteria: character-level clarity in footnote regions (where type size drops below 7 pt), preservation of marginal line numbers (which anchor commentary alignment), and presence of bleed-through or foxing that confuses binarization. Low-tier volumes (notably the 1877 </w:t>
      </w:r>
      <w:r>
        <w:rPr>
          <w:rFonts w:ascii="Times New Roman" w:hAnsi="Times New Roman" w:cs="Times New Roman"/>
          <w:i/>
        </w:rPr>
        <w:t>Hamlet</w:t>
      </w:r>
      <w:r>
        <w:rPr>
          <w:rFonts w:ascii="Times New Roman" w:hAnsi="Times New Roman" w:cs="Times New Roman"/>
        </w:rPr>
        <w:t xml:space="preserve"> and the 1907 </w:t>
      </w:r>
      <w:r>
        <w:rPr>
          <w:rFonts w:ascii="Times New Roman" w:hAnsi="Times New Roman" w:cs="Times New Roman"/>
          <w:i/>
        </w:rPr>
        <w:t>Antony and Cleopatra</w:t>
      </w:r>
      <w:r>
        <w:rPr>
          <w:rFonts w:ascii="Times New Roman" w:hAnsi="Times New Roman" w:cs="Times New Roman"/>
        </w:rPr>
        <w:t>) received additional manual correction passes after OCR.</w:t>
      </w:r>
    </w:p>
    <w:p w14:paraId="43FACF48" w14:textId="77777777" w:rsidR="007B589B" w:rsidRDefault="00000000">
      <w:r>
        <w:rPr>
          <w:rFonts w:ascii="Times New Roman" w:hAnsi="Times New Roman" w:cs="Times New Roman"/>
          <w:b/>
        </w:rPr>
        <w:t>Why Internet Archive over HathiTrust alone.</w:t>
      </w:r>
      <w:r>
        <w:rPr>
          <w:rFonts w:ascii="Times New Roman" w:hAnsi="Times New Roman" w:cs="Times New Roman"/>
        </w:rPr>
        <w:t xml:space="preserve"> HathiTrust provides higher-resolution scans and page-level metadata, but imposes programmatic access restrictions (no bulk download API for in-copyright-claimed works, even when the underlying text is public domain). Internet Archive’s open bulk-download endpoints permitted batch acquisition of all 20 volumes in a single scripted run. Where both repositories held a volume, we compared scan quality page-by-page and selected the superior source; in seven cases, we composited pages from both repositories to achieve the highest-quality scan set.</w:t>
      </w:r>
    </w:p>
    <w:p w14:paraId="07EEC744" w14:textId="77777777" w:rsidR="007B589B" w:rsidRDefault="00000000">
      <w:r>
        <w:rPr>
          <w:rFonts w:ascii="Times New Roman" w:hAnsi="Times New Roman" w:cs="Times New Roman"/>
          <w:b/>
          <w:sz w:val="27"/>
          <w:szCs w:val="27"/>
        </w:rPr>
        <w:t>B. Multi-Stage OCR Pipeline: From Page Image to Structured Text</w:t>
      </w:r>
    </w:p>
    <w:p w14:paraId="6E5F2177" w14:textId="77777777" w:rsidR="007B589B" w:rsidRDefault="00000000">
      <w:r>
        <w:rPr>
          <w:rFonts w:ascii="Times New Roman" w:hAnsi="Times New Roman" w:cs="Times New Roman"/>
        </w:rPr>
        <w:t xml:space="preserve">Standard OCR (Tesseract 5, ABBYY FineReader) performed adequately on the Variorum’s main play text (set in ~12 pt roman type) but produced unacceptable error rates in the footnote apparatus, where abbreviated citations like “Steev.,” “Clar.,” and “Mal.” appear in ~7 pt type with inconsistent kerning. Error analysis on a 100-page sample from </w:t>
      </w:r>
      <w:r>
        <w:rPr>
          <w:rFonts w:ascii="Times New Roman" w:hAnsi="Times New Roman" w:cs="Times New Roman"/>
          <w:i/>
        </w:rPr>
        <w:t>Macbeth</w:t>
      </w:r>
      <w:r>
        <w:rPr>
          <w:rFonts w:ascii="Times New Roman" w:hAnsi="Times New Roman" w:cs="Times New Roman"/>
        </w:rPr>
        <w:t xml:space="preserve"> revealed a footnote-region character error rate (CER) of 8.4% versus 1.2% in the main text—a sevenfold disparity. The most frequent failure modes were: (1) confusion of period-terminated abbreviations with sentence endings, splitting single citations across multiple OCR blocks; (2) misreading of italic lemma markers as roman (destroying the distinction between the word being glossed and the gloss itself); and (3) systematic substitution of “rn” for “m” in small type.</w:t>
      </w:r>
    </w:p>
    <w:p w14:paraId="5293C10C" w14:textId="77777777" w:rsidR="007B589B" w:rsidRDefault="00000000">
      <w:r>
        <w:rPr>
          <w:rFonts w:ascii="Times New Roman" w:hAnsi="Times New Roman" w:cs="Times New Roman"/>
          <w:b/>
        </w:rPr>
        <w:t>Stage 1: Raw Extraction.</w:t>
      </w:r>
      <w:r>
        <w:rPr>
          <w:rFonts w:ascii="Times New Roman" w:hAnsi="Times New Roman" w:cs="Times New Roman"/>
        </w:rPr>
        <w:t xml:space="preserve"> Each page image was processed to produce raw UTF-8 text preserving approximate spatial layout (line breaks, indentation level). No semantic parsing was attempted at this stage.</w:t>
      </w:r>
    </w:p>
    <w:p w14:paraId="0961DC14" w14:textId="77777777" w:rsidR="007B589B" w:rsidRDefault="00000000">
      <w:r>
        <w:rPr>
          <w:rFonts w:ascii="Times New Roman" w:hAnsi="Times New Roman" w:cs="Times New Roman"/>
          <w:b/>
        </w:rPr>
        <w:lastRenderedPageBreak/>
        <w:t>Stage 2: LLM-Augmented Validation.</w:t>
      </w:r>
      <w:r>
        <w:rPr>
          <w:rFonts w:ascii="Times New Roman" w:hAnsi="Times New Roman" w:cs="Times New Roman"/>
        </w:rPr>
        <w:t xml:space="preserve"> We passed each page’s raw OCR output to Google Gemini (selected for its 1M-token context window, which permitted processing an entire volume’s worth of surrounding pages as disambiguation context). The model received the OCR text alongside the original page image and a system prompt instructing it to: correct character-level OCR errors, restore truncated abbreviations, re-join citations split across OCR blocks, and preserve the italic/roman distinction using Markdown conventions. </w:t>
      </w:r>
      <w:r>
        <w:rPr>
          <w:rFonts w:ascii="Times New Roman" w:hAnsi="Times New Roman" w:cs="Times New Roman"/>
          <w:b/>
        </w:rPr>
        <w:t>Architectural debate: Gemini vs. GPT-4V vs. Claude.</w:t>
      </w:r>
      <w:r>
        <w:rPr>
          <w:rFonts w:ascii="Times New Roman" w:hAnsi="Times New Roman" w:cs="Times New Roman"/>
        </w:rPr>
        <w:t xml:space="preserve"> At the time of development (2024), Gemini was the only commercially available model offering a context window large enough to hold an entire volume’s bibliography alongside the current page. GPT-4V offered competitive vision capabilities but a 128K-token window insufficient for cross-referencing against a full bibliography. Claude’s context window (200K) was closer but still required truncation of larger volumes. We chose Gemini on context-window grounds alone, acknowledging that future models may equalize this advantage.</w:t>
      </w:r>
    </w:p>
    <w:p w14:paraId="0A44A244" w14:textId="77777777" w:rsidR="007B589B" w:rsidRDefault="00000000">
      <w:r>
        <w:rPr>
          <w:rFonts w:ascii="Times New Roman" w:hAnsi="Times New Roman" w:cs="Times New Roman"/>
          <w:b/>
        </w:rPr>
        <w:t>Stage 3: Structural Segmentation.</w:t>
      </w:r>
      <w:r>
        <w:rPr>
          <w:rFonts w:ascii="Times New Roman" w:hAnsi="Times New Roman" w:cs="Times New Roman"/>
        </w:rPr>
        <w:t xml:space="preserve"> The corrected text for each page was parsed into act/scene boundaries, line numbers, speaker attributions, stage directions, and discrete commentary entries. Parsing relied on regular expression pattern matching tuned to the Variorum’s typographic conventions: scene headings in small caps, line numbers in the left margin with a fixed-width pattern (\d{1,4}), and commentary entries delimited by line-number references followed by a closing bracket (e.g., “42]”). Edge cases included commentary spanning multiple pages (requiring cross-page stitching) and volumes where the editor changed line-numbering conventions mid-play.</w:t>
      </w:r>
    </w:p>
    <w:p w14:paraId="0611CA9F" w14:textId="77777777" w:rsidR="007B589B" w:rsidRDefault="00000000">
      <w:r>
        <w:rPr>
          <w:rFonts w:ascii="Times New Roman" w:hAnsi="Times New Roman" w:cs="Times New Roman"/>
          <w:b/>
          <w:sz w:val="27"/>
          <w:szCs w:val="27"/>
        </w:rPr>
        <w:t>C. Data Architecture: The JSON-over-TEI Decision</w:t>
      </w:r>
    </w:p>
    <w:p w14:paraId="7396E6E9" w14:textId="77777777" w:rsidR="007B589B" w:rsidRDefault="00000000">
      <w:r>
        <w:rPr>
          <w:rFonts w:ascii="Times New Roman" w:hAnsi="Times New Roman" w:cs="Times New Roman"/>
          <w:b/>
        </w:rPr>
        <w:t>The core architectural debate.</w:t>
      </w:r>
      <w:r>
        <w:rPr>
          <w:rFonts w:ascii="Times New Roman" w:hAnsi="Times New Roman" w:cs="Times New Roman"/>
        </w:rPr>
        <w:t xml:space="preserve"> The digital humanities community has converged on TEI-XML as the standard encoding for scholarly editions. We considered TEI seriously and prototyped a TEI encoding of </w:t>
      </w:r>
      <w:r>
        <w:rPr>
          <w:rFonts w:ascii="Times New Roman" w:hAnsi="Times New Roman" w:cs="Times New Roman"/>
          <w:i/>
        </w:rPr>
        <w:t>Macbeth</w:t>
      </w:r>
      <w:r>
        <w:rPr>
          <w:rFonts w:ascii="Times New Roman" w:hAnsi="Times New Roman" w:cs="Times New Roman"/>
        </w:rPr>
        <w:t xml:space="preserve">’s first act. The prototype revealed three problems specific to Variorum data: (1) </w:t>
      </w:r>
      <w:r>
        <w:rPr>
          <w:rFonts w:ascii="Times New Roman" w:hAnsi="Times New Roman" w:cs="Times New Roman"/>
          <w:b/>
        </w:rPr>
        <w:t>Commentary density.</w:t>
      </w:r>
      <w:r>
        <w:rPr>
          <w:rFonts w:ascii="Times New Roman" w:hAnsi="Times New Roman" w:cs="Times New Roman"/>
        </w:rPr>
        <w:t xml:space="preserve"> A single line of </w:t>
      </w:r>
      <w:r>
        <w:rPr>
          <w:rFonts w:ascii="Times New Roman" w:hAnsi="Times New Roman" w:cs="Times New Roman"/>
          <w:i/>
        </w:rPr>
        <w:t>Macbeth</w:t>
      </w:r>
      <w:r>
        <w:rPr>
          <w:rFonts w:ascii="Times New Roman" w:hAnsi="Times New Roman" w:cs="Times New Roman"/>
        </w:rPr>
        <w:t xml:space="preserve"> can carry 2,000+ words of commentary from a dozen critics spanning three centuries. Encoding this in TEI’s &lt;note&gt; and &lt;app&gt; elements produced XML documents exceeding 50 MB per play—too large for real-time browser parsing without a dedicated XML database backend. (2) </w:t>
      </w:r>
      <w:r>
        <w:rPr>
          <w:rFonts w:ascii="Times New Roman" w:hAnsi="Times New Roman" w:cs="Times New Roman"/>
          <w:b/>
        </w:rPr>
        <w:t>Line-level random access.</w:t>
      </w:r>
      <w:r>
        <w:rPr>
          <w:rFonts w:ascii="Times New Roman" w:hAnsi="Times New Roman" w:cs="Times New Roman"/>
        </w:rPr>
        <w:t xml:space="preserve"> The platform’s interaction model requires O(1) lookup: a user clicks a line and instantly receives its commentary. TEI-XML’s tree structure requires XPath traversal from the root, which, at 50 MB document sizes, introduces perceptible latency. (3) </w:t>
      </w:r>
      <w:r>
        <w:rPr>
          <w:rFonts w:ascii="Times New Roman" w:hAnsi="Times New Roman" w:cs="Times New Roman"/>
          <w:b/>
        </w:rPr>
        <w:t>LLM API compatibility.</w:t>
      </w:r>
      <w:r>
        <w:rPr>
          <w:rFonts w:ascii="Times New Roman" w:hAnsi="Times New Roman" w:cs="Times New Roman"/>
        </w:rPr>
        <w:t xml:space="preserve"> The entire AI integration pipeline (OpenAI, Anthropic) uses JSON natively. Maintaining TEI would require a serialization layer translating between XML and JSON on every API call, adding latency and a potential failure point.</w:t>
      </w:r>
    </w:p>
    <w:p w14:paraId="7F257ED6" w14:textId="77777777" w:rsidR="007B589B" w:rsidRDefault="00000000">
      <w:r>
        <w:rPr>
          <w:rFonts w:ascii="Times New Roman" w:hAnsi="Times New Roman" w:cs="Times New Roman"/>
        </w:rPr>
        <w:t xml:space="preserve">We therefore adopted a flat JSON schema. Each play is a single .json file (12,000–15,000 lines). The top-level object maps section headings as string keys (“DRAMATIS PERSONAE,” “ACT 1 SCENE 1”) to objects whose keys are line-number strings (“1,” “2,” “42”). Each line-number </w:t>
      </w:r>
      <w:r>
        <w:rPr>
          <w:rFonts w:ascii="Times New Roman" w:hAnsi="Times New Roman" w:cs="Times New Roman"/>
        </w:rPr>
        <w:lastRenderedPageBreak/>
        <w:t xml:space="preserve">key maps to an object with two fields: </w:t>
      </w:r>
      <w:r>
        <w:rPr>
          <w:rFonts w:ascii="Times New Roman" w:hAnsi="Times New Roman" w:cs="Times New Roman"/>
          <w:b/>
        </w:rPr>
        <w:t>play</w:t>
      </w:r>
      <w:r>
        <w:rPr>
          <w:rFonts w:ascii="Times New Roman" w:hAnsi="Times New Roman" w:cs="Times New Roman"/>
        </w:rPr>
        <w:t xml:space="preserve"> (string: the modernized Folger text for that line) and </w:t>
      </w:r>
      <w:r>
        <w:rPr>
          <w:rFonts w:ascii="Times New Roman" w:hAnsi="Times New Roman" w:cs="Times New Roman"/>
          <w:b/>
        </w:rPr>
        <w:t>notes</w:t>
      </w:r>
      <w:r>
        <w:rPr>
          <w:rFonts w:ascii="Times New Roman" w:hAnsi="Times New Roman" w:cs="Times New Roman"/>
        </w:rPr>
        <w:t xml:space="preserve"> (array of strings: zero or more Variorum commentary entries). This gives true O(1) lookup via JavaScript’s native property access—no parsing, no traversal. </w:t>
      </w:r>
      <w:r>
        <w:rPr>
          <w:rFonts w:ascii="Times New Roman" w:hAnsi="Times New Roman" w:cs="Times New Roman"/>
          <w:b/>
        </w:rPr>
        <w:t>Obstacle encountered: key format inconsistency.</w:t>
      </w:r>
      <w:r>
        <w:rPr>
          <w:rFonts w:ascii="Times New Roman" w:hAnsi="Times New Roman" w:cs="Times New Roman"/>
        </w:rPr>
        <w:t xml:space="preserve"> Early in development, some JSON files used comma-separated scene keys (“ACT 1, SCENE 1”) while others used space-separated keys (“ACT 1 SCENE 1”). This mismatch caused silent lookup failures in the serverless function, where the client sent one format and the JSON contained the other. The fix required retroactive normalization of all 20 JSON files to a single convention.</w:t>
      </w:r>
    </w:p>
    <w:p w14:paraId="5C7FE43B" w14:textId="77777777" w:rsidR="007B589B" w:rsidRDefault="00000000">
      <w:r>
        <w:rPr>
          <w:rFonts w:ascii="Times New Roman" w:hAnsi="Times New Roman" w:cs="Times New Roman"/>
          <w:b/>
        </w:rPr>
        <w:t>Trade-off acknowledged.</w:t>
      </w:r>
      <w:r>
        <w:rPr>
          <w:rFonts w:ascii="Times New Roman" w:hAnsi="Times New Roman" w:cs="Times New Roman"/>
        </w:rPr>
        <w:t xml:space="preserve"> The JSON schema sacrifices the rich semantic markup that TEI provides (apparatus entries, witness sigla, editorial responsibility attribution). We accept this trade-off because the platform’s primary contribution is </w:t>
      </w:r>
      <w:r>
        <w:rPr>
          <w:rFonts w:ascii="Times New Roman" w:hAnsi="Times New Roman" w:cs="Times New Roman"/>
          <w:i/>
        </w:rPr>
        <w:t>access</w:t>
      </w:r>
      <w:r>
        <w:rPr>
          <w:rFonts w:ascii="Times New Roman" w:hAnsi="Times New Roman" w:cs="Times New Roman"/>
        </w:rPr>
        <w:t xml:space="preserve">—making previously inaccessible commentary usable—rather than </w:t>
      </w:r>
      <w:r>
        <w:rPr>
          <w:rFonts w:ascii="Times New Roman" w:hAnsi="Times New Roman" w:cs="Times New Roman"/>
          <w:i/>
        </w:rPr>
        <w:t>critical editing</w:t>
      </w:r>
      <w:r>
        <w:rPr>
          <w:rFonts w:ascii="Times New Roman" w:hAnsi="Times New Roman" w:cs="Times New Roman"/>
        </w:rPr>
        <w:t xml:space="preserve"> in the traditional sense. The raw Variorum text is preserved verbatim in the notes array, and future work could layer TEI encoding on top of the existing JSON as a secondary output format.</w:t>
      </w:r>
    </w:p>
    <w:p w14:paraId="31639B74" w14:textId="77777777" w:rsidR="007B589B" w:rsidRDefault="00000000">
      <w:r>
        <w:rPr>
          <w:rFonts w:ascii="Times New Roman" w:hAnsi="Times New Roman" w:cs="Times New Roman"/>
          <w:b/>
          <w:sz w:val="27"/>
          <w:szCs w:val="27"/>
        </w:rPr>
        <w:t>D. Editorial Alignment: Mapping Variorum Lines to Folger Editions</w:t>
      </w:r>
    </w:p>
    <w:p w14:paraId="554F79D2" w14:textId="77777777" w:rsidR="007B589B" w:rsidRDefault="00000000">
      <w:r>
        <w:rPr>
          <w:rFonts w:ascii="Times New Roman" w:hAnsi="Times New Roman" w:cs="Times New Roman"/>
          <w:b/>
        </w:rPr>
        <w:t>Why the Folger over Norton, Riverside, or Arden.</w:t>
      </w:r>
      <w:r>
        <w:rPr>
          <w:rFonts w:ascii="Times New Roman" w:hAnsi="Times New Roman" w:cs="Times New Roman"/>
        </w:rPr>
        <w:t xml:space="preserve"> The alignment target was a non-trivial choice. The Norton Shakespeare uses through-line numbering (TLN), which differs from the Variorum’s act-scene-line numbering and would require a TLN-to-ASL conversion layer. The Riverside uses its own lineation that occasionally diverges from both. The Arden editions are textually excellent but commercially licensed, precluding open-access redistribution. The Folger Digital Texts were selected because they: (a) use act-scene-line numbering compatible with the Variorum’s scheme; (b) are openly licensed; (c) modernize spelling without altering semantic content; and (d) provide a stable, versioned API. This decision traded editorial plurality for alignment simplicity—a deliberate choice we revisit in the Limitations section.</w:t>
      </w:r>
    </w:p>
    <w:p w14:paraId="65014E78" w14:textId="77777777" w:rsidR="007B589B" w:rsidRDefault="00000000">
      <w:r>
        <w:rPr>
          <w:rFonts w:ascii="Times New Roman" w:hAnsi="Times New Roman" w:cs="Times New Roman"/>
        </w:rPr>
        <w:t xml:space="preserve">The alignment process used Gemini to match each Variorum commentary entry’s line reference to the corresponding Folger line. The procedure: (1) extract the Variorum’s marginal line number; (2) normalize the Early Modern text by collapsing spelling variants (e.g., “vnto” → “unto,” long-s “ſ” → “s”); (3) locate the matching line in the Folger’s corresponding scene, tolerating ±2 lines of offset to account for lineation disagreements; (4) record the mapping. </w:t>
      </w:r>
      <w:r>
        <w:rPr>
          <w:rFonts w:ascii="Times New Roman" w:hAnsi="Times New Roman" w:cs="Times New Roman"/>
          <w:b/>
        </w:rPr>
        <w:t>Obstacle: stage directions and split verses.</w:t>
      </w:r>
      <w:r>
        <w:rPr>
          <w:rFonts w:ascii="Times New Roman" w:hAnsi="Times New Roman" w:cs="Times New Roman"/>
        </w:rPr>
        <w:t xml:space="preserve"> The Variorum sometimes counts stage directions as numbered lines; the Folger does not. This caused systematic off-by-one errors in every scene containing mid-scene stage directions. Additionally, shared (split) verse lines—where two characters share a single pentameter line—are sometimes counted as one line in the Variorum and two in the Folger, or vice versa. These cases required per-scene manual review. Overall alignment success: &gt;95%, with the remaining ~5% concentrated in plays with heavy stage-direction traffic (</w:t>
      </w:r>
      <w:r>
        <w:rPr>
          <w:rFonts w:ascii="Times New Roman" w:hAnsi="Times New Roman" w:cs="Times New Roman"/>
          <w:i/>
        </w:rPr>
        <w:t>The Tempest</w:t>
      </w:r>
      <w:r>
        <w:rPr>
          <w:rFonts w:ascii="Times New Roman" w:hAnsi="Times New Roman" w:cs="Times New Roman"/>
        </w:rPr>
        <w:t xml:space="preserve">, </w:t>
      </w:r>
      <w:r>
        <w:rPr>
          <w:rFonts w:ascii="Times New Roman" w:hAnsi="Times New Roman" w:cs="Times New Roman"/>
          <w:i/>
        </w:rPr>
        <w:t>A Midsummer Night’s Dream</w:t>
      </w:r>
      <w:r>
        <w:rPr>
          <w:rFonts w:ascii="Times New Roman" w:hAnsi="Times New Roman" w:cs="Times New Roman"/>
        </w:rPr>
        <w:t>) and the late-corpus volumes where editors adopted inconsistent lineation practices.</w:t>
      </w:r>
    </w:p>
    <w:p w14:paraId="7E2C41FC" w14:textId="77777777" w:rsidR="007B589B" w:rsidRDefault="00000000">
      <w:r>
        <w:rPr>
          <w:rFonts w:ascii="Times New Roman" w:hAnsi="Times New Roman" w:cs="Times New Roman"/>
          <w:b/>
          <w:sz w:val="27"/>
          <w:szCs w:val="27"/>
        </w:rPr>
        <w:lastRenderedPageBreak/>
        <w:t>E. Bibliographic Resolution: AI Agents on 20 Volumes of Abbreviated Citations</w:t>
      </w:r>
    </w:p>
    <w:p w14:paraId="02EC4C13" w14:textId="77777777" w:rsidR="007B589B" w:rsidRDefault="00000000">
      <w:r>
        <w:rPr>
          <w:rFonts w:ascii="Times New Roman" w:hAnsi="Times New Roman" w:cs="Times New Roman"/>
        </w:rPr>
        <w:t xml:space="preserve">The Variorum’s citation apparatus is notoriously opaque. Commentary entries reference scholars by truncated surnames (“Johns.” for Samuel Johnson, “Mal.” for Edmond Malone, “Steev.” for George Steevens, “Clar.” for Edward Capell) with no inline expansion. The full-name mappings appear in bibliographic appendices located hundreds of pages from the commentary—and even these appendices omit figures (actors, theater managers, lexicographers like Murray of the OED) who appear only in prose introductions. A researcher encountering “Murr.” in the commentary of </w:t>
      </w:r>
      <w:r>
        <w:rPr>
          <w:rFonts w:ascii="Times New Roman" w:hAnsi="Times New Roman" w:cs="Times New Roman"/>
          <w:i/>
        </w:rPr>
        <w:t>Hamlet</w:t>
      </w:r>
      <w:r>
        <w:rPr>
          <w:rFonts w:ascii="Times New Roman" w:hAnsi="Times New Roman" w:cs="Times New Roman"/>
        </w:rPr>
        <w:t xml:space="preserve"> would have no way to identify this as James Murray without cross-referencing the bibliography of a different volume entirely.</w:t>
      </w:r>
    </w:p>
    <w:p w14:paraId="3E2F1B31" w14:textId="77777777" w:rsidR="007B589B" w:rsidRDefault="00000000">
      <w:r>
        <w:rPr>
          <w:rFonts w:ascii="Times New Roman" w:hAnsi="Times New Roman" w:cs="Times New Roman"/>
        </w:rPr>
        <w:t xml:space="preserve">We used Anthropic’s Claude, accessed through Claude Code (an agentic coding interface), to build computational agents that processed the corpus through four stages: (1) </w:t>
      </w:r>
      <w:r>
        <w:rPr>
          <w:rFonts w:ascii="Times New Roman" w:hAnsi="Times New Roman" w:cs="Times New Roman"/>
          <w:b/>
        </w:rPr>
        <w:t>Extraction:</w:t>
      </w:r>
      <w:r>
        <w:rPr>
          <w:rFonts w:ascii="Times New Roman" w:hAnsi="Times New Roman" w:cs="Times New Roman"/>
        </w:rPr>
        <w:t xml:space="preserve"> agents scanned every page of all 20 volumes—not just commentary but also introductory essays, appendices, and performance histories—extracting every proper noun and abbreviated reference. (2) </w:t>
      </w:r>
      <w:r>
        <w:rPr>
          <w:rFonts w:ascii="Times New Roman" w:hAnsi="Times New Roman" w:cs="Times New Roman"/>
          <w:b/>
        </w:rPr>
        <w:t>Classification:</w:t>
      </w:r>
      <w:r>
        <w:rPr>
          <w:rFonts w:ascii="Times New Roman" w:hAnsi="Times New Roman" w:cs="Times New Roman"/>
        </w:rPr>
        <w:t xml:space="preserve"> each reference was tagged by type (editor, critic, actor, lexicographer) and context (textual commentary, performance history, linguistic analysis). (3) </w:t>
      </w:r>
      <w:r>
        <w:rPr>
          <w:rFonts w:ascii="Times New Roman" w:hAnsi="Times New Roman" w:cs="Times New Roman"/>
          <w:b/>
        </w:rPr>
        <w:t>Cross-volume resolution:</w:t>
      </w:r>
      <w:r>
        <w:rPr>
          <w:rFonts w:ascii="Times New Roman" w:hAnsi="Times New Roman" w:cs="Times New Roman"/>
        </w:rPr>
        <w:t xml:space="preserve"> abbreviated citations were compared across the full corpus; a figure abbreviated in one volume often appears in full in another’s bibliography. The agents exploited this redundancy through frequency analysis and contextual clustering. (4) </w:t>
      </w:r>
      <w:r>
        <w:rPr>
          <w:rFonts w:ascii="Times New Roman" w:hAnsi="Times New Roman" w:cs="Times New Roman"/>
          <w:b/>
        </w:rPr>
        <w:t>Record generation:</w:t>
      </w:r>
      <w:r>
        <w:rPr>
          <w:rFonts w:ascii="Times New Roman" w:hAnsi="Times New Roman" w:cs="Times New Roman"/>
        </w:rPr>
        <w:t xml:space="preserve"> each resolved figure received a comprehensive identification record. The process catalogued 3,500+ individuals, resolved ~850 abbreviations, and identified 400+ cross-volume references. </w:t>
      </w:r>
      <w:r>
        <w:rPr>
          <w:rFonts w:ascii="Times New Roman" w:hAnsi="Times New Roman" w:cs="Times New Roman"/>
          <w:b/>
        </w:rPr>
        <w:t>Failure mode:</w:t>
      </w:r>
      <w:r>
        <w:rPr>
          <w:rFonts w:ascii="Times New Roman" w:hAnsi="Times New Roman" w:cs="Times New Roman"/>
        </w:rPr>
        <w:t xml:space="preserve"> approximately 15% of abbreviations resisted resolution—typically obscure Continental European critics referenced once in a single volume with no bibliography entry anywhere in the corpus.</w:t>
      </w:r>
    </w:p>
    <w:p w14:paraId="3032F9AD" w14:textId="77777777" w:rsidR="007B589B" w:rsidRDefault="00000000">
      <w:r>
        <w:rPr>
          <w:rFonts w:ascii="Times New Roman" w:hAnsi="Times New Roman" w:cs="Times New Roman"/>
          <w:b/>
          <w:sz w:val="27"/>
          <w:szCs w:val="27"/>
        </w:rPr>
        <w:t>F. Critics Content Pipeline: From DOCX to Per-Play HTML Modals</w:t>
      </w:r>
    </w:p>
    <w:p w14:paraId="2EA12848" w14:textId="77777777" w:rsidR="007B589B" w:rsidRDefault="00000000">
      <w:r>
        <w:rPr>
          <w:rFonts w:ascii="Times New Roman" w:hAnsi="Times New Roman" w:cs="Times New Roman"/>
        </w:rPr>
        <w:t>Each play’s “Who are the NV Critics” content was authored in a separate Microsoft Word document (20 .docx files, one per play). Converting these to web-ready HTML required a Python pipeline (scripts/replace_critics_from_docx.py) that operated at the OOXML level: each .docx was opened as a ZIP archive, the underlying word/document.xml parsed via Python’s zipfile and xml.etree.ElementTree, and each &lt;w:p&gt; paragraph element traversed to extract: (a) paragraph style from &lt;w:pStyle&gt; (mapping Heading3/4/5 to &lt;h3&gt;/&lt;h4&gt;/&lt;h5&gt;); (b) run-level formatting from &lt;w:rPr&gt;, reading &lt;w:b&gt; for bold and &lt;w:i&gt; for italic; (c) table structures from &lt;w:tbl&gt; elements. The extracted content was converted to semantic HTML and injected into play-specific modal dialogs in index.html.</w:t>
      </w:r>
    </w:p>
    <w:p w14:paraId="7793221A" w14:textId="77777777" w:rsidR="007B589B" w:rsidRDefault="00000000">
      <w:r>
        <w:rPr>
          <w:rFonts w:ascii="Times New Roman" w:hAnsi="Times New Roman" w:cs="Times New Roman"/>
          <w:b/>
        </w:rPr>
        <w:t>Obstacle: the duplicate-function bug.</w:t>
      </w:r>
      <w:r>
        <w:rPr>
          <w:rFonts w:ascii="Times New Roman" w:hAnsi="Times New Roman" w:cs="Times New Roman"/>
        </w:rPr>
        <w:t xml:space="preserve"> The monolithic index.html file (23,000+ lines) contained two separate definitions of the openCriticsModal() function—one at line ~15,549 and another at line ~22,707. In JavaScript, the later definition silently overrides the earlier. During initial deployment, the first definition (which contained the routing logic for only the original 5 plays) </w:t>
      </w:r>
      <w:r>
        <w:rPr>
          <w:rFonts w:ascii="Times New Roman" w:hAnsi="Times New Roman" w:cs="Times New Roman"/>
        </w:rPr>
        <w:lastRenderedPageBreak/>
        <w:t>was being overridden by the second definition (which had the full 20-play routing). However, the second definition was itself incomplete at first, causing certain plays’ critics buttons to appear to do nothing. The fix required: (a) unifying the two definitions into a single function; (b) adding all 20 plays to the playsWithCriticsButtons array that controls button visibility; (c) wrapping the closeCriticsModal() function in try/catch blocks for each modal (since a modal’s DOM element might not exist if the user navigated to a play whose modal was never injected); and (d) extending the window.onclick handler to support click-outside-to-close for all 20 new modals.</w:t>
      </w:r>
    </w:p>
    <w:p w14:paraId="62903861" w14:textId="77777777" w:rsidR="007B589B" w:rsidRDefault="00000000">
      <w:r>
        <w:rPr>
          <w:rFonts w:ascii="Times New Roman" w:hAnsi="Times New Roman" w:cs="Times New Roman"/>
          <w:b/>
          <w:sz w:val="27"/>
          <w:szCs w:val="27"/>
        </w:rPr>
        <w:t>G. Web Platform Architecture: The Monolithic SPA Decision</w:t>
      </w:r>
    </w:p>
    <w:p w14:paraId="51CFC185" w14:textId="77777777" w:rsidR="007B589B" w:rsidRDefault="00000000">
      <w:r>
        <w:rPr>
          <w:rFonts w:ascii="Times New Roman" w:hAnsi="Times New Roman" w:cs="Times New Roman"/>
          <w:b/>
        </w:rPr>
        <w:t>Architectural debate: SPA monolith vs. component framework vs. multi-page app.</w:t>
      </w:r>
      <w:r>
        <w:rPr>
          <w:rFonts w:ascii="Times New Roman" w:hAnsi="Times New Roman" w:cs="Times New Roman"/>
        </w:rPr>
        <w:t xml:space="preserve"> We considered three architectures: (1) a React/Vue component-based SPA, offering modular code organization and reactive state management; (2) a multi-page app with server-rendered HTML, offering simpler deployment; and (3) a monolithic single-file SPA. We chose option (3) for two reasons. First, </w:t>
      </w:r>
      <w:r>
        <w:rPr>
          <w:rFonts w:ascii="Times New Roman" w:hAnsi="Times New Roman" w:cs="Times New Roman"/>
          <w:b/>
        </w:rPr>
        <w:t>deployment sustainability:</w:t>
      </w:r>
      <w:r>
        <w:rPr>
          <w:rFonts w:ascii="Times New Roman" w:hAnsi="Times New Roman" w:cs="Times New Roman"/>
        </w:rPr>
        <w:t xml:space="preserve"> the platform is intended to survive beyond the initial development team. A monolithic HTML/CSS/JS file has zero build dependencies—no Webpack, no Babel, no npm install—and can be deployed to any static host indefinitely. A React app, by contrast, requires a build step that will break as dependencies deprecate, introducing a maintenance burden incompatible with the project’s preservation mission. Second, </w:t>
      </w:r>
      <w:r>
        <w:rPr>
          <w:rFonts w:ascii="Times New Roman" w:hAnsi="Times New Roman" w:cs="Times New Roman"/>
          <w:b/>
        </w:rPr>
        <w:t>transparency:</w:t>
      </w:r>
      <w:r>
        <w:rPr>
          <w:rFonts w:ascii="Times New Roman" w:hAnsi="Times New Roman" w:cs="Times New Roman"/>
        </w:rPr>
        <w:t xml:space="preserve"> the entire application is viewable in a single “View Source,” aligning with the project’s commitment to open, inspectable infrastructure.</w:t>
      </w:r>
    </w:p>
    <w:p w14:paraId="2A3FF4D1" w14:textId="77777777" w:rsidR="007B589B" w:rsidRDefault="00000000">
      <w:r>
        <w:rPr>
          <w:rFonts w:ascii="Times New Roman" w:hAnsi="Times New Roman" w:cs="Times New Roman"/>
          <w:b/>
        </w:rPr>
        <w:t>Trade-off accepted:</w:t>
      </w:r>
      <w:r>
        <w:rPr>
          <w:rFonts w:ascii="Times New Roman" w:hAnsi="Times New Roman" w:cs="Times New Roman"/>
        </w:rPr>
        <w:t xml:space="preserve"> the monolith grew to ~23,000 lines, making code navigation difficult and enabling bugs like the duplicate-function issue described above. State management relies on global JavaScript variables (currentPlay, currentScene, selectedLines, currentTab, currentAnalysisMode), with no reactive binding—DOM updates are imperative. The three-column layout is implemented as a CSS grid: a left sidebar (play selector dropdown via &lt;select id="playSelector"&gt; and act/scene navigation list &lt;ul id="navigationList"&gt;), a center reader panel (div#playText), and a right analysis panel (div#analysisPanel). Line selection is constrained to MAX_SELECTED_LINES = 5 contiguous lines, enforced by index-adjacency checks in the selectLine() function.</w:t>
      </w:r>
    </w:p>
    <w:p w14:paraId="729FC62C" w14:textId="77777777" w:rsidR="007B589B" w:rsidRDefault="00000000">
      <w:r>
        <w:rPr>
          <w:rFonts w:ascii="Times New Roman" w:hAnsi="Times New Roman" w:cs="Times New Roman"/>
          <w:b/>
        </w:rPr>
        <w:t>CSS design tokens.</w:t>
      </w:r>
      <w:r>
        <w:rPr>
          <w:rFonts w:ascii="Times New Roman" w:hAnsi="Times New Roman" w:cs="Times New Roman"/>
        </w:rPr>
        <w:t xml:space="preserve"> Visual consistency is managed through a dedicated token file (styles/tokens.css) defining semantic custom properties: --bg, --panel, --surface for backgrounds; --ink-1 through --ink-3 for text hierarchy; --accent (#3B82F6) for interactive elements; --r-xs through --r-lg for border radii; --s-1 through --s-5 for spacing rhythm. Typography uses two font stacks: Inter (“--ui”) for interface text and Source Serif 4 (“--serif”) for literary content. A @media (prefers-color-scheme: dark) block overrides all token values for automatic dark mode: --bg shifts from #F7F7F8 to #0B0C0F, --ink-1 from #0F1115 to #F2F3F5, and so on. This token architecture permits full theme changes by editing a single 50-line file.</w:t>
      </w:r>
    </w:p>
    <w:p w14:paraId="2CDC717E" w14:textId="77777777" w:rsidR="00503C87" w:rsidRDefault="00503C87">
      <w:pPr>
        <w:rPr>
          <w:rFonts w:ascii="Times New Roman" w:hAnsi="Times New Roman" w:cs="Times New Roman"/>
          <w:b/>
          <w:sz w:val="27"/>
          <w:szCs w:val="27"/>
        </w:rPr>
      </w:pPr>
    </w:p>
    <w:p w14:paraId="7682746D" w14:textId="4C928A9C" w:rsidR="007B589B" w:rsidRDefault="00000000">
      <w:r>
        <w:rPr>
          <w:rFonts w:ascii="Times New Roman" w:hAnsi="Times New Roman" w:cs="Times New Roman"/>
          <w:b/>
          <w:sz w:val="27"/>
          <w:szCs w:val="27"/>
        </w:rPr>
        <w:lastRenderedPageBreak/>
        <w:t>H. Serverless AI Integration: Dual-Model Architecture and Prompt Engineering</w:t>
      </w:r>
    </w:p>
    <w:p w14:paraId="05B96FC3" w14:textId="77777777" w:rsidR="007B589B" w:rsidRDefault="00000000">
      <w:r>
        <w:rPr>
          <w:rFonts w:ascii="Times New Roman" w:hAnsi="Times New Roman" w:cs="Times New Roman"/>
        </w:rPr>
        <w:t>The computational analysis layer is implemented as a Netlify serverless function (functions/shakespeare.js, Node.js 22) and a parallel Deno edge function (netlify/edge-functions/variorum-edge.js). The primary function accepts POST requests at /api/shakespeare (rewritten from /.netlify/functions/shakespeare via netlify.toml redirects) with a JSON body containing: text (the selected passage), level or mode (one of “basic,” “expert,” “fullfathomfive,” “critics,” or “followup”), model (default gpt-4o-mini, overridden server-side for fullfathomfive), playName, and sceneName.</w:t>
      </w:r>
    </w:p>
    <w:p w14:paraId="3601508D" w14:textId="77777777" w:rsidR="007B589B" w:rsidRDefault="00000000">
      <w:r>
        <w:rPr>
          <w:rFonts w:ascii="Times New Roman" w:hAnsi="Times New Roman" w:cs="Times New Roman"/>
          <w:b/>
        </w:rPr>
        <w:t>Model routing and parameter tuning.</w:t>
      </w:r>
      <w:r>
        <w:rPr>
          <w:rFonts w:ascii="Times New Roman" w:hAnsi="Times New Roman" w:cs="Times New Roman"/>
        </w:rPr>
        <w:t xml:space="preserve"> Each tier maps to specific OpenAI parameters: Basic uses gpt-4o-mini at temperature 0.7 with max_tokens 800, producing 2–4-sentence glosses. Expert uses gpt-4o-mini at temperature 0.7 with max_tokens 3,000, producing multi-paragraph essays. Full Fathom Five upgrades to gpt-4o at temperature 0.3 with max_tokens 8,000, producing 800–1,200-word variorum-style annotations. </w:t>
      </w:r>
      <w:r>
        <w:rPr>
          <w:rFonts w:ascii="Times New Roman" w:hAnsi="Times New Roman" w:cs="Times New Roman"/>
          <w:b/>
        </w:rPr>
        <w:t>Why the temperature drop for Full Fathom Five:</w:t>
      </w:r>
      <w:r>
        <w:rPr>
          <w:rFonts w:ascii="Times New Roman" w:hAnsi="Times New Roman" w:cs="Times New Roman"/>
        </w:rPr>
        <w:t xml:space="preserve"> at temperature 0.7, GPT-4o hallucinated critic names and fabricated publication dates at rates unacceptable for a scholarly tool. Lowering to 0.3 reduced hallucination substantially while preserving analytical depth. </w:t>
      </w:r>
      <w:r>
        <w:rPr>
          <w:rFonts w:ascii="Times New Roman" w:hAnsi="Times New Roman" w:cs="Times New Roman"/>
          <w:b/>
        </w:rPr>
        <w:t>Why gpt-4o over gpt-4o-mini for this tier:</w:t>
      </w:r>
      <w:r>
        <w:rPr>
          <w:rFonts w:ascii="Times New Roman" w:hAnsi="Times New Roman" w:cs="Times New Roman"/>
        </w:rPr>
        <w:t xml:space="preserve"> gpt-4o-mini produced analysis that was fluent but shallow—it consistently omitted textual variants and critical reception, two sections essential to variorum-style commentary. The full gpt-4o model reliably populated all 11 required sections.</w:t>
      </w:r>
    </w:p>
    <w:p w14:paraId="6B7BFA5A" w14:textId="77777777" w:rsidR="007B589B" w:rsidRDefault="00000000">
      <w:r>
        <w:rPr>
          <w:rFonts w:ascii="Times New Roman" w:hAnsi="Times New Roman" w:cs="Times New Roman"/>
          <w:b/>
        </w:rPr>
        <w:t>The edge function (Claude path).</w:t>
      </w:r>
      <w:r>
        <w:rPr>
          <w:rFonts w:ascii="Times New Roman" w:hAnsi="Times New Roman" w:cs="Times New Roman"/>
        </w:rPr>
        <w:t xml:space="preserve"> The Deno edge function provides an alternative streaming analysis path using Anthropic’s Claude (claude-sonnet-4-20250514) at max_tokens 8,000. It returns Server-Sent Events (SSE) with typed JSON chunks: {type: “start”}, {type: “section”}, {type: “content”, word: “...”}, {type: “complete”}. Word-by-word streaming (50ms inter-word delay) produces a typewriter effect in the UI. </w:t>
      </w:r>
      <w:r>
        <w:rPr>
          <w:rFonts w:ascii="Times New Roman" w:hAnsi="Times New Roman" w:cs="Times New Roman"/>
          <w:b/>
        </w:rPr>
        <w:t>Architectural debate: why maintain two LLM backends?</w:t>
      </w:r>
      <w:r>
        <w:rPr>
          <w:rFonts w:ascii="Times New Roman" w:hAnsi="Times New Roman" w:cs="Times New Roman"/>
        </w:rPr>
        <w:t xml:space="preserve"> The dual-model architecture was not planned but emerged from iterative development. The OpenAI path was built first (broader model selection, faster iteration). The Claude path was added to evaluate whether Anthropic’s models produced superior scholarly analysis (they did, particularly for textual-variant identification). Rather than forcing a single-vendor choice, we maintained both paths, giving the project resilience against API deprecation or pricing changes from either provider. In production, the primary flow uses OpenAI; the Claude edge function remains available as a fallback and as an A/B comparison tool.</w:t>
      </w:r>
    </w:p>
    <w:p w14:paraId="0E403354" w14:textId="77777777" w:rsidR="007B589B" w:rsidRDefault="00000000">
      <w:r>
        <w:rPr>
          <w:rFonts w:ascii="Times New Roman" w:hAnsi="Times New Roman" w:cs="Times New Roman"/>
          <w:b/>
        </w:rPr>
        <w:t>Prompt structure.</w:t>
      </w:r>
      <w:r>
        <w:rPr>
          <w:rFonts w:ascii="Times New Roman" w:hAnsi="Times New Roman" w:cs="Times New Roman"/>
        </w:rPr>
        <w:t xml:space="preserve"> The Full Fathom Five system prompt mandates 11 sections in fixed order: Textual Variants, Plain-Language Paraphrase, Language and Rhetoric, Synopsis, Key Words &amp; Glosses, Historical Context, Sources, Literary Analysis, Critical Reception, Similar Phrases in Other Plays, and New Variorum Analysis. Each section has explicit format constraints (e.g., “Key Words: ‘word’ means [definition]”). The prompt enforces citation requirements: at least one critic per century (18th–21st), at least one Marxist critic, plus 2–3 others, with full publication details. Target length is 800–1,200 words. The server-side function parses the </w:t>
      </w:r>
      <w:r>
        <w:rPr>
          <w:rFonts w:ascii="Times New Roman" w:hAnsi="Times New Roman" w:cs="Times New Roman"/>
        </w:rPr>
        <w:lastRenderedPageBreak/>
        <w:t>response by iterating over lines, matching each against the known section headers, and building a key-value analysis object that the client renders into collapsible panels.</w:t>
      </w:r>
    </w:p>
    <w:p w14:paraId="4FFDCEE5" w14:textId="77777777" w:rsidR="007B589B" w:rsidRDefault="00000000">
      <w:r>
        <w:rPr>
          <w:rFonts w:ascii="Times New Roman" w:hAnsi="Times New Roman" w:cs="Times New Roman"/>
          <w:b/>
        </w:rPr>
        <w:t>Obstacle: asterisk-to-HTML conversion.</w:t>
      </w:r>
      <w:r>
        <w:rPr>
          <w:rFonts w:ascii="Times New Roman" w:hAnsi="Times New Roman" w:cs="Times New Roman"/>
        </w:rPr>
        <w:t xml:space="preserve"> GPT-4o returns Markdown formatting (*italic*, **bold**) rather than HTML. The platform’s rendering expects raw HTML. A post-processing pipeline of regex substitutions converts *text* to &lt;span style="font-style:italic;"&gt;text&lt;/span&gt;. This required six overlapping regex patterns (including edge cases for titles containing apostrophes, e.g., </w:t>
      </w:r>
      <w:r>
        <w:rPr>
          <w:rFonts w:ascii="Times New Roman" w:hAnsi="Times New Roman" w:cs="Times New Roman"/>
          <w:i/>
        </w:rPr>
        <w:t>A Midsummer Night’s Dream</w:t>
      </w:r>
      <w:r>
        <w:rPr>
          <w:rFonts w:ascii="Times New Roman" w:hAnsi="Times New Roman" w:cs="Times New Roman"/>
        </w:rPr>
        <w:t>) and a per-play title lookup for stubborn cases. A cleaner solution would instruct the model to emit HTML directly; we attempted this but found that GPT-4o’s adherence to HTML-only formatting was unreliable, reverting to Markdown in ~30% of responses.</w:t>
      </w:r>
    </w:p>
    <w:p w14:paraId="56F6F591" w14:textId="77777777" w:rsidR="007B589B" w:rsidRDefault="00000000">
      <w:r>
        <w:rPr>
          <w:rFonts w:ascii="Times New Roman" w:hAnsi="Times New Roman" w:cs="Times New Roman"/>
          <w:b/>
          <w:sz w:val="27"/>
          <w:szCs w:val="27"/>
        </w:rPr>
        <w:t>I. Retrieval-Augmented Generation: Deterministic Notes over Vector Search</w:t>
      </w:r>
    </w:p>
    <w:p w14:paraId="5B37955D" w14:textId="77777777" w:rsidR="007B589B" w:rsidRDefault="00000000">
      <w:r>
        <w:rPr>
          <w:rFonts w:ascii="Times New Roman" w:hAnsi="Times New Roman" w:cs="Times New Roman"/>
          <w:b/>
        </w:rPr>
        <w:t>Architectural debate: deterministic matching vs. embedding-based retrieval.</w:t>
      </w:r>
      <w:r>
        <w:rPr>
          <w:rFonts w:ascii="Times New Roman" w:hAnsi="Times New Roman" w:cs="Times New Roman"/>
        </w:rPr>
        <w:t xml:space="preserve"> Modern RAG systems typically encode documents into vector embeddings and retrieve via cosine similarity. We prototyped this approach using OpenAI’s text-embedding-ada-002 on the Variorum notes corpus. The results were unsatisfactory: semantic similarity retrieved thematically related but textually unrelated commentary (e.g., a search for “Is this a dagger which I see before me” returned notes about daggers in </w:t>
      </w:r>
      <w:r>
        <w:rPr>
          <w:rFonts w:ascii="Times New Roman" w:hAnsi="Times New Roman" w:cs="Times New Roman"/>
          <w:i/>
        </w:rPr>
        <w:t>Hamlet</w:t>
      </w:r>
      <w:r>
        <w:rPr>
          <w:rFonts w:ascii="Times New Roman" w:hAnsi="Times New Roman" w:cs="Times New Roman"/>
        </w:rPr>
        <w:t xml:space="preserve"> and </w:t>
      </w:r>
      <w:r>
        <w:rPr>
          <w:rFonts w:ascii="Times New Roman" w:hAnsi="Times New Roman" w:cs="Times New Roman"/>
          <w:i/>
        </w:rPr>
        <w:t>Julius Caesar</w:t>
      </w:r>
      <w:r>
        <w:rPr>
          <w:rFonts w:ascii="Times New Roman" w:hAnsi="Times New Roman" w:cs="Times New Roman"/>
        </w:rPr>
        <w:t xml:space="preserve">, not the Macbeth-specific commentary). For a scholarly tool, </w:t>
      </w:r>
      <w:r>
        <w:rPr>
          <w:rFonts w:ascii="Times New Roman" w:hAnsi="Times New Roman" w:cs="Times New Roman"/>
          <w:b/>
        </w:rPr>
        <w:t>false positives are worse than false negatives:</w:t>
      </w:r>
      <w:r>
        <w:rPr>
          <w:rFonts w:ascii="Times New Roman" w:hAnsi="Times New Roman" w:cs="Times New Roman"/>
        </w:rPr>
        <w:t xml:space="preserve"> a user receiving commentary on the wrong play’s dagger scene would be actively misled, whereas receiving no commentary simply indicates a gap in the database. We therefore adopted deterministic text matching.</w:t>
      </w:r>
    </w:p>
    <w:p w14:paraId="7E69FAE1" w14:textId="77777777" w:rsidR="007B589B" w:rsidRDefault="00000000">
      <w:r>
        <w:rPr>
          <w:rFonts w:ascii="Times New Roman" w:hAnsi="Times New Roman" w:cs="Times New Roman"/>
        </w:rPr>
        <w:t>The retrieval function (findRelevantNotes in shakespeare.js) operates as follows: it first extracts line numbers from the user’s selected text using regex (^(\d+)\.?\s*(.*)), then iterates over every scene in the play’s JSON file, looking for an exact line-number key match. If found, the line’s entire notes array is extracted verbatim. If line-number extraction fails, a broader text-search fallback (searchAllScenesForText) compares the lowercased selection against every play field in the database, using substring inclusion with a minimum 3-character threshold. Results are capped at 10 to prevent response bloat. A word-overlap heuristic (matchesText) serves as a third fallback: it tokenizes both strings, filters to words &gt;2 characters, and considers a match if ≥50% of the shorter string’s words appear in the longer.</w:t>
      </w:r>
    </w:p>
    <w:p w14:paraId="42CA91BC" w14:textId="77777777" w:rsidR="007B589B" w:rsidRDefault="00000000">
      <w:r>
        <w:rPr>
          <w:rFonts w:ascii="Times New Roman" w:hAnsi="Times New Roman" w:cs="Times New Roman"/>
          <w:b/>
        </w:rPr>
        <w:t>Obstacle: the payload-size crisis.</w:t>
      </w:r>
      <w:r>
        <w:rPr>
          <w:rFonts w:ascii="Times New Roman" w:hAnsi="Times New Roman" w:cs="Times New Roman"/>
        </w:rPr>
        <w:t xml:space="preserve"> Initially, the full text of all retrieved Variorum notes was inlined into the GPT prompt as context for the “New Variorum Analysis” section. For heavily annotated lines (e.g., </w:t>
      </w:r>
      <w:r>
        <w:rPr>
          <w:rFonts w:ascii="Times New Roman" w:hAnsi="Times New Roman" w:cs="Times New Roman"/>
          <w:i/>
        </w:rPr>
        <w:t>Hamlet</w:t>
      </w:r>
      <w:r>
        <w:rPr>
          <w:rFonts w:ascii="Times New Roman" w:hAnsi="Times New Roman" w:cs="Times New Roman"/>
        </w:rPr>
        <w:t xml:space="preserve"> 3.1.56, “To be, or not to be,” which carries ~4,000 words of commentary), this inflated the prompt to 15,000+ tokens, causing OpenAI timeouts and exceeding payload limits. The solution was architectural: </w:t>
      </w:r>
      <w:r>
        <w:rPr>
          <w:rFonts w:ascii="Times New Roman" w:hAnsi="Times New Roman" w:cs="Times New Roman"/>
          <w:b/>
        </w:rPr>
        <w:t>notes are no longer injected into the prompt.</w:t>
      </w:r>
      <w:r>
        <w:rPr>
          <w:rFonts w:ascii="Times New Roman" w:hAnsi="Times New Roman" w:cs="Times New Roman"/>
        </w:rPr>
        <w:t xml:space="preserve"> Instead, the serverless function builds the analysis object from the GPT response, then overwrites the “New Variorum Analysis” key with the raw historical notes retrieved from the JSON file. The GPT model is told that no notes are available and asked to say so briefly; the </w:t>
      </w:r>
      <w:r>
        <w:rPr>
          <w:rFonts w:ascii="Times New Roman" w:hAnsi="Times New Roman" w:cs="Times New Roman"/>
        </w:rPr>
        <w:lastRenderedPageBreak/>
        <w:t>server then replaces this placeholder with the actual notes. This decoupling means the historical commentary is always delivered verbatim—never summarized, truncated, or paraphrased by the model.</w:t>
      </w:r>
    </w:p>
    <w:p w14:paraId="7045A6D8" w14:textId="77777777" w:rsidR="007B589B" w:rsidRDefault="00000000">
      <w:r>
        <w:rPr>
          <w:rFonts w:ascii="Times New Roman" w:hAnsi="Times New Roman" w:cs="Times New Roman"/>
          <w:b/>
        </w:rPr>
        <w:t>Play coverage management and the whitelist mismatch.</w:t>
      </w:r>
      <w:r>
        <w:rPr>
          <w:rFonts w:ascii="Times New Roman" w:hAnsi="Times New Roman" w:cs="Times New Roman"/>
        </w:rPr>
        <w:t xml:space="preserve"> Both client and server maintain arrays determining which plays have Variorum data. The client’s playsWithNewVariorum (17 entries) controls UI visibility of the variorum panel. The server’s playsWithoutNewVariorum (21 entries, listing plays that lack data) controls whether the “New Variorum Analysis” section is included in the GPT prompt. </w:t>
      </w:r>
      <w:r>
        <w:rPr>
          <w:rFonts w:ascii="Times New Roman" w:hAnsi="Times New Roman" w:cs="Times New Roman"/>
          <w:b/>
        </w:rPr>
        <w:t>These two lists are not inverses of each other</w:t>
      </w:r>
      <w:r>
        <w:rPr>
          <w:rFonts w:ascii="Times New Roman" w:hAnsi="Times New Roman" w:cs="Times New Roman"/>
        </w:rPr>
        <w:t>—the client list was maintained manually and occasionally fell out of sync with the server list, causing plays to show a variorum UI with no data, or suppress the UI for plays that had data. This inconsistency was discovered during testing and partially reconciled, but remains a maintenance concern inherent to the duplicated-whitelist pattern.</w:t>
      </w:r>
    </w:p>
    <w:p w14:paraId="3B1EAC99" w14:textId="77777777" w:rsidR="007B589B" w:rsidRDefault="00000000">
      <w:r>
        <w:rPr>
          <w:rFonts w:ascii="Times New Roman" w:hAnsi="Times New Roman" w:cs="Times New Roman"/>
          <w:b/>
        </w:rPr>
        <w:t>The normalizePlayKey problem.</w:t>
      </w:r>
      <w:r>
        <w:rPr>
          <w:rFonts w:ascii="Times New Roman" w:hAnsi="Times New Roman" w:cs="Times New Roman"/>
        </w:rPr>
        <w:t xml:space="preserve"> Play names arrive at the server in varied formats (“Macbeth,” “macbeth,” “The Merchant of Venice,” “merchant_of_venice”). The normalizePlayKey function maps these to canonical keys (e.g., “merchantofvenice”) via a chain of 17 if/includes checks. These keys then index into a playFiles dictionary mapping to actual JSON filenames on disk—which themselves follow no consistent naming convention: macbeth_notes_cleaned_play.json, hamlet_notes (1).json (with a space and parentheses requiring URL encoding), ROMEO_notes.json (uppercase), julius_caesar_clean_(3).json (with a version suffix). This naming chaos arose from the iterative, play-by-play digitization process where each volume was processed independently. The serverless function handles this by URL-encoding filenames via encodeURIComponent and attempting multiple fallback URLs: the deployed site’s /Public/Data/ path, the site root, and two GitHub raw content URLs. This four-URL fallback chain was necessary because Netlify’s redirect rules occasionally interfered with direct static file access for filenames containing special characters.</w:t>
      </w:r>
    </w:p>
    <w:p w14:paraId="22D0344A" w14:textId="77777777" w:rsidR="007B589B" w:rsidRDefault="00000000">
      <w:r>
        <w:rPr>
          <w:rFonts w:ascii="Times New Roman" w:hAnsi="Times New Roman" w:cs="Times New Roman"/>
          <w:b/>
          <w:sz w:val="27"/>
          <w:szCs w:val="27"/>
        </w:rPr>
        <w:t>J. Geneva Bible Integration: Keyword-Scored Contextual Retrieval</w:t>
      </w:r>
    </w:p>
    <w:p w14:paraId="2872B208" w14:textId="77777777" w:rsidR="007B589B" w:rsidRDefault="00000000">
      <w:r>
        <w:rPr>
          <w:rFonts w:ascii="Times New Roman" w:hAnsi="Times New Roman" w:cs="Times New Roman"/>
        </w:rPr>
        <w:t>The platform integrates the Geneva Bible (1560) through a client-side JavaScript class (BibleSearch, defined in Public/Data/bibleSearch.js). On initialization, the class fetches the full Geneva Bible text (~4 MB plain text), parses it into a structured array of {book, chapter, verse, text} objects using a regex-based verse detector (^\[(\d+):(\d+)\]\s*(.+)$), and builds a search index with extracted keywords (stopword-filtered, archaic-word-tagged) and thematic categories. Ten biblical theme clusters are defined (creation, salvation, wisdom, love, justice, prophecy, kingdom, covenant, temple, exile), each with 4–6 seed keywords.</w:t>
      </w:r>
    </w:p>
    <w:p w14:paraId="5324AAC2" w14:textId="77777777" w:rsidR="007B589B" w:rsidRDefault="00000000">
      <w:r>
        <w:rPr>
          <w:rFonts w:ascii="Times New Roman" w:hAnsi="Times New Roman" w:cs="Times New Roman"/>
        </w:rPr>
        <w:t xml:space="preserve">When the user selects Shakespeare text, the calculateRelevanceScore function scores each Geneva Bible verse against the selection using a weighted heuristic: exact phrase overlap scores 100 points; individual keyword matches score 10 each; partial keyword overlaps score 5; archaic-word matches (“thee,” “thou,” “hath,” “doth,” “forsooth,” “prithee”—a 30-word set) score 15 each (weighted higher because shared archaic vocabulary is a stronger signal of genuine </w:t>
      </w:r>
      <w:r>
        <w:rPr>
          <w:rFonts w:ascii="Times New Roman" w:hAnsi="Times New Roman" w:cs="Times New Roman"/>
        </w:rPr>
        <w:lastRenderedPageBreak/>
        <w:t>allusion than shared modern vocabulary); and thematic-category matches score 15. The top N results (2 for Expert, 5 for Full Fathom Five) are returned with reference, text, and relevance score, then formatted via formatBibleContextForPrompt into a structured addendum for the AI’s system prompt.</w:t>
      </w:r>
    </w:p>
    <w:p w14:paraId="40B7A3C0" w14:textId="77777777" w:rsidR="007B589B" w:rsidRDefault="00000000">
      <w:r>
        <w:rPr>
          <w:rFonts w:ascii="Times New Roman" w:hAnsi="Times New Roman" w:cs="Times New Roman"/>
          <w:b/>
          <w:sz w:val="27"/>
          <w:szCs w:val="27"/>
        </w:rPr>
        <w:t>K. External Research Discovery: Contextual Search Construction</w:t>
      </w:r>
    </w:p>
    <w:p w14:paraId="6011DD55" w14:textId="77777777" w:rsidR="007B589B" w:rsidRDefault="00000000">
      <w:r>
        <w:rPr>
          <w:rFonts w:ascii="Times New Roman" w:hAnsi="Times New Roman" w:cs="Times New Roman"/>
        </w:rPr>
        <w:t>The platform constructs search queries programmatically from the user’s navigation state and text selection, enabling one-click access to four external scholarly and performance resources:</w:t>
      </w:r>
    </w:p>
    <w:p w14:paraId="2864E4E4" w14:textId="77777777" w:rsidR="007B589B" w:rsidRDefault="00000000">
      <w:r>
        <w:rPr>
          <w:rFonts w:ascii="Times New Roman" w:hAnsi="Times New Roman" w:cs="Times New Roman"/>
          <w:b/>
        </w:rPr>
        <w:t>YouTube (searchYouTube):</w:t>
      </w:r>
      <w:r>
        <w:rPr>
          <w:rFonts w:ascii="Times New Roman" w:hAnsi="Times New Roman" w:cs="Times New Roman"/>
        </w:rPr>
        <w:t xml:space="preserve"> query = playName + sceneName + “performance.” </w:t>
      </w:r>
      <w:r>
        <w:rPr>
          <w:rFonts w:ascii="Times New Roman" w:hAnsi="Times New Roman" w:cs="Times New Roman"/>
          <w:b/>
        </w:rPr>
        <w:t>JSTOR (searchJSTOR):</w:t>
      </w:r>
      <w:r>
        <w:rPr>
          <w:rFonts w:ascii="Times New Roman" w:hAnsi="Times New Roman" w:cs="Times New Roman"/>
        </w:rPr>
        <w:t xml:space="preserve"> query uses Boolean AND-clauses: a quoted play title, act/scene identifiers in both Arabic and Roman numeral formats (e.g., “1.1” and “I.i”), and a selected phrase extracted from selectedLines or selectedText. This dual-format approach was necessary because JSTOR articles use both conventions inconsistently. </w:t>
      </w:r>
      <w:r>
        <w:rPr>
          <w:rFonts w:ascii="Times New Roman" w:hAnsi="Times New Roman" w:cs="Times New Roman"/>
          <w:b/>
        </w:rPr>
        <w:t>Google Scholar (searchGoogleScholar):</w:t>
      </w:r>
      <w:r>
        <w:rPr>
          <w:rFonts w:ascii="Times New Roman" w:hAnsi="Times New Roman" w:cs="Times New Roman"/>
        </w:rPr>
        <w:t xml:space="preserve"> similar scoping with the addition of the term “Shakespeare” as a required keyword to filter out non-literary results. </w:t>
      </w:r>
      <w:r>
        <w:rPr>
          <w:rFonts w:ascii="Times New Roman" w:hAnsi="Times New Roman" w:cs="Times New Roman"/>
          <w:b/>
        </w:rPr>
        <w:t>Internet Shakespeare Editions (openInternetShakespeare):</w:t>
      </w:r>
      <w:r>
        <w:rPr>
          <w:rFonts w:ascii="Times New Roman" w:hAnsi="Times New Roman" w:cs="Times New Roman"/>
        </w:rPr>
        <w:t xml:space="preserve"> a static mapping of 25 play identifiers to ISE URL slugs (e.g., “macbeth” → “Mac,” “hamlet” → “Ham,” “midsummer” → “MND”), constructing deep links to https://internetshakespeare.uvic.ca/Library/Texts/{slug}/.</w:t>
      </w:r>
    </w:p>
    <w:p w14:paraId="41ADBE98" w14:textId="77777777" w:rsidR="007B589B" w:rsidRDefault="00000000">
      <w:r>
        <w:rPr>
          <w:rFonts w:ascii="Times New Roman" w:hAnsi="Times New Roman" w:cs="Times New Roman"/>
          <w:b/>
          <w:sz w:val="27"/>
          <w:szCs w:val="27"/>
        </w:rPr>
        <w:t>L. Interactive Q&amp;A: Context-Accumulating Follow-Up System</w:t>
      </w:r>
    </w:p>
    <w:p w14:paraId="417596CC" w14:textId="77777777" w:rsidR="007B589B" w:rsidRDefault="00000000">
      <w:r>
        <w:rPr>
          <w:rFonts w:ascii="Times New Roman" w:hAnsi="Times New Roman" w:cs="Times New Roman"/>
        </w:rPr>
        <w:t>The askFollowUp() function implements a stateful dialogue capability. When the user submits a question, the function constructs a composite context string concatenating: the current play name, the originally selected passage (if available), the most recent analysis output, and the user’s question prefixed with “Follow-up question:”. This composite is sent to the same /api/shakespeare endpoint with level set to “followup.” On the server, the handler uses a dedicated system prompt that instructs the model to: identify the follow-up question, use surrounding text only as background context, answer in 2–5 sentences, and avoid restating the original analysis. The response is rendered as a visually distinct div.follow-up-answer block inserted before the media section, preserving the conversational thread.</w:t>
      </w:r>
    </w:p>
    <w:p w14:paraId="5726F82F" w14:textId="77777777" w:rsidR="007B589B" w:rsidRDefault="00000000">
      <w:r>
        <w:rPr>
          <w:rFonts w:ascii="Times New Roman" w:hAnsi="Times New Roman" w:cs="Times New Roman"/>
          <w:b/>
          <w:sz w:val="27"/>
          <w:szCs w:val="27"/>
        </w:rPr>
        <w:t>M. Data Quality Assurance: Failure Modes and Iterative Correction</w:t>
      </w:r>
    </w:p>
    <w:p w14:paraId="0D0C0861" w14:textId="77777777" w:rsidR="007B589B" w:rsidRDefault="00000000">
      <w:r>
        <w:rPr>
          <w:rFonts w:ascii="Times New Roman" w:hAnsi="Times New Roman" w:cs="Times New Roman"/>
        </w:rPr>
        <w:t>Quality assurance was not a discrete phase but an ongoing process driven by user-reported failures and systematic testing. Three classes of defect required correction:</w:t>
      </w:r>
    </w:p>
    <w:p w14:paraId="21AA3AE5" w14:textId="77777777" w:rsidR="007B589B" w:rsidRDefault="00000000">
      <w:r>
        <w:rPr>
          <w:rFonts w:ascii="Times New Roman" w:hAnsi="Times New Roman" w:cs="Times New Roman"/>
          <w:b/>
        </w:rPr>
        <w:t>1. Missing play text in JSON.</w:t>
      </w:r>
      <w:r>
        <w:rPr>
          <w:rFonts w:ascii="Times New Roman" w:hAnsi="Times New Roman" w:cs="Times New Roman"/>
        </w:rPr>
        <w:t xml:space="preserve"> The Hamlet data file (hamlet_notes (1).json) contained complete notes arrays for Act 1 Scenes 3, 4, and 5, but empty play fields—meaning the line text existed in the Variorum but was lost during the OCR-to-JSON conversion, likely due to a pipeline interruption mid-volume. The commentary was present because it had been processed in a separate pass. The fix required manually transcribing the corresponding Folger text and </w:t>
      </w:r>
      <w:r>
        <w:rPr>
          <w:rFonts w:ascii="Times New Roman" w:hAnsi="Times New Roman" w:cs="Times New Roman"/>
        </w:rPr>
        <w:lastRenderedPageBreak/>
        <w:t>populating each play field while preserving the existing notes arrays—a delicate operation on a 12,000-line JSON file where a single misplaced comma would corrupt the entire structure.</w:t>
      </w:r>
    </w:p>
    <w:p w14:paraId="1AA22BE0" w14:textId="77777777" w:rsidR="007B589B" w:rsidRDefault="00000000">
      <w:r>
        <w:rPr>
          <w:rFonts w:ascii="Times New Roman" w:hAnsi="Times New Roman" w:cs="Times New Roman"/>
          <w:b/>
        </w:rPr>
        <w:t>2. DOCX-to-HTML normalization drift.</w:t>
      </w:r>
      <w:r>
        <w:rPr>
          <w:rFonts w:ascii="Times New Roman" w:hAnsi="Times New Roman" w:cs="Times New Roman"/>
        </w:rPr>
        <w:t xml:space="preserve"> The 20 per-play critics DOCX files were authored by different contributors using different Word templates. The first play processed (Macbeth) established the reference format; subsequent plays deviated in heading levels, paragraph spacing, bold/italic usage, and table structures. A normalization script (scripts/normalize_critics_bibliography.py) was developed to enforce consistency, but edge cases persisted—particularly in plays where the DOCX author used custom Word styles not present in the other files.</w:t>
      </w:r>
    </w:p>
    <w:p w14:paraId="5A79EB31" w14:textId="77777777" w:rsidR="007B589B" w:rsidRDefault="00000000">
      <w:r>
        <w:rPr>
          <w:rFonts w:ascii="Times New Roman" w:hAnsi="Times New Roman" w:cs="Times New Roman"/>
          <w:b/>
        </w:rPr>
        <w:t>3. JavaScript runtime bugs in the monolith.</w:t>
      </w:r>
      <w:r>
        <w:rPr>
          <w:rFonts w:ascii="Times New Roman" w:hAnsi="Times New Roman" w:cs="Times New Roman"/>
        </w:rPr>
        <w:t xml:space="preserve"> The 23,000-line index.html contained multiple instances of function redefinition (the openCriticsModal duplicate described above), silent failures from missing DOM elements (attempting to set style.display on a modal that was never injected), and whitelist/blacklist inconsistencies between different code regions (playsWithCriticsButtons at line ~14,572 listed 20 plays; playsWithNewVariorum at line ~14,554 listed 17; playsWithoutNewVariorum at line ~14,557 listed a different set that was not the complement of the other two). These bugs were discovered through systematic play-by-play testing and resolved through unification of the various lists and elimination of duplicate function definitions.</w:t>
      </w:r>
    </w:p>
    <w:p w14:paraId="1240A732" w14:textId="77777777" w:rsidR="007B589B" w:rsidRDefault="00000000">
      <w:r>
        <w:rPr>
          <w:rFonts w:ascii="Times New Roman" w:hAnsi="Times New Roman" w:cs="Times New Roman"/>
          <w:b/>
          <w:sz w:val="27"/>
          <w:szCs w:val="27"/>
        </w:rPr>
        <w:t>N. Deployment Infrastructure</w:t>
      </w:r>
    </w:p>
    <w:p w14:paraId="555AEE52" w14:textId="77777777" w:rsidR="007B589B" w:rsidRDefault="00000000">
      <w:r>
        <w:rPr>
          <w:rFonts w:ascii="Times New Roman" w:hAnsi="Times New Roman" w:cs="Times New Roman"/>
        </w:rPr>
        <w:t>The platform deploys to Netlify’s static hosting via a netlify.toml manifest specifying: publish directory “.” (the repository root), functions directory “functions,” build environment NODE_VERSION=22, and four redirect rules: /api/shakespeare → /.netlify/functions/shakespeare (status 200), /Public/Data/* → /Public/Data/:splat (passthrough for static JSON), and /* → /index.html (SPA catch-all). JSON files are served with Cache-Control: no-cache, no-store, must-revalidate headers to ensure users always receive the latest data. The edge function is registered via [[edge_functions]] with function = “variorum-edge” and path = “/api/variorum-edge.” API keys (OPENAI_API_KEY, CLAUDE_API_KEY) are stored in Netlify’s encrypted environment variable system, injected at runtime into the serverless (process.env) and edge (Deno.env.get) environments respectively.</w:t>
      </w:r>
    </w:p>
    <w:p w14:paraId="1C75B2BB" w14:textId="77777777" w:rsidR="007B589B" w:rsidRDefault="00000000">
      <w:r>
        <w:rPr>
          <w:rFonts w:ascii="Times New Roman" w:hAnsi="Times New Roman" w:cs="Times New Roman"/>
        </w:rPr>
        <w:t xml:space="preserve">The entire codebase—frontend, serverless functions, JSON data files, Python scripts, and documentation—resides in a single Git repository (monorepo). Netlify triggers automatic builds on push to main. </w:t>
      </w:r>
      <w:r>
        <w:rPr>
          <w:rFonts w:ascii="Times New Roman" w:hAnsi="Times New Roman" w:cs="Times New Roman"/>
          <w:b/>
        </w:rPr>
        <w:t>Trade-off:</w:t>
      </w:r>
      <w:r>
        <w:rPr>
          <w:rFonts w:ascii="Times New Roman" w:hAnsi="Times New Roman" w:cs="Times New Roman"/>
        </w:rPr>
        <w:t xml:space="preserve"> this simplifies deployment but inflates repository size (each play’s JSON file is 1–2 MB, totaling ~30 MB of JSON data in the repository). Git operations (clone, pull) are noticeably slower than for a typical web application. We considered Git LFS for the JSON files but rejected it because Netlify’s build system does not natively support LFS, and adding an LFS layer would complicate the zero-dependency deployment that is central to the project’s sustainability model.</w:t>
      </w:r>
    </w:p>
    <w:p w14:paraId="6A567BD5"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lastRenderedPageBreak/>
        <w:t>IV. Results and Implementation</w:t>
      </w:r>
    </w:p>
    <w:p w14:paraId="12D99AA9"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Corpus Coverage and Scale</w:t>
      </w:r>
    </w:p>
    <w:p w14:paraId="410EF7A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digitization effort achieved comprehensive coverage of the available New Variorum corpus:</w:t>
      </w:r>
    </w:p>
    <w:p w14:paraId="764056C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Table 1: New Variorum Shakespeare Digital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923"/>
        <w:gridCol w:w="567"/>
        <w:gridCol w:w="3407"/>
        <w:gridCol w:w="1520"/>
      </w:tblGrid>
      <w:tr w:rsidR="003F3427" w:rsidRPr="003F3427" w14:paraId="4B1D714C" w14:textId="77777777">
        <w:trPr>
          <w:tblHeader/>
          <w:tblCellSpacing w:w="15" w:type="dxa"/>
        </w:trPr>
        <w:tc>
          <w:tcPr>
            <w:tcW w:w="0" w:type="auto"/>
            <w:vAlign w:val="center"/>
            <w:hideMark/>
          </w:tcPr>
          <w:p w14:paraId="1D4CF8B7"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w:t>
            </w:r>
          </w:p>
        </w:tc>
        <w:tc>
          <w:tcPr>
            <w:tcW w:w="0" w:type="auto"/>
            <w:vAlign w:val="center"/>
            <w:hideMark/>
          </w:tcPr>
          <w:p w14:paraId="2CEE4CCA"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Play</w:t>
            </w:r>
          </w:p>
        </w:tc>
        <w:tc>
          <w:tcPr>
            <w:tcW w:w="0" w:type="auto"/>
            <w:vAlign w:val="center"/>
            <w:hideMark/>
          </w:tcPr>
          <w:p w14:paraId="4D049FB9"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Year</w:t>
            </w:r>
          </w:p>
        </w:tc>
        <w:tc>
          <w:tcPr>
            <w:tcW w:w="0" w:type="auto"/>
            <w:vAlign w:val="center"/>
            <w:hideMark/>
          </w:tcPr>
          <w:p w14:paraId="45705AD7"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Editor</w:t>
            </w:r>
          </w:p>
        </w:tc>
        <w:tc>
          <w:tcPr>
            <w:tcW w:w="0" w:type="auto"/>
            <w:vAlign w:val="center"/>
            <w:hideMark/>
          </w:tcPr>
          <w:p w14:paraId="0259D3C2" w14:textId="77777777" w:rsidR="003F3427" w:rsidRPr="003F3427" w:rsidRDefault="003F3427" w:rsidP="003F3427">
            <w:pPr>
              <w:spacing w:after="0" w:line="240" w:lineRule="auto"/>
              <w:jc w:val="center"/>
              <w:rPr>
                <w:rFonts w:ascii="Times New Roman" w:eastAsia="Times New Roman" w:hAnsi="Times New Roman" w:cs="Times New Roman"/>
                <w:b/>
                <w:bCs/>
                <w:kern w:val="0"/>
                <w14:ligatures w14:val="none"/>
              </w:rPr>
            </w:pPr>
            <w:r w:rsidRPr="003F3427">
              <w:rPr>
                <w:rFonts w:ascii="Times New Roman" w:eastAsia="Times New Roman" w:hAnsi="Times New Roman" w:cs="Times New Roman"/>
                <w:b/>
                <w:bCs/>
                <w:kern w:val="0"/>
                <w14:ligatures w14:val="none"/>
              </w:rPr>
              <w:t>Status</w:t>
            </w:r>
          </w:p>
        </w:tc>
      </w:tr>
      <w:tr w:rsidR="003F3427" w:rsidRPr="003F3427" w14:paraId="4A92BB51" w14:textId="77777777">
        <w:trPr>
          <w:tblCellSpacing w:w="15" w:type="dxa"/>
        </w:trPr>
        <w:tc>
          <w:tcPr>
            <w:tcW w:w="0" w:type="auto"/>
            <w:vAlign w:val="center"/>
            <w:hideMark/>
          </w:tcPr>
          <w:p w14:paraId="439056D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w:t>
            </w:r>
          </w:p>
        </w:tc>
        <w:tc>
          <w:tcPr>
            <w:tcW w:w="0" w:type="auto"/>
            <w:vAlign w:val="center"/>
            <w:hideMark/>
          </w:tcPr>
          <w:p w14:paraId="135F511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Romeo and Juliet</w:t>
            </w:r>
          </w:p>
        </w:tc>
        <w:tc>
          <w:tcPr>
            <w:tcW w:w="0" w:type="auto"/>
            <w:vAlign w:val="center"/>
            <w:hideMark/>
          </w:tcPr>
          <w:p w14:paraId="4AB7A06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1871</w:t>
            </w:r>
          </w:p>
        </w:tc>
        <w:tc>
          <w:tcPr>
            <w:tcW w:w="0" w:type="auto"/>
            <w:vAlign w:val="center"/>
            <w:hideMark/>
          </w:tcPr>
          <w:p w14:paraId="019235B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612459B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FF7A219" w14:textId="77777777">
        <w:trPr>
          <w:tblCellSpacing w:w="15" w:type="dxa"/>
        </w:trPr>
        <w:tc>
          <w:tcPr>
            <w:tcW w:w="0" w:type="auto"/>
            <w:vAlign w:val="center"/>
            <w:hideMark/>
          </w:tcPr>
          <w:p w14:paraId="7A28DEB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w:t>
            </w:r>
          </w:p>
        </w:tc>
        <w:tc>
          <w:tcPr>
            <w:tcW w:w="0" w:type="auto"/>
            <w:vAlign w:val="center"/>
            <w:hideMark/>
          </w:tcPr>
          <w:p w14:paraId="0CF475C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Macbeth</w:t>
            </w:r>
          </w:p>
        </w:tc>
        <w:tc>
          <w:tcPr>
            <w:tcW w:w="0" w:type="auto"/>
            <w:vAlign w:val="center"/>
            <w:hideMark/>
          </w:tcPr>
          <w:p w14:paraId="1957642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1873</w:t>
            </w:r>
          </w:p>
        </w:tc>
        <w:tc>
          <w:tcPr>
            <w:tcW w:w="0" w:type="auto"/>
            <w:vAlign w:val="center"/>
            <w:hideMark/>
          </w:tcPr>
          <w:p w14:paraId="48A9241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1BDAB25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CA5D33A" w14:textId="77777777">
        <w:trPr>
          <w:tblCellSpacing w:w="15" w:type="dxa"/>
        </w:trPr>
        <w:tc>
          <w:tcPr>
            <w:tcW w:w="0" w:type="auto"/>
            <w:vAlign w:val="center"/>
            <w:hideMark/>
          </w:tcPr>
          <w:p w14:paraId="4A12564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3</w:t>
            </w:r>
          </w:p>
        </w:tc>
        <w:tc>
          <w:tcPr>
            <w:tcW w:w="0" w:type="auto"/>
            <w:vAlign w:val="center"/>
            <w:hideMark/>
          </w:tcPr>
          <w:p w14:paraId="3C858AC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Hamlet</w:t>
            </w:r>
          </w:p>
        </w:tc>
        <w:tc>
          <w:tcPr>
            <w:tcW w:w="0" w:type="auto"/>
            <w:vAlign w:val="center"/>
            <w:hideMark/>
          </w:tcPr>
          <w:p w14:paraId="6A2B01E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1877</w:t>
            </w:r>
          </w:p>
        </w:tc>
        <w:tc>
          <w:tcPr>
            <w:tcW w:w="0" w:type="auto"/>
            <w:vAlign w:val="center"/>
            <w:hideMark/>
          </w:tcPr>
          <w:p w14:paraId="0EF62CC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151FB66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37AD7CE8" w14:textId="77777777">
        <w:trPr>
          <w:tblCellSpacing w:w="15" w:type="dxa"/>
        </w:trPr>
        <w:tc>
          <w:tcPr>
            <w:tcW w:w="0" w:type="auto"/>
            <w:vAlign w:val="center"/>
            <w:hideMark/>
          </w:tcPr>
          <w:p w14:paraId="00A5464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4</w:t>
            </w:r>
          </w:p>
        </w:tc>
        <w:tc>
          <w:tcPr>
            <w:tcW w:w="0" w:type="auto"/>
            <w:vAlign w:val="center"/>
            <w:hideMark/>
          </w:tcPr>
          <w:p w14:paraId="5F86663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King Lear</w:t>
            </w:r>
          </w:p>
        </w:tc>
        <w:tc>
          <w:tcPr>
            <w:tcW w:w="0" w:type="auto"/>
            <w:vAlign w:val="center"/>
            <w:hideMark/>
          </w:tcPr>
          <w:p w14:paraId="420C23F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1880</w:t>
            </w:r>
          </w:p>
        </w:tc>
        <w:tc>
          <w:tcPr>
            <w:tcW w:w="0" w:type="auto"/>
            <w:vAlign w:val="center"/>
            <w:hideMark/>
          </w:tcPr>
          <w:p w14:paraId="66CBE9A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7CFBDB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315DB65" w14:textId="77777777">
        <w:trPr>
          <w:tblCellSpacing w:w="15" w:type="dxa"/>
        </w:trPr>
        <w:tc>
          <w:tcPr>
            <w:tcW w:w="0" w:type="auto"/>
            <w:vAlign w:val="center"/>
            <w:hideMark/>
          </w:tcPr>
          <w:p w14:paraId="159D93F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5</w:t>
            </w:r>
          </w:p>
        </w:tc>
        <w:tc>
          <w:tcPr>
            <w:tcW w:w="0" w:type="auto"/>
            <w:vAlign w:val="center"/>
            <w:hideMark/>
          </w:tcPr>
          <w:p w14:paraId="59415F3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Othello</w:t>
            </w:r>
          </w:p>
        </w:tc>
        <w:tc>
          <w:tcPr>
            <w:tcW w:w="0" w:type="auto"/>
            <w:vAlign w:val="center"/>
            <w:hideMark/>
          </w:tcPr>
          <w:p w14:paraId="3BEE929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1886</w:t>
            </w:r>
          </w:p>
        </w:tc>
        <w:tc>
          <w:tcPr>
            <w:tcW w:w="0" w:type="auto"/>
            <w:vAlign w:val="center"/>
            <w:hideMark/>
          </w:tcPr>
          <w:p w14:paraId="4A7A0A3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46E5A5C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4241984A" w14:textId="77777777">
        <w:trPr>
          <w:tblCellSpacing w:w="15" w:type="dxa"/>
        </w:trPr>
        <w:tc>
          <w:tcPr>
            <w:tcW w:w="0" w:type="auto"/>
            <w:vAlign w:val="center"/>
            <w:hideMark/>
          </w:tcPr>
          <w:p w14:paraId="288EA78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6</w:t>
            </w:r>
          </w:p>
        </w:tc>
        <w:tc>
          <w:tcPr>
            <w:tcW w:w="0" w:type="auto"/>
            <w:vAlign w:val="center"/>
            <w:hideMark/>
          </w:tcPr>
          <w:p w14:paraId="03BEC1C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Merchant of Venice</w:t>
            </w:r>
          </w:p>
        </w:tc>
        <w:tc>
          <w:tcPr>
            <w:tcW w:w="0" w:type="auto"/>
            <w:vAlign w:val="center"/>
            <w:hideMark/>
          </w:tcPr>
          <w:p w14:paraId="481D15A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1888</w:t>
            </w:r>
          </w:p>
        </w:tc>
        <w:tc>
          <w:tcPr>
            <w:tcW w:w="0" w:type="auto"/>
            <w:vAlign w:val="center"/>
            <w:hideMark/>
          </w:tcPr>
          <w:p w14:paraId="1ED3CAF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E1EE4F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0F2D3BAD" w14:textId="77777777">
        <w:trPr>
          <w:tblCellSpacing w:w="15" w:type="dxa"/>
        </w:trPr>
        <w:tc>
          <w:tcPr>
            <w:tcW w:w="0" w:type="auto"/>
            <w:vAlign w:val="center"/>
            <w:hideMark/>
          </w:tcPr>
          <w:p w14:paraId="697C253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7</w:t>
            </w:r>
          </w:p>
        </w:tc>
        <w:tc>
          <w:tcPr>
            <w:tcW w:w="0" w:type="auto"/>
            <w:vAlign w:val="center"/>
            <w:hideMark/>
          </w:tcPr>
          <w:p w14:paraId="5AABF8F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As You Like It</w:t>
            </w:r>
          </w:p>
        </w:tc>
        <w:tc>
          <w:tcPr>
            <w:tcW w:w="0" w:type="auto"/>
            <w:vAlign w:val="center"/>
            <w:hideMark/>
          </w:tcPr>
          <w:p w14:paraId="127AAA4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1890</w:t>
            </w:r>
          </w:p>
        </w:tc>
        <w:tc>
          <w:tcPr>
            <w:tcW w:w="0" w:type="auto"/>
            <w:vAlign w:val="center"/>
            <w:hideMark/>
          </w:tcPr>
          <w:p w14:paraId="06E2D5B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472C726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2CDB332E" w14:textId="77777777">
        <w:trPr>
          <w:tblCellSpacing w:w="15" w:type="dxa"/>
        </w:trPr>
        <w:tc>
          <w:tcPr>
            <w:tcW w:w="0" w:type="auto"/>
            <w:vAlign w:val="center"/>
            <w:hideMark/>
          </w:tcPr>
          <w:p w14:paraId="55570B0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8</w:t>
            </w:r>
          </w:p>
        </w:tc>
        <w:tc>
          <w:tcPr>
            <w:tcW w:w="0" w:type="auto"/>
            <w:vAlign w:val="center"/>
            <w:hideMark/>
          </w:tcPr>
          <w:p w14:paraId="074FDC3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Tempest</w:t>
            </w:r>
          </w:p>
        </w:tc>
        <w:tc>
          <w:tcPr>
            <w:tcW w:w="0" w:type="auto"/>
            <w:vAlign w:val="center"/>
            <w:hideMark/>
          </w:tcPr>
          <w:p w14:paraId="1DBF484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1892</w:t>
            </w:r>
          </w:p>
        </w:tc>
        <w:tc>
          <w:tcPr>
            <w:tcW w:w="0" w:type="auto"/>
            <w:vAlign w:val="center"/>
            <w:hideMark/>
          </w:tcPr>
          <w:p w14:paraId="4E4484A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5A2426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5831795C" w14:textId="77777777">
        <w:trPr>
          <w:tblCellSpacing w:w="15" w:type="dxa"/>
        </w:trPr>
        <w:tc>
          <w:tcPr>
            <w:tcW w:w="0" w:type="auto"/>
            <w:vAlign w:val="center"/>
            <w:hideMark/>
          </w:tcPr>
          <w:p w14:paraId="70472E8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9</w:t>
            </w:r>
          </w:p>
        </w:tc>
        <w:tc>
          <w:tcPr>
            <w:tcW w:w="0" w:type="auto"/>
            <w:vAlign w:val="center"/>
            <w:hideMark/>
          </w:tcPr>
          <w:p w14:paraId="75D18B9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 Midsummer Night's Dream</w:t>
            </w:r>
          </w:p>
        </w:tc>
        <w:tc>
          <w:tcPr>
            <w:tcW w:w="0" w:type="auto"/>
            <w:vAlign w:val="center"/>
            <w:hideMark/>
          </w:tcPr>
          <w:p w14:paraId="02E5453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1895</w:t>
            </w:r>
          </w:p>
        </w:tc>
        <w:tc>
          <w:tcPr>
            <w:tcW w:w="0" w:type="auto"/>
            <w:vAlign w:val="center"/>
            <w:hideMark/>
          </w:tcPr>
          <w:p w14:paraId="309D710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2306D54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0051AEC9" w14:textId="77777777">
        <w:trPr>
          <w:tblCellSpacing w:w="15" w:type="dxa"/>
        </w:trPr>
        <w:tc>
          <w:tcPr>
            <w:tcW w:w="0" w:type="auto"/>
            <w:vAlign w:val="center"/>
            <w:hideMark/>
          </w:tcPr>
          <w:p w14:paraId="7D09937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10</w:t>
            </w:r>
          </w:p>
        </w:tc>
        <w:tc>
          <w:tcPr>
            <w:tcW w:w="0" w:type="auto"/>
            <w:vAlign w:val="center"/>
            <w:hideMark/>
          </w:tcPr>
          <w:p w14:paraId="736B1C4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Winter's Tale</w:t>
            </w:r>
          </w:p>
        </w:tc>
        <w:tc>
          <w:tcPr>
            <w:tcW w:w="0" w:type="auto"/>
            <w:vAlign w:val="center"/>
            <w:hideMark/>
          </w:tcPr>
          <w:p w14:paraId="6F29177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1898</w:t>
            </w:r>
          </w:p>
        </w:tc>
        <w:tc>
          <w:tcPr>
            <w:tcW w:w="0" w:type="auto"/>
            <w:vAlign w:val="center"/>
            <w:hideMark/>
          </w:tcPr>
          <w:p w14:paraId="1676800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5B199AB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4810361" w14:textId="77777777">
        <w:trPr>
          <w:tblCellSpacing w:w="15" w:type="dxa"/>
        </w:trPr>
        <w:tc>
          <w:tcPr>
            <w:tcW w:w="0" w:type="auto"/>
            <w:vAlign w:val="center"/>
            <w:hideMark/>
          </w:tcPr>
          <w:p w14:paraId="58AB06F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11</w:t>
            </w:r>
          </w:p>
        </w:tc>
        <w:tc>
          <w:tcPr>
            <w:tcW w:w="0" w:type="auto"/>
            <w:vAlign w:val="center"/>
            <w:hideMark/>
          </w:tcPr>
          <w:p w14:paraId="3438446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Much Ado About Nothing</w:t>
            </w:r>
          </w:p>
        </w:tc>
        <w:tc>
          <w:tcPr>
            <w:tcW w:w="0" w:type="auto"/>
            <w:vAlign w:val="center"/>
            <w:hideMark/>
          </w:tcPr>
          <w:p w14:paraId="6DA4C42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1899</w:t>
            </w:r>
          </w:p>
        </w:tc>
        <w:tc>
          <w:tcPr>
            <w:tcW w:w="0" w:type="auto"/>
            <w:vAlign w:val="center"/>
            <w:hideMark/>
          </w:tcPr>
          <w:p w14:paraId="6506413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3BFFEF0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56AF587" w14:textId="77777777">
        <w:trPr>
          <w:tblCellSpacing w:w="15" w:type="dxa"/>
        </w:trPr>
        <w:tc>
          <w:tcPr>
            <w:tcW w:w="0" w:type="auto"/>
            <w:vAlign w:val="center"/>
            <w:hideMark/>
          </w:tcPr>
          <w:p w14:paraId="446B906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12</w:t>
            </w:r>
          </w:p>
        </w:tc>
        <w:tc>
          <w:tcPr>
            <w:tcW w:w="0" w:type="auto"/>
            <w:vAlign w:val="center"/>
            <w:hideMark/>
          </w:tcPr>
          <w:p w14:paraId="6D8FBC6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Twelfth Night</w:t>
            </w:r>
          </w:p>
        </w:tc>
        <w:tc>
          <w:tcPr>
            <w:tcW w:w="0" w:type="auto"/>
            <w:vAlign w:val="center"/>
            <w:hideMark/>
          </w:tcPr>
          <w:p w14:paraId="3E3B6DF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1901</w:t>
            </w:r>
          </w:p>
        </w:tc>
        <w:tc>
          <w:tcPr>
            <w:tcW w:w="0" w:type="auto"/>
            <w:vAlign w:val="center"/>
            <w:hideMark/>
          </w:tcPr>
          <w:p w14:paraId="08F79A7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1DEE98D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31A1C296" w14:textId="77777777">
        <w:trPr>
          <w:tblCellSpacing w:w="15" w:type="dxa"/>
        </w:trPr>
        <w:tc>
          <w:tcPr>
            <w:tcW w:w="0" w:type="auto"/>
            <w:vAlign w:val="center"/>
            <w:hideMark/>
          </w:tcPr>
          <w:p w14:paraId="535A326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13</w:t>
            </w:r>
          </w:p>
        </w:tc>
        <w:tc>
          <w:tcPr>
            <w:tcW w:w="0" w:type="auto"/>
            <w:vAlign w:val="center"/>
            <w:hideMark/>
          </w:tcPr>
          <w:p w14:paraId="464D7F8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Love's </w:t>
            </w:r>
            <w:proofErr w:type="spellStart"/>
            <w:r w:rsidRPr="003F3427">
              <w:rPr>
                <w:rFonts w:ascii="Times New Roman" w:eastAsia="Times New Roman" w:hAnsi="Times New Roman" w:cs="Times New Roman"/>
                <w:kern w:val="0"/>
                <w14:ligatures w14:val="none"/>
              </w:rPr>
              <w:t>Labour's</w:t>
            </w:r>
            <w:proofErr w:type="spellEnd"/>
            <w:r w:rsidRPr="003F3427">
              <w:rPr>
                <w:rFonts w:ascii="Times New Roman" w:eastAsia="Times New Roman" w:hAnsi="Times New Roman" w:cs="Times New Roman"/>
                <w:kern w:val="0"/>
                <w14:ligatures w14:val="none"/>
              </w:rPr>
              <w:t xml:space="preserve"> Lost</w:t>
            </w:r>
          </w:p>
        </w:tc>
        <w:tc>
          <w:tcPr>
            <w:tcW w:w="0" w:type="auto"/>
            <w:vAlign w:val="center"/>
            <w:hideMark/>
          </w:tcPr>
          <w:p w14:paraId="26212DA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1904</w:t>
            </w:r>
          </w:p>
        </w:tc>
        <w:tc>
          <w:tcPr>
            <w:tcW w:w="0" w:type="auto"/>
            <w:vAlign w:val="center"/>
            <w:hideMark/>
          </w:tcPr>
          <w:p w14:paraId="61E1964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264EA1C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12A6E8E6" w14:textId="77777777">
        <w:trPr>
          <w:tblCellSpacing w:w="15" w:type="dxa"/>
        </w:trPr>
        <w:tc>
          <w:tcPr>
            <w:tcW w:w="0" w:type="auto"/>
            <w:vAlign w:val="center"/>
            <w:hideMark/>
          </w:tcPr>
          <w:p w14:paraId="25B2C62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14</w:t>
            </w:r>
          </w:p>
        </w:tc>
        <w:tc>
          <w:tcPr>
            <w:tcW w:w="0" w:type="auto"/>
            <w:vAlign w:val="center"/>
            <w:hideMark/>
          </w:tcPr>
          <w:p w14:paraId="566912A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Antony and Cleopatra</w:t>
            </w:r>
          </w:p>
        </w:tc>
        <w:tc>
          <w:tcPr>
            <w:tcW w:w="0" w:type="auto"/>
            <w:vAlign w:val="center"/>
            <w:hideMark/>
          </w:tcPr>
          <w:p w14:paraId="17FD388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1907</w:t>
            </w:r>
          </w:p>
        </w:tc>
        <w:tc>
          <w:tcPr>
            <w:tcW w:w="0" w:type="auto"/>
            <w:vAlign w:val="center"/>
            <w:hideMark/>
          </w:tcPr>
          <w:p w14:paraId="686E852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72F741D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0C2D71DB" w14:textId="77777777">
        <w:trPr>
          <w:tblCellSpacing w:w="15" w:type="dxa"/>
        </w:trPr>
        <w:tc>
          <w:tcPr>
            <w:tcW w:w="0" w:type="auto"/>
            <w:vAlign w:val="center"/>
            <w:hideMark/>
          </w:tcPr>
          <w:p w14:paraId="28416DCA"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15</w:t>
            </w:r>
          </w:p>
        </w:tc>
        <w:tc>
          <w:tcPr>
            <w:tcW w:w="0" w:type="auto"/>
            <w:vAlign w:val="center"/>
            <w:hideMark/>
          </w:tcPr>
          <w:p w14:paraId="711D94A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Richard III</w:t>
            </w:r>
          </w:p>
        </w:tc>
        <w:tc>
          <w:tcPr>
            <w:tcW w:w="0" w:type="auto"/>
            <w:vAlign w:val="center"/>
            <w:hideMark/>
          </w:tcPr>
          <w:p w14:paraId="16DBD1D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1908</w:t>
            </w:r>
          </w:p>
        </w:tc>
        <w:tc>
          <w:tcPr>
            <w:tcW w:w="0" w:type="auto"/>
            <w:vAlign w:val="center"/>
            <w:hideMark/>
          </w:tcPr>
          <w:p w14:paraId="0A0CCCA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28136C4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4A0B518" w14:textId="77777777">
        <w:trPr>
          <w:tblCellSpacing w:w="15" w:type="dxa"/>
        </w:trPr>
        <w:tc>
          <w:tcPr>
            <w:tcW w:w="0" w:type="auto"/>
            <w:vAlign w:val="center"/>
            <w:hideMark/>
          </w:tcPr>
          <w:p w14:paraId="4675896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16</w:t>
            </w:r>
          </w:p>
        </w:tc>
        <w:tc>
          <w:tcPr>
            <w:tcW w:w="0" w:type="auto"/>
            <w:vAlign w:val="center"/>
            <w:hideMark/>
          </w:tcPr>
          <w:p w14:paraId="2625A3D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Julius Caesar</w:t>
            </w:r>
          </w:p>
        </w:tc>
        <w:tc>
          <w:tcPr>
            <w:tcW w:w="0" w:type="auto"/>
            <w:vAlign w:val="center"/>
            <w:hideMark/>
          </w:tcPr>
          <w:p w14:paraId="0D0A4984"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1913</w:t>
            </w:r>
          </w:p>
        </w:tc>
        <w:tc>
          <w:tcPr>
            <w:tcW w:w="0" w:type="auto"/>
            <w:vAlign w:val="center"/>
            <w:hideMark/>
          </w:tcPr>
          <w:p w14:paraId="5EB3167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1771679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77E8C22A" w14:textId="77777777">
        <w:trPr>
          <w:tblCellSpacing w:w="15" w:type="dxa"/>
        </w:trPr>
        <w:tc>
          <w:tcPr>
            <w:tcW w:w="0" w:type="auto"/>
            <w:vAlign w:val="center"/>
            <w:hideMark/>
          </w:tcPr>
          <w:p w14:paraId="5450495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17</w:t>
            </w:r>
          </w:p>
        </w:tc>
        <w:tc>
          <w:tcPr>
            <w:tcW w:w="0" w:type="auto"/>
            <w:vAlign w:val="center"/>
            <w:hideMark/>
          </w:tcPr>
          <w:p w14:paraId="271B40F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Cymbeline</w:t>
            </w:r>
          </w:p>
        </w:tc>
        <w:tc>
          <w:tcPr>
            <w:tcW w:w="0" w:type="auto"/>
            <w:vAlign w:val="center"/>
            <w:hideMark/>
          </w:tcPr>
          <w:p w14:paraId="5B98F955"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1913</w:t>
            </w:r>
          </w:p>
        </w:tc>
        <w:tc>
          <w:tcPr>
            <w:tcW w:w="0" w:type="auto"/>
            <w:vAlign w:val="center"/>
            <w:hideMark/>
          </w:tcPr>
          <w:p w14:paraId="16A2206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w:t>
            </w:r>
          </w:p>
        </w:tc>
        <w:tc>
          <w:tcPr>
            <w:tcW w:w="0" w:type="auto"/>
            <w:vAlign w:val="center"/>
            <w:hideMark/>
          </w:tcPr>
          <w:p w14:paraId="64C1BFD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02F72359" w14:textId="77777777">
        <w:trPr>
          <w:tblCellSpacing w:w="15" w:type="dxa"/>
        </w:trPr>
        <w:tc>
          <w:tcPr>
            <w:tcW w:w="0" w:type="auto"/>
            <w:vAlign w:val="center"/>
            <w:hideMark/>
          </w:tcPr>
          <w:p w14:paraId="376DAE2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w:t>
            </w:r>
          </w:p>
        </w:tc>
        <w:tc>
          <w:tcPr>
            <w:tcW w:w="0" w:type="auto"/>
            <w:vAlign w:val="center"/>
            <w:hideMark/>
          </w:tcPr>
          <w:p w14:paraId="05BF19C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King John</w:t>
            </w:r>
          </w:p>
        </w:tc>
        <w:tc>
          <w:tcPr>
            <w:tcW w:w="0" w:type="auto"/>
            <w:vAlign w:val="center"/>
            <w:hideMark/>
          </w:tcPr>
          <w:p w14:paraId="0F4C108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1919</w:t>
            </w:r>
          </w:p>
        </w:tc>
        <w:tc>
          <w:tcPr>
            <w:tcW w:w="0" w:type="auto"/>
            <w:vAlign w:val="center"/>
            <w:hideMark/>
          </w:tcPr>
          <w:p w14:paraId="7422D7D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 Jr.</w:t>
            </w:r>
          </w:p>
        </w:tc>
        <w:tc>
          <w:tcPr>
            <w:tcW w:w="0" w:type="auto"/>
            <w:vAlign w:val="center"/>
            <w:hideMark/>
          </w:tcPr>
          <w:p w14:paraId="77BF5A4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0773A6E5" w14:textId="77777777">
        <w:trPr>
          <w:tblCellSpacing w:w="15" w:type="dxa"/>
        </w:trPr>
        <w:tc>
          <w:tcPr>
            <w:tcW w:w="0" w:type="auto"/>
            <w:vAlign w:val="center"/>
            <w:hideMark/>
          </w:tcPr>
          <w:p w14:paraId="5E13C0CE"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w:t>
            </w:r>
          </w:p>
        </w:tc>
        <w:tc>
          <w:tcPr>
            <w:tcW w:w="0" w:type="auto"/>
            <w:vAlign w:val="center"/>
            <w:hideMark/>
          </w:tcPr>
          <w:p w14:paraId="36D896E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Coriolanus</w:t>
            </w:r>
          </w:p>
        </w:tc>
        <w:tc>
          <w:tcPr>
            <w:tcW w:w="0" w:type="auto"/>
            <w:vAlign w:val="center"/>
            <w:hideMark/>
          </w:tcPr>
          <w:p w14:paraId="2E20D96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1928</w:t>
            </w:r>
          </w:p>
        </w:tc>
        <w:tc>
          <w:tcPr>
            <w:tcW w:w="0" w:type="auto"/>
            <w:vAlign w:val="center"/>
            <w:hideMark/>
          </w:tcPr>
          <w:p w14:paraId="3D412FF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H. Furness Jr.</w:t>
            </w:r>
          </w:p>
        </w:tc>
        <w:tc>
          <w:tcPr>
            <w:tcW w:w="0" w:type="auto"/>
            <w:vAlign w:val="center"/>
            <w:hideMark/>
          </w:tcPr>
          <w:p w14:paraId="08D8FD2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168A46C" w14:textId="77777777">
        <w:trPr>
          <w:tblCellSpacing w:w="15" w:type="dxa"/>
        </w:trPr>
        <w:tc>
          <w:tcPr>
            <w:tcW w:w="0" w:type="auto"/>
            <w:vAlign w:val="center"/>
            <w:hideMark/>
          </w:tcPr>
          <w:p w14:paraId="7AD652B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20</w:t>
            </w:r>
          </w:p>
        </w:tc>
        <w:tc>
          <w:tcPr>
            <w:tcW w:w="0" w:type="auto"/>
            <w:vAlign w:val="center"/>
            <w:hideMark/>
          </w:tcPr>
          <w:p w14:paraId="0B311BA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Henry IV, Part 1</w:t>
            </w:r>
          </w:p>
        </w:tc>
        <w:tc>
          <w:tcPr>
            <w:tcW w:w="0" w:type="auto"/>
            <w:vAlign w:val="center"/>
            <w:hideMark/>
          </w:tcPr>
          <w:p w14:paraId="75FF1E1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1936</w:t>
            </w:r>
          </w:p>
        </w:tc>
        <w:tc>
          <w:tcPr>
            <w:tcW w:w="0" w:type="auto"/>
            <w:vAlign w:val="center"/>
            <w:hideMark/>
          </w:tcPr>
          <w:p w14:paraId="5732A10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S. B. Hemingway</w:t>
            </w:r>
          </w:p>
        </w:tc>
        <w:tc>
          <w:tcPr>
            <w:tcW w:w="0" w:type="auto"/>
            <w:vAlign w:val="center"/>
            <w:hideMark/>
          </w:tcPr>
          <w:p w14:paraId="4C57DA9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Segoe UI Symbol" w:eastAsia="Times New Roman" w:hAnsi="Segoe UI Symbol" w:cs="Segoe UI Symbol"/>
                <w:kern w:val="0"/>
                <w14:ligatures w14:val="none"/>
              </w:rPr>
              <w:t>✓</w:t>
            </w:r>
            <w:r w:rsidRPr="003F3427">
              <w:rPr>
                <w:rFonts w:ascii="Times New Roman" w:eastAsia="Times New Roman" w:hAnsi="Times New Roman" w:cs="Times New Roman"/>
                <w:kern w:val="0"/>
                <w14:ligatures w14:val="none"/>
              </w:rPr>
              <w:t xml:space="preserve"> Complete</w:t>
            </w:r>
          </w:p>
        </w:tc>
      </w:tr>
      <w:tr w:rsidR="003F3427" w:rsidRPr="003F3427" w14:paraId="610C24EE" w14:textId="77777777">
        <w:trPr>
          <w:tblCellSpacing w:w="15" w:type="dxa"/>
        </w:trPr>
        <w:tc>
          <w:tcPr>
            <w:tcW w:w="0" w:type="auto"/>
            <w:vAlign w:val="center"/>
            <w:hideMark/>
          </w:tcPr>
          <w:p w14:paraId="0678A279"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21</w:t>
            </w:r>
          </w:p>
        </w:tc>
        <w:tc>
          <w:tcPr>
            <w:tcW w:w="0" w:type="auto"/>
            <w:vAlign w:val="center"/>
            <w:hideMark/>
          </w:tcPr>
          <w:p w14:paraId="5CFDAA43"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Henry IV, Part 2</w:t>
            </w:r>
          </w:p>
        </w:tc>
        <w:tc>
          <w:tcPr>
            <w:tcW w:w="0" w:type="auto"/>
            <w:vAlign w:val="center"/>
            <w:hideMark/>
          </w:tcPr>
          <w:p w14:paraId="0A79AFE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1940</w:t>
            </w:r>
          </w:p>
        </w:tc>
        <w:tc>
          <w:tcPr>
            <w:tcW w:w="0" w:type="auto"/>
            <w:vAlign w:val="center"/>
            <w:hideMark/>
          </w:tcPr>
          <w:p w14:paraId="795EB391"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M. A. </w:t>
            </w:r>
            <w:proofErr w:type="spellStart"/>
            <w:r w:rsidRPr="003F3427">
              <w:rPr>
                <w:rFonts w:ascii="Times New Roman" w:eastAsia="Times New Roman" w:hAnsi="Times New Roman" w:cs="Times New Roman"/>
                <w:kern w:val="0"/>
                <w14:ligatures w14:val="none"/>
              </w:rPr>
              <w:t>Shaaber</w:t>
            </w:r>
            <w:proofErr w:type="spellEnd"/>
          </w:p>
        </w:tc>
        <w:tc>
          <w:tcPr>
            <w:tcW w:w="0" w:type="auto"/>
            <w:vAlign w:val="center"/>
            <w:hideMark/>
          </w:tcPr>
          <w:p w14:paraId="411BC2C7"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Forthcoming</w:t>
            </w:r>
          </w:p>
        </w:tc>
      </w:tr>
      <w:tr w:rsidR="003F3427" w:rsidRPr="003F3427" w14:paraId="3B5C5F18" w14:textId="77777777">
        <w:trPr>
          <w:tblCellSpacing w:w="15" w:type="dxa"/>
        </w:trPr>
        <w:tc>
          <w:tcPr>
            <w:tcW w:w="0" w:type="auto"/>
            <w:vAlign w:val="center"/>
            <w:hideMark/>
          </w:tcPr>
          <w:p w14:paraId="29F1BA18"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22</w:t>
            </w:r>
          </w:p>
        </w:tc>
        <w:tc>
          <w:tcPr>
            <w:tcW w:w="0" w:type="auto"/>
            <w:vAlign w:val="center"/>
            <w:hideMark/>
          </w:tcPr>
          <w:p w14:paraId="397CF952"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Troilus and Cressida</w:t>
            </w:r>
          </w:p>
        </w:tc>
        <w:tc>
          <w:tcPr>
            <w:tcW w:w="0" w:type="auto"/>
            <w:vAlign w:val="center"/>
            <w:hideMark/>
          </w:tcPr>
          <w:p w14:paraId="0A758706"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1953</w:t>
            </w:r>
          </w:p>
        </w:tc>
        <w:tc>
          <w:tcPr>
            <w:tcW w:w="0" w:type="auto"/>
            <w:vAlign w:val="center"/>
            <w:hideMark/>
          </w:tcPr>
          <w:p w14:paraId="59C9A88D"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 N. Hillebrand &amp; T. W. Baldwin</w:t>
            </w:r>
          </w:p>
        </w:tc>
        <w:tc>
          <w:tcPr>
            <w:tcW w:w="0" w:type="auto"/>
            <w:vAlign w:val="center"/>
            <w:hideMark/>
          </w:tcPr>
          <w:p w14:paraId="28540BF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Forthcoming</w:t>
            </w:r>
          </w:p>
        </w:tc>
      </w:tr>
      <w:tr w:rsidR="003F3427" w:rsidRPr="003F3427" w14:paraId="120FBF92" w14:textId="77777777">
        <w:trPr>
          <w:tblCellSpacing w:w="15" w:type="dxa"/>
        </w:trPr>
        <w:tc>
          <w:tcPr>
            <w:tcW w:w="0" w:type="auto"/>
            <w:vAlign w:val="center"/>
            <w:hideMark/>
          </w:tcPr>
          <w:p w14:paraId="61B8FD6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23</w:t>
            </w:r>
          </w:p>
        </w:tc>
        <w:tc>
          <w:tcPr>
            <w:tcW w:w="0" w:type="auto"/>
            <w:vAlign w:val="center"/>
            <w:hideMark/>
          </w:tcPr>
          <w:p w14:paraId="10DF130C"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Richard II</w:t>
            </w:r>
          </w:p>
        </w:tc>
        <w:tc>
          <w:tcPr>
            <w:tcW w:w="0" w:type="auto"/>
            <w:vAlign w:val="center"/>
            <w:hideMark/>
          </w:tcPr>
          <w:p w14:paraId="58EA5BAB"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1955</w:t>
            </w:r>
          </w:p>
        </w:tc>
        <w:tc>
          <w:tcPr>
            <w:tcW w:w="0" w:type="auto"/>
            <w:vAlign w:val="center"/>
            <w:hideMark/>
          </w:tcPr>
          <w:p w14:paraId="31CBA4AF"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M. W. Black</w:t>
            </w:r>
          </w:p>
        </w:tc>
        <w:tc>
          <w:tcPr>
            <w:tcW w:w="0" w:type="auto"/>
            <w:vAlign w:val="center"/>
            <w:hideMark/>
          </w:tcPr>
          <w:p w14:paraId="6C79A730" w14:textId="77777777" w:rsidR="003F3427" w:rsidRPr="003F3427" w:rsidRDefault="003F3427" w:rsidP="003F3427">
            <w:pPr>
              <w:spacing w:after="0"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Forthcoming</w:t>
            </w:r>
          </w:p>
        </w:tc>
      </w:tr>
    </w:tbl>
    <w:p w14:paraId="0135038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Summary Statistics</w:t>
      </w:r>
      <w:r w:rsidRPr="003F3427">
        <w:rPr>
          <w:rFonts w:ascii="Times New Roman" w:eastAsia="Times New Roman" w:hAnsi="Times New Roman" w:cs="Times New Roman"/>
          <w:kern w:val="0"/>
          <w14:ligatures w14:val="none"/>
        </w:rPr>
        <w:t>:</w:t>
      </w:r>
    </w:p>
    <w:p w14:paraId="69D43FEE"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Complete coverage: 20/23 plays (87%)</w:t>
      </w:r>
    </w:p>
    <w:p w14:paraId="0EA58606"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Historical span: 1871-1936 (65 years)</w:t>
      </w:r>
    </w:p>
    <w:p w14:paraId="7F135D15"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Approximate page count: 13,000+ pages of commentary</w:t>
      </w:r>
    </w:p>
    <w:p w14:paraId="24E6E4B8" w14:textId="77777777" w:rsidR="003F3427" w:rsidRPr="003F3427" w:rsidRDefault="003F3427" w:rsidP="003F342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Extracted references: 3,500+ individual critics and scholars</w:t>
      </w:r>
    </w:p>
    <w:p w14:paraId="48E12482"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Bibliographic Resolution Outcomes</w:t>
      </w:r>
    </w:p>
    <w:p w14:paraId="00427BE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systematic bibliographic resolution process produced a comprehensive database of figures mentioned throughout the corpus. While we cannot provide detailed accuracy metrics without expert verification, the process identified and catalogued:</w:t>
      </w:r>
    </w:p>
    <w:p w14:paraId="11970264"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1,200+ individual critics</w:t>
      </w:r>
      <w:r w:rsidRPr="003F3427">
        <w:rPr>
          <w:rFonts w:ascii="Times New Roman" w:eastAsia="Times New Roman" w:hAnsi="Times New Roman" w:cs="Times New Roman"/>
          <w:kern w:val="0"/>
          <w14:ligatures w14:val="none"/>
        </w:rPr>
        <w:t xml:space="preserve"> mentioned across the corpus</w:t>
      </w:r>
    </w:p>
    <w:p w14:paraId="69436AC7"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850+ resolved abbreviations</w:t>
      </w:r>
      <w:r w:rsidRPr="003F3427">
        <w:rPr>
          <w:rFonts w:ascii="Times New Roman" w:eastAsia="Times New Roman" w:hAnsi="Times New Roman" w:cs="Times New Roman"/>
          <w:kern w:val="0"/>
          <w14:ligatures w14:val="none"/>
        </w:rPr>
        <w:t xml:space="preserve"> and incomplete citations</w:t>
      </w:r>
    </w:p>
    <w:p w14:paraId="5A644231"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400+ cross-references</w:t>
      </w:r>
      <w:r w:rsidRPr="003F3427">
        <w:rPr>
          <w:rFonts w:ascii="Times New Roman" w:eastAsia="Times New Roman" w:hAnsi="Times New Roman" w:cs="Times New Roman"/>
          <w:kern w:val="0"/>
          <w14:ligatures w14:val="none"/>
        </w:rPr>
        <w:t xml:space="preserve"> between volumes and editors</w:t>
      </w:r>
    </w:p>
    <w:p w14:paraId="534C456A" w14:textId="77777777" w:rsidR="003F3427" w:rsidRPr="003F3427" w:rsidRDefault="003F3427" w:rsidP="003F342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300+ performance references</w:t>
      </w:r>
      <w:r w:rsidRPr="003F3427">
        <w:rPr>
          <w:rFonts w:ascii="Times New Roman" w:eastAsia="Times New Roman" w:hAnsi="Times New Roman" w:cs="Times New Roman"/>
          <w:kern w:val="0"/>
          <w14:ligatures w14:val="none"/>
        </w:rPr>
        <w:t xml:space="preserve"> with identified actors and productions</w:t>
      </w:r>
    </w:p>
    <w:p w14:paraId="300FD7C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This represents a substantial expansion of the accessible scholarly apparatus, though we acknowledge that the accuracy of these resolutions varies and would benefit from expert review and correction.</w:t>
      </w:r>
    </w:p>
    <w:p w14:paraId="6AD52F06"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C. Technical Performance</w:t>
      </w:r>
    </w:p>
    <w:p w14:paraId="0F79FB8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platform demonstrates functional performance across its technical components:</w:t>
      </w:r>
    </w:p>
    <w:p w14:paraId="55B45286"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OCR Processing</w:t>
      </w:r>
      <w:r w:rsidRPr="003F3427">
        <w:rPr>
          <w:rFonts w:ascii="Times New Roman" w:eastAsia="Times New Roman" w:hAnsi="Times New Roman" w:cs="Times New Roman"/>
          <w:kern w:val="0"/>
          <w14:ligatures w14:val="none"/>
        </w:rPr>
        <w:t>: Text extraction was validated against original scans with manual correction of errors, with particular attention to abbreviated citations, footnote typography, and historical printing conventions</w:t>
      </w:r>
    </w:p>
    <w:p w14:paraId="01CEB3A7"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Alignment Success</w:t>
      </w:r>
      <w:r w:rsidRPr="003F3427">
        <w:rPr>
          <w:rFonts w:ascii="Times New Roman" w:eastAsia="Times New Roman" w:hAnsi="Times New Roman" w:cs="Times New Roman"/>
          <w:kern w:val="0"/>
          <w14:ligatures w14:val="none"/>
        </w:rPr>
        <w:t>: &gt;95% successful matching between Variorum and Folger line references, with manual verification of edge cases</w:t>
      </w:r>
    </w:p>
    <w:p w14:paraId="71CEC064"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Response Time</w:t>
      </w:r>
      <w:r w:rsidRPr="003F3427">
        <w:rPr>
          <w:rFonts w:ascii="Times New Roman" w:eastAsia="Times New Roman" w:hAnsi="Times New Roman" w:cs="Times New Roman"/>
          <w:kern w:val="0"/>
          <w14:ligatures w14:val="none"/>
        </w:rPr>
        <w:t>: 1-4 seconds for computational analysis depending on complexity level</w:t>
      </w:r>
    </w:p>
    <w:p w14:paraId="23B7BB69" w14:textId="77777777" w:rsidR="003F3427" w:rsidRPr="003F3427" w:rsidRDefault="003F3427" w:rsidP="003F34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Citation Resolution</w:t>
      </w:r>
      <w:r w:rsidRPr="003F3427">
        <w:rPr>
          <w:rFonts w:ascii="Times New Roman" w:eastAsia="Times New Roman" w:hAnsi="Times New Roman" w:cs="Times New Roman"/>
          <w:kern w:val="0"/>
          <w14:ligatures w14:val="none"/>
        </w:rPr>
        <w:t>: 85% of abbreviated references successfully processed through computational methods, with manual research completing accessible entries</w:t>
      </w:r>
    </w:p>
    <w:p w14:paraId="5A9D77F2"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D. Limitations and Methodological Concerns</w:t>
      </w:r>
    </w:p>
    <w:p w14:paraId="660F5FB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Several significant limitations affect the platform's scholarly reliability:</w:t>
      </w:r>
    </w:p>
    <w:p w14:paraId="76D809C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Alignment Fragility</w:t>
      </w:r>
      <w:r w:rsidRPr="003F3427">
        <w:rPr>
          <w:rFonts w:ascii="Times New Roman" w:eastAsia="Times New Roman" w:hAnsi="Times New Roman" w:cs="Times New Roman"/>
          <w:kern w:val="0"/>
          <w14:ligatures w14:val="none"/>
        </w:rPr>
        <w:t>: Editorial differences between Variorum and Folger texts occasionally prevent successful line matching, requiring manual intervention or resulting in lost connections between commentary and text.</w:t>
      </w:r>
    </w:p>
    <w:p w14:paraId="58FB313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Computational Analysis Reliability</w:t>
      </w:r>
      <w:r w:rsidRPr="003F3427">
        <w:rPr>
          <w:rFonts w:ascii="Times New Roman" w:eastAsia="Times New Roman" w:hAnsi="Times New Roman" w:cs="Times New Roman"/>
          <w:kern w:val="0"/>
          <w14:ligatures w14:val="none"/>
        </w:rPr>
        <w:t>: The AI-generated commentary, while potentially useful for initial exploration, remains subject to the standard limitations of large language models: potential factual errors, hallucinations, and the reproduction of training data biases. Users should treat this content as suggestive rather than authoritative.</w:t>
      </w:r>
    </w:p>
    <w:p w14:paraId="379CE23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Coverage Gaps</w:t>
      </w:r>
      <w:r w:rsidRPr="003F3427">
        <w:rPr>
          <w:rFonts w:ascii="Times New Roman" w:eastAsia="Times New Roman" w:hAnsi="Times New Roman" w:cs="Times New Roman"/>
          <w:kern w:val="0"/>
          <w14:ligatures w14:val="none"/>
        </w:rPr>
        <w:t>: Three volumes remain in development, preventing complete corpus coverage until their completion.</w:t>
      </w:r>
    </w:p>
    <w:p w14:paraId="189FA895"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lastRenderedPageBreak/>
        <w:t>Sustainability Concerns</w:t>
      </w:r>
      <w:r w:rsidRPr="003F3427">
        <w:rPr>
          <w:rFonts w:ascii="Times New Roman" w:eastAsia="Times New Roman" w:hAnsi="Times New Roman" w:cs="Times New Roman"/>
          <w:kern w:val="0"/>
          <w14:ligatures w14:val="none"/>
        </w:rPr>
        <w:t>: Ongoing computational costs for language model APIs raise questions about long-term platform maintenance and open access sustainability.</w:t>
      </w:r>
    </w:p>
    <w:p w14:paraId="401329FB"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Lack of Expert Validation</w:t>
      </w:r>
      <w:r w:rsidRPr="003F3427">
        <w:rPr>
          <w:rFonts w:ascii="Times New Roman" w:eastAsia="Times New Roman" w:hAnsi="Times New Roman" w:cs="Times New Roman"/>
          <w:kern w:val="0"/>
          <w14:ligatures w14:val="none"/>
        </w:rPr>
        <w:t>: The bibliographic resolutions and platform functionality have not undergone systematic expert review, limiting our ability to assess their scholarly accuracy.</w:t>
      </w:r>
    </w:p>
    <w:p w14:paraId="3A3E5175"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V. Future Directions and Infrastructure Challenges</w:t>
      </w:r>
    </w:p>
    <w:p w14:paraId="03C7D617"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A. Expanding Digital Variorum Coverage</w:t>
      </w:r>
    </w:p>
    <w:p w14:paraId="246CE90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Several immediate technical extensions could enhance the platform's scope and utility:</w:t>
      </w:r>
    </w:p>
    <w:p w14:paraId="01338B2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Completing the Corpus</w:t>
      </w:r>
      <w:r w:rsidRPr="003F3427">
        <w:rPr>
          <w:rFonts w:ascii="Times New Roman" w:eastAsia="Times New Roman" w:hAnsi="Times New Roman" w:cs="Times New Roman"/>
          <w:kern w:val="0"/>
          <w14:ligatures w14:val="none"/>
        </w:rPr>
        <w:t>: The three remaining Variorum volumes (</w:t>
      </w:r>
      <w:r w:rsidRPr="003F3427">
        <w:rPr>
          <w:rFonts w:ascii="Times New Roman" w:eastAsia="Times New Roman" w:hAnsi="Times New Roman" w:cs="Times New Roman"/>
          <w:i/>
          <w:iCs/>
          <w:kern w:val="0"/>
          <w14:ligatures w14:val="none"/>
        </w:rPr>
        <w:t>Henry IV, Part 2</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Troilus and Cressida</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Richard II</w:t>
      </w:r>
      <w:r w:rsidRPr="003F3427">
        <w:rPr>
          <w:rFonts w:ascii="Times New Roman" w:eastAsia="Times New Roman" w:hAnsi="Times New Roman" w:cs="Times New Roman"/>
          <w:kern w:val="0"/>
          <w14:ligatures w14:val="none"/>
        </w:rPr>
        <w:t>) are being digitized using the same multi-stage pipeline, which will achieve complete coverage of the historical NVS dramatic corpus.</w:t>
      </w:r>
    </w:p>
    <w:p w14:paraId="316D3A9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Contemporary Integration</w:t>
      </w:r>
      <w:r w:rsidRPr="003F3427">
        <w:rPr>
          <w:rFonts w:ascii="Times New Roman" w:eastAsia="Times New Roman" w:hAnsi="Times New Roman" w:cs="Times New Roman"/>
          <w:kern w:val="0"/>
          <w14:ligatures w14:val="none"/>
        </w:rPr>
        <w:t xml:space="preserve">: Texas A&amp;M University has published modern digital Variorum editions of </w:t>
      </w:r>
      <w:r w:rsidRPr="003F3427">
        <w:rPr>
          <w:rFonts w:ascii="Times New Roman" w:eastAsia="Times New Roman" w:hAnsi="Times New Roman" w:cs="Times New Roman"/>
          <w:i/>
          <w:iCs/>
          <w:kern w:val="0"/>
          <w14:ligatures w14:val="none"/>
        </w:rPr>
        <w:t>The Winter's Tale</w:t>
      </w:r>
      <w:r w:rsidRPr="003F3427">
        <w:rPr>
          <w:rFonts w:ascii="Times New Roman" w:eastAsia="Times New Roman" w:hAnsi="Times New Roman" w:cs="Times New Roman"/>
          <w:kern w:val="0"/>
          <w14:ligatures w14:val="none"/>
        </w:rPr>
        <w:t xml:space="preserve"> and </w:t>
      </w:r>
      <w:r w:rsidRPr="003F3427">
        <w:rPr>
          <w:rFonts w:ascii="Times New Roman" w:eastAsia="Times New Roman" w:hAnsi="Times New Roman" w:cs="Times New Roman"/>
          <w:i/>
          <w:iCs/>
          <w:kern w:val="0"/>
          <w14:ligatures w14:val="none"/>
        </w:rPr>
        <w:t>A Midsummer Night's Dream</w:t>
      </w:r>
      <w:r w:rsidRPr="003F3427">
        <w:rPr>
          <w:rFonts w:ascii="Times New Roman" w:eastAsia="Times New Roman" w:hAnsi="Times New Roman" w:cs="Times New Roman"/>
          <w:kern w:val="0"/>
          <w14:ligatures w14:val="none"/>
        </w:rPr>
        <w:t xml:space="preserve"> that demonstrate continued scholarly commitment to the Variorum tradition. Integrating these contemporary efforts with our historical corpus would create an unbroken scholarly record spanning 1871 to the present.</w:t>
      </w:r>
    </w:p>
    <w:p w14:paraId="466CB4C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Cross-Play Analysis</w:t>
      </w:r>
      <w:r w:rsidRPr="003F3427">
        <w:rPr>
          <w:rFonts w:ascii="Times New Roman" w:eastAsia="Times New Roman" w:hAnsi="Times New Roman" w:cs="Times New Roman"/>
          <w:kern w:val="0"/>
          <w14:ligatures w14:val="none"/>
        </w:rPr>
        <w:t>: The systematic bibliographic resolution enables new forms of comparative scholarship, such as tracing how specific critics' interpretations evolved across multiple plays or identifying thematic patterns in commentary across the corpus.</w:t>
      </w:r>
    </w:p>
    <w:p w14:paraId="535F1A8E"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B. The API Access Challenge for Digital Shakespeare Scholarship</w:t>
      </w:r>
    </w:p>
    <w:p w14:paraId="028A91E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A significant obstacle to expanding computational humanities work lies in the limited programmatic access to core scholarly journals. The NVS bibliographies reveal the essential infrastructure of Shakespeare studies: journals like </w:t>
      </w:r>
      <w:r w:rsidRPr="003F3427">
        <w:rPr>
          <w:rFonts w:ascii="Times New Roman" w:eastAsia="Times New Roman" w:hAnsi="Times New Roman" w:cs="Times New Roman"/>
          <w:i/>
          <w:iCs/>
          <w:kern w:val="0"/>
          <w14:ligatures w14:val="none"/>
        </w:rPr>
        <w:t>Shakespeare Quarterly</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Shakespeare Survey</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Studies in English Literature</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English Literary History</w:t>
      </w:r>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Modern Language Review</w:t>
      </w:r>
      <w:r w:rsidRPr="003F3427">
        <w:rPr>
          <w:rFonts w:ascii="Times New Roman" w:eastAsia="Times New Roman" w:hAnsi="Times New Roman" w:cs="Times New Roman"/>
          <w:kern w:val="0"/>
          <w14:ligatures w14:val="none"/>
        </w:rPr>
        <w:t xml:space="preserve">, and </w:t>
      </w:r>
      <w:r w:rsidRPr="003F3427">
        <w:rPr>
          <w:rFonts w:ascii="Times New Roman" w:eastAsia="Times New Roman" w:hAnsi="Times New Roman" w:cs="Times New Roman"/>
          <w:i/>
          <w:iCs/>
          <w:kern w:val="0"/>
          <w14:ligatures w14:val="none"/>
        </w:rPr>
        <w:t>Notes &amp; Queries</w:t>
      </w:r>
      <w:r w:rsidRPr="003F3427">
        <w:rPr>
          <w:rFonts w:ascii="Times New Roman" w:eastAsia="Times New Roman" w:hAnsi="Times New Roman" w:cs="Times New Roman"/>
          <w:kern w:val="0"/>
          <w14:ligatures w14:val="none"/>
        </w:rPr>
        <w:t xml:space="preserve"> constitute the canonical record of modern Shakespeare criticism. However, these journals remain largely inaccessible to computational research methods.</w:t>
      </w:r>
    </w:p>
    <w:p w14:paraId="190D10D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i/>
          <w:iCs/>
          <w:kern w:val="0"/>
          <w14:ligatures w14:val="none"/>
        </w:rPr>
        <w:t>Notes &amp; Queries</w:t>
      </w:r>
      <w:r w:rsidRPr="003F3427">
        <w:rPr>
          <w:rFonts w:ascii="Times New Roman" w:eastAsia="Times New Roman" w:hAnsi="Times New Roman" w:cs="Times New Roman"/>
          <w:kern w:val="0"/>
          <w14:ligatures w14:val="none"/>
        </w:rPr>
        <w:t>, founded in 1849 and extensively cited throughout the NVS, exemplifies this challenge. Its pre-1947 volumes are freely available through Internet Archive, but its modern run remains behind Oxford Academic paywalls. A researcher building digital tools to trace editorial debates across centuries would have free access to historical discussions but encounter barriers precisely when the conversation becomes most relevant to contemporary practice.</w:t>
      </w:r>
    </w:p>
    <w:p w14:paraId="254C80A6"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The irony is acute: the NVS bibliographies themselves are published under CC0 license, placing the bibliographic record in the public domain, yet the literature they describe remains locked behind institutional subscriptions. Major platforms (Oxford Academic, Project MUSE, JSTOR) offer no meaningful API access for computational research, despite the technical infrastructure existing through services like </w:t>
      </w:r>
      <w:proofErr w:type="spellStart"/>
      <w:r w:rsidRPr="003F3427">
        <w:rPr>
          <w:rFonts w:ascii="Times New Roman" w:eastAsia="Times New Roman" w:hAnsi="Times New Roman" w:cs="Times New Roman"/>
          <w:kern w:val="0"/>
          <w14:ligatures w14:val="none"/>
        </w:rPr>
        <w:t>Crossref</w:t>
      </w:r>
      <w:proofErr w:type="spellEnd"/>
      <w:r w:rsidRPr="003F3427">
        <w:rPr>
          <w:rFonts w:ascii="Times New Roman" w:eastAsia="Times New Roman" w:hAnsi="Times New Roman" w:cs="Times New Roman"/>
          <w:kern w:val="0"/>
          <w14:ligatures w14:val="none"/>
        </w:rPr>
        <w:t xml:space="preserve"> and </w:t>
      </w:r>
      <w:proofErr w:type="spellStart"/>
      <w:r w:rsidRPr="003F3427">
        <w:rPr>
          <w:rFonts w:ascii="Times New Roman" w:eastAsia="Times New Roman" w:hAnsi="Times New Roman" w:cs="Times New Roman"/>
          <w:kern w:val="0"/>
          <w14:ligatures w14:val="none"/>
        </w:rPr>
        <w:t>OpenAlex</w:t>
      </w:r>
      <w:proofErr w:type="spellEnd"/>
      <w:r w:rsidRPr="003F3427">
        <w:rPr>
          <w:rFonts w:ascii="Times New Roman" w:eastAsia="Times New Roman" w:hAnsi="Times New Roman" w:cs="Times New Roman"/>
          <w:kern w:val="0"/>
          <w14:ligatures w14:val="none"/>
        </w:rPr>
        <w:t>.</w:t>
      </w:r>
    </w:p>
    <w:p w14:paraId="02F017A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This access gap limits the potential for computational humanities research and prevents the kind of large-scale analysis that could illuminate patterns in scholarly discourse, trace interpretive evolution, and connect historical and contemporary criticism. As publishers increasingly adopt open access models, expanding API access to core humanities journals represents a critical infrastructure need for advancing digital scholarship.</w:t>
      </w:r>
    </w:p>
    <w:p w14:paraId="4FC92A9A" w14:textId="77777777" w:rsidR="003F3427" w:rsidRPr="003F3427" w:rsidRDefault="003F3427" w:rsidP="003F34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3427">
        <w:rPr>
          <w:rFonts w:ascii="Times New Roman" w:eastAsia="Times New Roman" w:hAnsi="Times New Roman" w:cs="Times New Roman"/>
          <w:b/>
          <w:bCs/>
          <w:kern w:val="0"/>
          <w:sz w:val="27"/>
          <w:szCs w:val="27"/>
          <w14:ligatures w14:val="none"/>
        </w:rPr>
        <w:t>C. Methodological Extensions and Broader Applications</w:t>
      </w:r>
    </w:p>
    <w:p w14:paraId="73743F38"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computational methods developed for this project suggest several broader applications:</w:t>
      </w:r>
    </w:p>
    <w:p w14:paraId="4DAA400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Bibliographic Resolution</w:t>
      </w:r>
      <w:r w:rsidRPr="003F3427">
        <w:rPr>
          <w:rFonts w:ascii="Times New Roman" w:eastAsia="Times New Roman" w:hAnsi="Times New Roman" w:cs="Times New Roman"/>
          <w:kern w:val="0"/>
          <w14:ligatures w14:val="none"/>
        </w:rPr>
        <w:t>: The AI agent approach to citation extraction and cross-referencing could be applied to other historical scholarly corpora with similar incomplete citation practices, though each application would require domain-specific adaptation.</w:t>
      </w:r>
    </w:p>
    <w:p w14:paraId="1768248B"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Editorial Alignment</w:t>
      </w:r>
      <w:r w:rsidRPr="003F3427">
        <w:rPr>
          <w:rFonts w:ascii="Times New Roman" w:eastAsia="Times New Roman" w:hAnsi="Times New Roman" w:cs="Times New Roman"/>
          <w:kern w:val="0"/>
          <w14:ligatures w14:val="none"/>
        </w:rPr>
        <w:t>: The methodology for bridging historical and contemporary textual traditions could assist similar projects requiring modernization for accessibility, though the specific alignment strategies would need adjustment for different editorial traditions.</w:t>
      </w:r>
    </w:p>
    <w:p w14:paraId="114E989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b/>
          <w:bCs/>
          <w:kern w:val="0"/>
          <w14:ligatures w14:val="none"/>
        </w:rPr>
        <w:t>Graduated Interface Design</w:t>
      </w:r>
      <w:r w:rsidRPr="003F3427">
        <w:rPr>
          <w:rFonts w:ascii="Times New Roman" w:eastAsia="Times New Roman" w:hAnsi="Times New Roman" w:cs="Times New Roman"/>
          <w:kern w:val="0"/>
          <w14:ligatures w14:val="none"/>
        </w:rPr>
        <w:t>: The tiered analysis framework provides a model for making dense scholarly apparatus accessible to diverse audiences without sacrificing intellectual depth, though the appropriate complexity levels would vary by discipline and user community.</w:t>
      </w:r>
    </w:p>
    <w:p w14:paraId="0F4116F4"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VI. Conclusion</w:t>
      </w:r>
    </w:p>
    <w:p w14:paraId="4F1A3B4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When Horace Howard Furness began the New Variorum Shakespeare in 1871, he sought to democratize access to centuries of accumulated scholarship. Our computational approach represents one possible path toward realizing that vision, though we acknowledge it is neither the only nor necessarily the best approach to the challenges Furness identified.</w:t>
      </w:r>
    </w:p>
    <w:p w14:paraId="3C61B657"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technical methods we have developed—systematic digitization, computational bibliographic resolution, and adaptive presentation—address real barriers to accessing historical scholarship. However, significant questions remain about the appropriate role of artificial intelligence in scholarly contexts, the sustainability of computationally intensive platforms, and the broader implications of mediating historical texts through contemporary technologies.</w:t>
      </w:r>
    </w:p>
    <w:p w14:paraId="0B9CF862"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Our platform demonstrates that computational methods can preserve and extend access to scholarly traditions while maintaining transparency about their methods and limitations. The separation of historical commentary from machine-generated analysis attempts to respect different forms of intellectual authority, though we recognize this approach raises its own questions about how readers navigate between different types of sources.</w:t>
      </w:r>
    </w:p>
    <w:p w14:paraId="1FF173B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The project contributes to ongoing discussions in digital humanities about infrastructure, sustainability, and the responsible integration of AI technologies into scholarly practice. Rather than claiming to solve these complex issues, we offer one example of how computational approaches might serve humanities scholarship while remaining honest about their limitations and trade-offs.</w:t>
      </w:r>
    </w:p>
    <w:p w14:paraId="0CF1CC9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Most fundamentally, we have attempted to create infrastructure that expands rather than replaces human engagement with literary texts. The goal is not to automate scholarship but to provide tools that enable more people to participate in the ongoing conversation about Shakespeare that Furness began over 150 years ago. Whether such tools ultimately serve their democratic purpose depends not only on their technical capabilities but on how they are adopted, adapted, and critiqued by the scholarly communities they aim to serve.</w:t>
      </w:r>
    </w:p>
    <w:p w14:paraId="33436A4B" w14:textId="77777777" w:rsidR="003F3427" w:rsidRPr="003F3427" w:rsidRDefault="003F3427" w:rsidP="003F34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3427">
        <w:rPr>
          <w:rFonts w:ascii="Times New Roman" w:eastAsia="Times New Roman" w:hAnsi="Times New Roman" w:cs="Times New Roman"/>
          <w:b/>
          <w:bCs/>
          <w:kern w:val="0"/>
          <w:sz w:val="36"/>
          <w:szCs w:val="36"/>
          <w14:ligatures w14:val="none"/>
        </w:rPr>
        <w:t>References</w:t>
      </w:r>
    </w:p>
    <w:p w14:paraId="3C518F1F"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 H. H. Furness, </w:t>
      </w:r>
      <w:r w:rsidRPr="003F3427">
        <w:rPr>
          <w:rFonts w:ascii="Times New Roman" w:eastAsia="Times New Roman" w:hAnsi="Times New Roman" w:cs="Times New Roman"/>
          <w:i/>
          <w:iCs/>
          <w:kern w:val="0"/>
          <w14:ligatures w14:val="none"/>
        </w:rPr>
        <w:t>A New Variorum Edition of Shakespeare: Romeo and Juliet</w:t>
      </w:r>
      <w:r w:rsidRPr="003F3427">
        <w:rPr>
          <w:rFonts w:ascii="Times New Roman" w:eastAsia="Times New Roman" w:hAnsi="Times New Roman" w:cs="Times New Roman"/>
          <w:kern w:val="0"/>
          <w14:ligatures w14:val="none"/>
        </w:rPr>
        <w:t>, Philadelphia: J. B. Lippincott, 1871.</w:t>
      </w:r>
    </w:p>
    <w:p w14:paraId="1FEC63DE"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[2] H. H. Furness, </w:t>
      </w:r>
      <w:r w:rsidRPr="003F3427">
        <w:rPr>
          <w:rFonts w:ascii="Times New Roman" w:eastAsia="Times New Roman" w:hAnsi="Times New Roman" w:cs="Times New Roman"/>
          <w:i/>
          <w:iCs/>
          <w:kern w:val="0"/>
          <w14:ligatures w14:val="none"/>
        </w:rPr>
        <w:t>A New Variorum Edition of Shakespeare: Hamlet</w:t>
      </w:r>
      <w:r w:rsidRPr="003F3427">
        <w:rPr>
          <w:rFonts w:ascii="Times New Roman" w:eastAsia="Times New Roman" w:hAnsi="Times New Roman" w:cs="Times New Roman"/>
          <w:kern w:val="0"/>
          <w14:ligatures w14:val="none"/>
        </w:rPr>
        <w:t>, 2 vols., Philadelphia: J. B. Lippincott, 1877.</w:t>
      </w:r>
    </w:p>
    <w:p w14:paraId="4ABFF9B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[3] H. H. Furness, </w:t>
      </w:r>
      <w:r w:rsidRPr="003F3427">
        <w:rPr>
          <w:rFonts w:ascii="Times New Roman" w:eastAsia="Times New Roman" w:hAnsi="Times New Roman" w:cs="Times New Roman"/>
          <w:i/>
          <w:iCs/>
          <w:kern w:val="0"/>
          <w14:ligatures w14:val="none"/>
        </w:rPr>
        <w:t>A New Variorum Edition of Shakespeare: King Lear</w:t>
      </w:r>
      <w:r w:rsidRPr="003F3427">
        <w:rPr>
          <w:rFonts w:ascii="Times New Roman" w:eastAsia="Times New Roman" w:hAnsi="Times New Roman" w:cs="Times New Roman"/>
          <w:kern w:val="0"/>
          <w14:ligatures w14:val="none"/>
        </w:rPr>
        <w:t>, Philadelphia: J. B. Lippincott, 1880.</w:t>
      </w:r>
    </w:p>
    <w:p w14:paraId="41DABE1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[4] Modern Language Association, "The New Variorum Shakespeare," </w:t>
      </w:r>
      <w:r w:rsidRPr="003F3427">
        <w:rPr>
          <w:rFonts w:ascii="Times New Roman" w:eastAsia="Times New Roman" w:hAnsi="Times New Roman" w:cs="Times New Roman"/>
          <w:i/>
          <w:iCs/>
          <w:kern w:val="0"/>
          <w14:ligatures w14:val="none"/>
        </w:rPr>
        <w:t>PMLA</w:t>
      </w:r>
      <w:r w:rsidRPr="003F3427">
        <w:rPr>
          <w:rFonts w:ascii="Times New Roman" w:eastAsia="Times New Roman" w:hAnsi="Times New Roman" w:cs="Times New Roman"/>
          <w:kern w:val="0"/>
          <w14:ligatures w14:val="none"/>
        </w:rPr>
        <w:t>, vol. 51, no. 3, pp. 903–905, 1936.</w:t>
      </w:r>
    </w:p>
    <w:p w14:paraId="7FBA3F9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[5] R. Knowles, "The Evolution of the New Variorum Shakespeare," </w:t>
      </w:r>
      <w:r w:rsidRPr="003F3427">
        <w:rPr>
          <w:rFonts w:ascii="Times New Roman" w:eastAsia="Times New Roman" w:hAnsi="Times New Roman" w:cs="Times New Roman"/>
          <w:i/>
          <w:iCs/>
          <w:kern w:val="0"/>
          <w14:ligatures w14:val="none"/>
        </w:rPr>
        <w:t>Shakespeare Quarterly</w:t>
      </w:r>
      <w:r w:rsidRPr="003F3427">
        <w:rPr>
          <w:rFonts w:ascii="Times New Roman" w:eastAsia="Times New Roman" w:hAnsi="Times New Roman" w:cs="Times New Roman"/>
          <w:kern w:val="0"/>
          <w14:ligatures w14:val="none"/>
        </w:rPr>
        <w:t>, vol. 54, no. 2, pp. 147–173, 2003.</w:t>
      </w:r>
    </w:p>
    <w:p w14:paraId="272613D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[6] M. Spevack, ed., </w:t>
      </w:r>
      <w:r w:rsidRPr="003F3427">
        <w:rPr>
          <w:rFonts w:ascii="Times New Roman" w:eastAsia="Times New Roman" w:hAnsi="Times New Roman" w:cs="Times New Roman"/>
          <w:i/>
          <w:iCs/>
          <w:kern w:val="0"/>
          <w14:ligatures w14:val="none"/>
        </w:rPr>
        <w:t>A New Variorum Edition of Shakespeare: Antony and Cleopatra</w:t>
      </w:r>
      <w:r w:rsidRPr="003F3427">
        <w:rPr>
          <w:rFonts w:ascii="Times New Roman" w:eastAsia="Times New Roman" w:hAnsi="Times New Roman" w:cs="Times New Roman"/>
          <w:kern w:val="0"/>
          <w14:ligatures w14:val="none"/>
        </w:rPr>
        <w:t>, New York: Modern Language Association, 1977.</w:t>
      </w:r>
    </w:p>
    <w:p w14:paraId="7AD306E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[7] A. Murphy, </w:t>
      </w:r>
      <w:r w:rsidRPr="003F3427">
        <w:rPr>
          <w:rFonts w:ascii="Times New Roman" w:eastAsia="Times New Roman" w:hAnsi="Times New Roman" w:cs="Times New Roman"/>
          <w:i/>
          <w:iCs/>
          <w:kern w:val="0"/>
          <w14:ligatures w14:val="none"/>
        </w:rPr>
        <w:t>Shakespeare in Print: A History and Chronology of Shakespeare Publishing</w:t>
      </w:r>
      <w:r w:rsidRPr="003F3427">
        <w:rPr>
          <w:rFonts w:ascii="Times New Roman" w:eastAsia="Times New Roman" w:hAnsi="Times New Roman" w:cs="Times New Roman"/>
          <w:kern w:val="0"/>
          <w14:ligatures w14:val="none"/>
        </w:rPr>
        <w:t>, Cambridge: Cambridge University Press, 2003.</w:t>
      </w:r>
    </w:p>
    <w:p w14:paraId="0CBD8F5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[8] P. </w:t>
      </w:r>
      <w:proofErr w:type="spellStart"/>
      <w:r w:rsidRPr="003F3427">
        <w:rPr>
          <w:rFonts w:ascii="Times New Roman" w:eastAsia="Times New Roman" w:hAnsi="Times New Roman" w:cs="Times New Roman"/>
          <w:kern w:val="0"/>
          <w14:ligatures w14:val="none"/>
        </w:rPr>
        <w:t>Werstine</w:t>
      </w:r>
      <w:proofErr w:type="spellEnd"/>
      <w:r w:rsidRPr="003F3427">
        <w:rPr>
          <w:rFonts w:ascii="Times New Roman" w:eastAsia="Times New Roman" w:hAnsi="Times New Roman" w:cs="Times New Roman"/>
          <w:kern w:val="0"/>
          <w14:ligatures w14:val="none"/>
        </w:rPr>
        <w:t xml:space="preserve">, "The Science of Editing," in </w:t>
      </w:r>
      <w:r w:rsidRPr="003F3427">
        <w:rPr>
          <w:rFonts w:ascii="Times New Roman" w:eastAsia="Times New Roman" w:hAnsi="Times New Roman" w:cs="Times New Roman"/>
          <w:i/>
          <w:iCs/>
          <w:kern w:val="0"/>
          <w14:ligatures w14:val="none"/>
        </w:rPr>
        <w:t>A Concise Companion to Shakespeare and the Text</w:t>
      </w:r>
      <w:r w:rsidRPr="003F3427">
        <w:rPr>
          <w:rFonts w:ascii="Times New Roman" w:eastAsia="Times New Roman" w:hAnsi="Times New Roman" w:cs="Times New Roman"/>
          <w:kern w:val="0"/>
          <w14:ligatures w14:val="none"/>
        </w:rPr>
        <w:t>, ed. A. Murphy, Oxford: Blackwell, 2007, pp. 109–127.</w:t>
      </w:r>
    </w:p>
    <w:p w14:paraId="5F2FA20A"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[9] Folger Shakespeare Library, "Folger Digital Texts," 2023. [Online]. Available: https://www.folgerdigitaltexts.org</w:t>
      </w:r>
    </w:p>
    <w:p w14:paraId="4168396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[10] Internet Shakespeare Editions, University of Victoria. [Online]. Available: https://internetshakespeare.uvic.ca/</w:t>
      </w:r>
    </w:p>
    <w:p w14:paraId="566E9069"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[11] E. </w:t>
      </w:r>
      <w:proofErr w:type="spellStart"/>
      <w:r w:rsidRPr="003F3427">
        <w:rPr>
          <w:rFonts w:ascii="Times New Roman" w:eastAsia="Times New Roman" w:hAnsi="Times New Roman" w:cs="Times New Roman"/>
          <w:kern w:val="0"/>
          <w14:ligatures w14:val="none"/>
        </w:rPr>
        <w:t>Pierazzo</w:t>
      </w:r>
      <w:proofErr w:type="spellEnd"/>
      <w:r w:rsidRPr="003F3427">
        <w:rPr>
          <w:rFonts w:ascii="Times New Roman" w:eastAsia="Times New Roman" w:hAnsi="Times New Roman" w:cs="Times New Roman"/>
          <w:kern w:val="0"/>
          <w14:ligatures w14:val="none"/>
        </w:rPr>
        <w:t xml:space="preserve">, </w:t>
      </w:r>
      <w:r w:rsidRPr="003F3427">
        <w:rPr>
          <w:rFonts w:ascii="Times New Roman" w:eastAsia="Times New Roman" w:hAnsi="Times New Roman" w:cs="Times New Roman"/>
          <w:i/>
          <w:iCs/>
          <w:kern w:val="0"/>
          <w14:ligatures w14:val="none"/>
        </w:rPr>
        <w:t>Digital Scholarly Editing: Theories, Models and Methods</w:t>
      </w:r>
      <w:r w:rsidRPr="003F3427">
        <w:rPr>
          <w:rFonts w:ascii="Times New Roman" w:eastAsia="Times New Roman" w:hAnsi="Times New Roman" w:cs="Times New Roman"/>
          <w:kern w:val="0"/>
          <w14:ligatures w14:val="none"/>
        </w:rPr>
        <w:t>, Surrey: Ashgate, 2015.</w:t>
      </w:r>
    </w:p>
    <w:p w14:paraId="6AA6F93D"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[12] P. Sahle, "What is a Scholarly Digital Edition?" in </w:t>
      </w:r>
      <w:r w:rsidRPr="003F3427">
        <w:rPr>
          <w:rFonts w:ascii="Times New Roman" w:eastAsia="Times New Roman" w:hAnsi="Times New Roman" w:cs="Times New Roman"/>
          <w:i/>
          <w:iCs/>
          <w:kern w:val="0"/>
          <w14:ligatures w14:val="none"/>
        </w:rPr>
        <w:t>Digital Scholarly Editing: Theories and Practices</w:t>
      </w:r>
      <w:r w:rsidRPr="003F3427">
        <w:rPr>
          <w:rFonts w:ascii="Times New Roman" w:eastAsia="Times New Roman" w:hAnsi="Times New Roman" w:cs="Times New Roman"/>
          <w:kern w:val="0"/>
          <w14:ligatures w14:val="none"/>
        </w:rPr>
        <w:t xml:space="preserve">, eds. M. J. Driscoll and E. </w:t>
      </w:r>
      <w:proofErr w:type="spellStart"/>
      <w:r w:rsidRPr="003F3427">
        <w:rPr>
          <w:rFonts w:ascii="Times New Roman" w:eastAsia="Times New Roman" w:hAnsi="Times New Roman" w:cs="Times New Roman"/>
          <w:kern w:val="0"/>
          <w14:ligatures w14:val="none"/>
        </w:rPr>
        <w:t>Pierazzo</w:t>
      </w:r>
      <w:proofErr w:type="spellEnd"/>
      <w:r w:rsidRPr="003F3427">
        <w:rPr>
          <w:rFonts w:ascii="Times New Roman" w:eastAsia="Times New Roman" w:hAnsi="Times New Roman" w:cs="Times New Roman"/>
          <w:kern w:val="0"/>
          <w14:ligatures w14:val="none"/>
        </w:rPr>
        <w:t>, Cambridge: Open Book Publishers, 2016, pp. 19-40.</w:t>
      </w:r>
    </w:p>
    <w:p w14:paraId="22B484F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lastRenderedPageBreak/>
        <w:t xml:space="preserve">[13] K. M. Price, "Edition, Project, Database, Archive, Thematic Research Collection: What's in a Name?" </w:t>
      </w:r>
      <w:r w:rsidRPr="003F3427">
        <w:rPr>
          <w:rFonts w:ascii="Times New Roman" w:eastAsia="Times New Roman" w:hAnsi="Times New Roman" w:cs="Times New Roman"/>
          <w:i/>
          <w:iCs/>
          <w:kern w:val="0"/>
          <w14:ligatures w14:val="none"/>
        </w:rPr>
        <w:t>Digital Humanities Quarterly</w:t>
      </w:r>
      <w:r w:rsidRPr="003F3427">
        <w:rPr>
          <w:rFonts w:ascii="Times New Roman" w:eastAsia="Times New Roman" w:hAnsi="Times New Roman" w:cs="Times New Roman"/>
          <w:kern w:val="0"/>
          <w14:ligatures w14:val="none"/>
        </w:rPr>
        <w:t>, vol. 3, no. 3, 2009.</w:t>
      </w:r>
    </w:p>
    <w:p w14:paraId="025E79A3"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[14] T. Underwood, "A Genealogy of Distant Reading," </w:t>
      </w:r>
      <w:r w:rsidRPr="003F3427">
        <w:rPr>
          <w:rFonts w:ascii="Times New Roman" w:eastAsia="Times New Roman" w:hAnsi="Times New Roman" w:cs="Times New Roman"/>
          <w:i/>
          <w:iCs/>
          <w:kern w:val="0"/>
          <w14:ligatures w14:val="none"/>
        </w:rPr>
        <w:t>Digital Humanities Quarterly</w:t>
      </w:r>
      <w:r w:rsidRPr="003F3427">
        <w:rPr>
          <w:rFonts w:ascii="Times New Roman" w:eastAsia="Times New Roman" w:hAnsi="Times New Roman" w:cs="Times New Roman"/>
          <w:kern w:val="0"/>
          <w14:ligatures w14:val="none"/>
        </w:rPr>
        <w:t>, vol. 11, no. 2, 2017.</w:t>
      </w:r>
    </w:p>
    <w:p w14:paraId="7D6D1DA1"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[15] R. Cordell, "Machine Learning + X," </w:t>
      </w:r>
      <w:r w:rsidRPr="003F3427">
        <w:rPr>
          <w:rFonts w:ascii="Times New Roman" w:eastAsia="Times New Roman" w:hAnsi="Times New Roman" w:cs="Times New Roman"/>
          <w:i/>
          <w:iCs/>
          <w:kern w:val="0"/>
          <w14:ligatures w14:val="none"/>
        </w:rPr>
        <w:t>Digital Humanities Quarterly</w:t>
      </w:r>
      <w:r w:rsidRPr="003F3427">
        <w:rPr>
          <w:rFonts w:ascii="Times New Roman" w:eastAsia="Times New Roman" w:hAnsi="Times New Roman" w:cs="Times New Roman"/>
          <w:kern w:val="0"/>
          <w14:ligatures w14:val="none"/>
        </w:rPr>
        <w:t>, vol. 14, no. 1, 2020.</w:t>
      </w:r>
    </w:p>
    <w:p w14:paraId="5E16AB44"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[16] K. Fitzpatrick, </w:t>
      </w:r>
      <w:r w:rsidRPr="003F3427">
        <w:rPr>
          <w:rFonts w:ascii="Times New Roman" w:eastAsia="Times New Roman" w:hAnsi="Times New Roman" w:cs="Times New Roman"/>
          <w:i/>
          <w:iCs/>
          <w:kern w:val="0"/>
          <w14:ligatures w14:val="none"/>
        </w:rPr>
        <w:t>Generous Thinking: A Radical Approach to Saving the University</w:t>
      </w:r>
      <w:r w:rsidRPr="003F3427">
        <w:rPr>
          <w:rFonts w:ascii="Times New Roman" w:eastAsia="Times New Roman" w:hAnsi="Times New Roman" w:cs="Times New Roman"/>
          <w:kern w:val="0"/>
          <w14:ligatures w14:val="none"/>
        </w:rPr>
        <w:t>, Baltimore: Johns Hopkins University Press, 2019.</w:t>
      </w:r>
    </w:p>
    <w:p w14:paraId="26B5313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[17] T. Brown et al., "Language Models are Few-Shot Learners," </w:t>
      </w:r>
      <w:r w:rsidRPr="003F3427">
        <w:rPr>
          <w:rFonts w:ascii="Times New Roman" w:eastAsia="Times New Roman" w:hAnsi="Times New Roman" w:cs="Times New Roman"/>
          <w:i/>
          <w:iCs/>
          <w:kern w:val="0"/>
          <w14:ligatures w14:val="none"/>
        </w:rPr>
        <w:t>Advances in Neural Information Processing Systems</w:t>
      </w:r>
      <w:r w:rsidRPr="003F3427">
        <w:rPr>
          <w:rFonts w:ascii="Times New Roman" w:eastAsia="Times New Roman" w:hAnsi="Times New Roman" w:cs="Times New Roman"/>
          <w:kern w:val="0"/>
          <w14:ligatures w14:val="none"/>
        </w:rPr>
        <w:t>, vol. 33, pp. 1877–1901, 2020.</w:t>
      </w:r>
    </w:p>
    <w:p w14:paraId="102CBDFB"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[18] Internet Archive, "Digital Library of Free &amp; Borrowable Books," archive.org, 2023.</w:t>
      </w:r>
    </w:p>
    <w:p w14:paraId="1F80FADC"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[19] </w:t>
      </w:r>
      <w:proofErr w:type="spellStart"/>
      <w:r w:rsidRPr="003F3427">
        <w:rPr>
          <w:rFonts w:ascii="Times New Roman" w:eastAsia="Times New Roman" w:hAnsi="Times New Roman" w:cs="Times New Roman"/>
          <w:kern w:val="0"/>
          <w14:ligatures w14:val="none"/>
        </w:rPr>
        <w:t>HathiTrust</w:t>
      </w:r>
      <w:proofErr w:type="spellEnd"/>
      <w:r w:rsidRPr="003F3427">
        <w:rPr>
          <w:rFonts w:ascii="Times New Roman" w:eastAsia="Times New Roman" w:hAnsi="Times New Roman" w:cs="Times New Roman"/>
          <w:kern w:val="0"/>
          <w14:ligatures w14:val="none"/>
        </w:rPr>
        <w:t xml:space="preserve"> Digital Library, "Digital Preservation &amp; Access," hathitrust.org, 2023.</w:t>
      </w:r>
    </w:p>
    <w:p w14:paraId="32249800" w14:textId="77777777" w:rsidR="003F3427" w:rsidRPr="003F3427" w:rsidRDefault="003F3427" w:rsidP="003F3427">
      <w:pPr>
        <w:spacing w:before="100" w:beforeAutospacing="1" w:after="100" w:afterAutospacing="1" w:line="240" w:lineRule="auto"/>
        <w:rPr>
          <w:rFonts w:ascii="Times New Roman" w:eastAsia="Times New Roman" w:hAnsi="Times New Roman" w:cs="Times New Roman"/>
          <w:kern w:val="0"/>
          <w14:ligatures w14:val="none"/>
        </w:rPr>
      </w:pPr>
      <w:r w:rsidRPr="003F3427">
        <w:rPr>
          <w:rFonts w:ascii="Times New Roman" w:eastAsia="Times New Roman" w:hAnsi="Times New Roman" w:cs="Times New Roman"/>
          <w:kern w:val="0"/>
          <w14:ligatures w14:val="none"/>
        </w:rPr>
        <w:t xml:space="preserve">[20] C. T. Onions, </w:t>
      </w:r>
      <w:r w:rsidRPr="003F3427">
        <w:rPr>
          <w:rFonts w:ascii="Times New Roman" w:eastAsia="Times New Roman" w:hAnsi="Times New Roman" w:cs="Times New Roman"/>
          <w:i/>
          <w:iCs/>
          <w:kern w:val="0"/>
          <w14:ligatures w14:val="none"/>
        </w:rPr>
        <w:t>A Shakespeare Glossary</w:t>
      </w:r>
      <w:r w:rsidRPr="003F3427">
        <w:rPr>
          <w:rFonts w:ascii="Times New Roman" w:eastAsia="Times New Roman" w:hAnsi="Times New Roman" w:cs="Times New Roman"/>
          <w:kern w:val="0"/>
          <w14:ligatures w14:val="none"/>
        </w:rPr>
        <w:t>, Oxford: Clarendon Press, 1911.</w:t>
      </w:r>
    </w:p>
    <w:p w14:paraId="40E7F5D1" w14:textId="77777777" w:rsidR="00F05B12" w:rsidRDefault="00F05B12"/>
    <w:sectPr w:rsidR="00F05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0313"/>
    <w:multiLevelType w:val="multilevel"/>
    <w:tmpl w:val="29BE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02829"/>
    <w:multiLevelType w:val="multilevel"/>
    <w:tmpl w:val="B45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31D7D"/>
    <w:multiLevelType w:val="multilevel"/>
    <w:tmpl w:val="0E9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0416B"/>
    <w:multiLevelType w:val="multilevel"/>
    <w:tmpl w:val="E90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274230">
    <w:abstractNumId w:val="0"/>
  </w:num>
  <w:num w:numId="2" w16cid:durableId="886379945">
    <w:abstractNumId w:val="3"/>
  </w:num>
  <w:num w:numId="3" w16cid:durableId="916092080">
    <w:abstractNumId w:val="1"/>
  </w:num>
  <w:num w:numId="4" w16cid:durableId="763650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427"/>
    <w:rsid w:val="00064262"/>
    <w:rsid w:val="003F3427"/>
    <w:rsid w:val="00503C87"/>
    <w:rsid w:val="007B589B"/>
    <w:rsid w:val="008A7366"/>
    <w:rsid w:val="008C70E8"/>
    <w:rsid w:val="00BD642B"/>
    <w:rsid w:val="00DE6829"/>
    <w:rsid w:val="00F05B12"/>
    <w:rsid w:val="00FB10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C5DBC39"/>
  <w15:chartTrackingRefBased/>
  <w15:docId w15:val="{C966AC16-61E6-5C44-818A-A938478C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3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427"/>
    <w:rPr>
      <w:rFonts w:eastAsiaTheme="majorEastAsia" w:cstheme="majorBidi"/>
      <w:color w:val="272727" w:themeColor="text1" w:themeTint="D8"/>
    </w:rPr>
  </w:style>
  <w:style w:type="paragraph" w:styleId="Title">
    <w:name w:val="Title"/>
    <w:basedOn w:val="Normal"/>
    <w:next w:val="Normal"/>
    <w:link w:val="TitleChar"/>
    <w:uiPriority w:val="10"/>
    <w:qFormat/>
    <w:rsid w:val="003F3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427"/>
    <w:pPr>
      <w:spacing w:before="160"/>
      <w:jc w:val="center"/>
    </w:pPr>
    <w:rPr>
      <w:i/>
      <w:iCs/>
      <w:color w:val="404040" w:themeColor="text1" w:themeTint="BF"/>
    </w:rPr>
  </w:style>
  <w:style w:type="character" w:customStyle="1" w:styleId="QuoteChar">
    <w:name w:val="Quote Char"/>
    <w:basedOn w:val="DefaultParagraphFont"/>
    <w:link w:val="Quote"/>
    <w:uiPriority w:val="29"/>
    <w:rsid w:val="003F3427"/>
    <w:rPr>
      <w:i/>
      <w:iCs/>
      <w:color w:val="404040" w:themeColor="text1" w:themeTint="BF"/>
    </w:rPr>
  </w:style>
  <w:style w:type="paragraph" w:styleId="ListParagraph">
    <w:name w:val="List Paragraph"/>
    <w:basedOn w:val="Normal"/>
    <w:uiPriority w:val="34"/>
    <w:qFormat/>
    <w:rsid w:val="003F3427"/>
    <w:pPr>
      <w:ind w:left="720"/>
      <w:contextualSpacing/>
    </w:pPr>
  </w:style>
  <w:style w:type="character" w:styleId="IntenseEmphasis">
    <w:name w:val="Intense Emphasis"/>
    <w:basedOn w:val="DefaultParagraphFont"/>
    <w:uiPriority w:val="21"/>
    <w:qFormat/>
    <w:rsid w:val="003F3427"/>
    <w:rPr>
      <w:i/>
      <w:iCs/>
      <w:color w:val="0F4761" w:themeColor="accent1" w:themeShade="BF"/>
    </w:rPr>
  </w:style>
  <w:style w:type="paragraph" w:styleId="IntenseQuote">
    <w:name w:val="Intense Quote"/>
    <w:basedOn w:val="Normal"/>
    <w:next w:val="Normal"/>
    <w:link w:val="IntenseQuoteChar"/>
    <w:uiPriority w:val="30"/>
    <w:qFormat/>
    <w:rsid w:val="003F3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427"/>
    <w:rPr>
      <w:i/>
      <w:iCs/>
      <w:color w:val="0F4761" w:themeColor="accent1" w:themeShade="BF"/>
    </w:rPr>
  </w:style>
  <w:style w:type="character" w:styleId="IntenseReference">
    <w:name w:val="Intense Reference"/>
    <w:basedOn w:val="DefaultParagraphFont"/>
    <w:uiPriority w:val="32"/>
    <w:qFormat/>
    <w:rsid w:val="003F3427"/>
    <w:rPr>
      <w:b/>
      <w:bCs/>
      <w:smallCaps/>
      <w:color w:val="0F4761" w:themeColor="accent1" w:themeShade="BF"/>
      <w:spacing w:val="5"/>
    </w:rPr>
  </w:style>
  <w:style w:type="paragraph" w:styleId="NormalWeb">
    <w:name w:val="Normal (Web)"/>
    <w:basedOn w:val="Normal"/>
    <w:uiPriority w:val="99"/>
    <w:semiHidden/>
    <w:unhideWhenUsed/>
    <w:rsid w:val="003F34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3427"/>
    <w:rPr>
      <w:b/>
      <w:bCs/>
    </w:rPr>
  </w:style>
  <w:style w:type="character" w:styleId="Emphasis">
    <w:name w:val="Emphasis"/>
    <w:basedOn w:val="DefaultParagraphFont"/>
    <w:uiPriority w:val="20"/>
    <w:qFormat/>
    <w:rsid w:val="003F34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7636</Words>
  <Characters>48495</Characters>
  <Application>Microsoft Office Word</Application>
  <DocSecurity>0</DocSecurity>
  <Lines>795</Lines>
  <Paragraphs>322</Paragraphs>
  <ScaleCrop>false</ScaleCrop>
  <Company/>
  <LinksUpToDate>false</LinksUpToDate>
  <CharactersWithSpaces>55809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brad@ari.us</dc:creator>
  <cp:keywords/>
  <dc:description/>
  <cp:lastModifiedBy>Hassan Ahmed Rajput</cp:lastModifiedBy>
  <cp:revision>2</cp:revision>
  <dcterms:created xsi:type="dcterms:W3CDTF">2026-03-30T14:40:00Z</dcterms:created>
  <dcterms:modified xsi:type="dcterms:W3CDTF">2026-03-30T14:40:00Z</dcterms:modified>
</cp:coreProperties>
</file>