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EFA3" w14:textId="77777777" w:rsidR="003F3427" w:rsidRPr="003F3427" w:rsidRDefault="003F3427" w:rsidP="003F34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3427">
        <w:rPr>
          <w:rFonts w:ascii="Times New Roman" w:eastAsia="Times New Roman" w:hAnsi="Times New Roman" w:cs="Times New Roman"/>
          <w:b/>
          <w:bCs/>
          <w:kern w:val="36"/>
          <w:sz w:val="48"/>
          <w:szCs w:val="48"/>
          <w14:ligatures w14:val="none"/>
        </w:rPr>
        <w:t>Full Fathom Five: Transforming the New Variorum Shakespeare Through AI-Powered Democratic Access</w:t>
      </w:r>
    </w:p>
    <w:p w14:paraId="4BFBFD0E"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Abstract</w:t>
      </w:r>
    </w:p>
    <w:p w14:paraId="1D27EEC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We present a digital platform that addresses longstanding accessibility barriers to the New Variorum Shakespeare (NVS) editions through systematic corpus digitization, computational bibliographic resolution, and adaptive interface design. The NVS represents over a century of accumulated Shakespeare scholarship but has remained difficult to use due to physical rarity, archaic textual conventions, and incomplete citation practices. Our approach combines multi-stage OCR processing with large-language-model validation, aligns Early Modern Variorum text with contemporary accessible editions, and employs computational agents to systematically resolve thousands of incomplete citations throughout the corpus. The resulting platform provides line-level access to historical commentary alongside tiered computational analysis that adapts to different user expertise levels. This work contributes to digital humanities methodology by demonstrating how computational approaches can preserve scholarly authority while expanding access to cultural heritage, creating a comprehensive digital surrogate that covers twenty of twenty-three pre-1956 Variorum editions.</w:t>
      </w:r>
    </w:p>
    <w:p w14:paraId="2001442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Index Terms</w:t>
      </w:r>
      <w:r w:rsidRPr="003F3427">
        <w:rPr>
          <w:rFonts w:ascii="Times New Roman" w:eastAsia="Times New Roman" w:hAnsi="Times New Roman" w:cs="Times New Roman"/>
          <w:kern w:val="0"/>
          <w14:ligatures w14:val="none"/>
        </w:rPr>
        <w:t>—Digital Humanities, Shakespeare Studies, Electronic Scholarly Editions, Computational Bibliography, Optical Character Recognition, Large Language Models</w:t>
      </w:r>
    </w:p>
    <w:p w14:paraId="6BA16F67"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I. Introduction</w:t>
      </w:r>
    </w:p>
    <w:p w14:paraId="2B3BA254"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The Democratic Vision and Its Technical Barriers</w:t>
      </w:r>
    </w:p>
    <w:p w14:paraId="29CF372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In 1871, Horace Howard Furness embarked on one of the most ambitious projects in literary scholarship: the New Variorum Shakespeare. His vision was revolutionary—to gather, in a single edition, every significant comment, gloss, interpretation, and textual variant that had accumulated around Shakespeare's works since their first publication. This was not merely an editorial project but a democratic ideal: that the complete scholarly conversation about Shakespeare, previously scattered across rare books in elite libraries, should be available to any serious reader. Furness himself articulated this vision in his preface to the first volume, declaring that his goal was to provide "the humblest student" with "the same advantages as the most learned professor."</w:t>
      </w:r>
    </w:p>
    <w:p w14:paraId="0D8477D7"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Yet Furness's democratic vision has been constrained by multiple technical barriers that persist even in the digital age. The Variorum editions present challenges that simple digitization cannot resolve: they employ Early Modern spelling conventions that impede contemporary comprehension; they contain thousands of abbreviated and incomplete citations that resist </w:t>
      </w:r>
      <w:r w:rsidRPr="003F3427">
        <w:rPr>
          <w:rFonts w:ascii="Times New Roman" w:eastAsia="Times New Roman" w:hAnsi="Times New Roman" w:cs="Times New Roman"/>
          <w:kern w:val="0"/>
          <w14:ligatures w14:val="none"/>
        </w:rPr>
        <w:lastRenderedPageBreak/>
        <w:t>resolution even by specialists; and their critical apparatus is so dense and cross-referenced that extracting coherent commentary requires extensive scholarly training.</w:t>
      </w:r>
    </w:p>
    <w:p w14:paraId="2DF6395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project addresses these barriers through computational methods that preserve scholarly integrity while enabling broader accessibility. We have developed a multi-stage pipeline that converts historical Variorum editions into usable digital surrogates, resolves incomplete bibliographic references through systematic extraction and cross-referencing, and provides adaptive interface design that serves readers at different levels of expertise.</w:t>
      </w:r>
    </w:p>
    <w:p w14:paraId="5A019378"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The Scope and Challenge of the New Variorum Corpus</w:t>
      </w:r>
    </w:p>
    <w:p w14:paraId="0983418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complete pre-1956 New Variorum Shakespeare comprises 25 volumes: 23 play editions and 2 non-dramatic poetry volumes (</w:t>
      </w:r>
      <w:r w:rsidRPr="003F3427">
        <w:rPr>
          <w:rFonts w:ascii="Times New Roman" w:eastAsia="Times New Roman" w:hAnsi="Times New Roman" w:cs="Times New Roman"/>
          <w:i/>
          <w:iCs/>
          <w:kern w:val="0"/>
          <w14:ligatures w14:val="none"/>
        </w:rPr>
        <w:t>The Poems</w:t>
      </w:r>
      <w:r w:rsidRPr="003F3427">
        <w:rPr>
          <w:rFonts w:ascii="Times New Roman" w:eastAsia="Times New Roman" w:hAnsi="Times New Roman" w:cs="Times New Roman"/>
          <w:kern w:val="0"/>
          <w14:ligatures w14:val="none"/>
        </w:rPr>
        <w:t xml:space="preserve"> [1938] and </w:t>
      </w:r>
      <w:r w:rsidRPr="003F3427">
        <w:rPr>
          <w:rFonts w:ascii="Times New Roman" w:eastAsia="Times New Roman" w:hAnsi="Times New Roman" w:cs="Times New Roman"/>
          <w:i/>
          <w:iCs/>
          <w:kern w:val="0"/>
          <w14:ligatures w14:val="none"/>
        </w:rPr>
        <w:t>The Sonnets</w:t>
      </w:r>
      <w:r w:rsidRPr="003F3427">
        <w:rPr>
          <w:rFonts w:ascii="Times New Roman" w:eastAsia="Times New Roman" w:hAnsi="Times New Roman" w:cs="Times New Roman"/>
          <w:kern w:val="0"/>
          <w14:ligatures w14:val="none"/>
        </w:rPr>
        <w:t xml:space="preserve"> [1944]). The plays span from Furness's 1871 </w:t>
      </w:r>
      <w:r w:rsidRPr="003F3427">
        <w:rPr>
          <w:rFonts w:ascii="Times New Roman" w:eastAsia="Times New Roman" w:hAnsi="Times New Roman" w:cs="Times New Roman"/>
          <w:i/>
          <w:iCs/>
          <w:kern w:val="0"/>
          <w14:ligatures w14:val="none"/>
        </w:rPr>
        <w:t>Romeo and Juliet</w:t>
      </w:r>
      <w:r w:rsidRPr="003F3427">
        <w:rPr>
          <w:rFonts w:ascii="Times New Roman" w:eastAsia="Times New Roman" w:hAnsi="Times New Roman" w:cs="Times New Roman"/>
          <w:kern w:val="0"/>
          <w14:ligatures w14:val="none"/>
        </w:rPr>
        <w:t xml:space="preserve"> through the MLA's 1955 </w:t>
      </w:r>
      <w:r w:rsidRPr="003F3427">
        <w:rPr>
          <w:rFonts w:ascii="Times New Roman" w:eastAsia="Times New Roman" w:hAnsi="Times New Roman" w:cs="Times New Roman"/>
          <w:i/>
          <w:iCs/>
          <w:kern w:val="0"/>
          <w14:ligatures w14:val="none"/>
        </w:rPr>
        <w:t>Richard II</w:t>
      </w:r>
      <w:r w:rsidRPr="003F3427">
        <w:rPr>
          <w:rFonts w:ascii="Times New Roman" w:eastAsia="Times New Roman" w:hAnsi="Times New Roman" w:cs="Times New Roman"/>
          <w:kern w:val="0"/>
          <w14:ligatures w14:val="none"/>
        </w:rPr>
        <w:t>. These dramatic volumes contain approximately 15,000 pages of accumulated scholarship representing over 1,000 critics, editors, and commentators from 1709 to 1955. Our project focuses exclusively on the dramatic works, as they represent the core of the Variorum tradition and present the most complex challenges for line-level annotation alignment.</w:t>
      </w:r>
    </w:p>
    <w:p w14:paraId="0B75B73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However, this scholarly wealth remains largely inaccessible due to systematic barriers embedded in the editorial tradition:</w:t>
      </w:r>
    </w:p>
    <w:p w14:paraId="3E021397"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Textual Opacity</w:t>
      </w:r>
      <w:r w:rsidRPr="003F3427">
        <w:rPr>
          <w:rFonts w:ascii="Times New Roman" w:eastAsia="Times New Roman" w:hAnsi="Times New Roman" w:cs="Times New Roman"/>
          <w:kern w:val="0"/>
          <w14:ligatures w14:val="none"/>
        </w:rPr>
        <w:t>: The Variorum maintains original folio and quarto spellings that impede comprehension for modern readers, even those with literary training.</w:t>
      </w:r>
    </w:p>
    <w:p w14:paraId="70B66F8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Citation Incompleteness</w:t>
      </w:r>
      <w:r w:rsidRPr="003F3427">
        <w:rPr>
          <w:rFonts w:ascii="Times New Roman" w:eastAsia="Times New Roman" w:hAnsi="Times New Roman" w:cs="Times New Roman"/>
          <w:kern w:val="0"/>
          <w14:ligatures w14:val="none"/>
        </w:rPr>
        <w:t>: References frequently appear as fragments ("Clar." for Edward Capell, "</w:t>
      </w:r>
      <w:proofErr w:type="spellStart"/>
      <w:r w:rsidRPr="003F3427">
        <w:rPr>
          <w:rFonts w:ascii="Times New Roman" w:eastAsia="Times New Roman" w:hAnsi="Times New Roman" w:cs="Times New Roman"/>
          <w:kern w:val="0"/>
          <w14:ligatures w14:val="none"/>
        </w:rPr>
        <w:t>Steev</w:t>
      </w:r>
      <w:proofErr w:type="spellEnd"/>
      <w:r w:rsidRPr="003F3427">
        <w:rPr>
          <w:rFonts w:ascii="Times New Roman" w:eastAsia="Times New Roman" w:hAnsi="Times New Roman" w:cs="Times New Roman"/>
          <w:kern w:val="0"/>
          <w14:ligatures w14:val="none"/>
        </w:rPr>
        <w:t>." for George Steevens, "Murr." for James Murray of the Oxford English Dictionary) that require consultation of bibliographic tables located dozens or hundreds of pages from the commentary itself. More problematically, many significant figures—lexicographers like Murray, prominent actors, theater managers—are mentioned in the extensive prose introductions and appendices but never appear in the formal bibliographic apparatus, making their identification nearly impossible even for specialists. Our computational agents systematically extracted every proper noun (persons, theaters, institutions) mentioned throughout the corpus, creating a comprehensive searchable database that allows users to quickly identify any figure referenced in the commentary, regardless of whether they appear in the original bibliographic apparatus.</w:t>
      </w:r>
    </w:p>
    <w:p w14:paraId="21E2836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Cross-Reference Density</w:t>
      </w:r>
      <w:r w:rsidRPr="003F3427">
        <w:rPr>
          <w:rFonts w:ascii="Times New Roman" w:eastAsia="Times New Roman" w:hAnsi="Times New Roman" w:cs="Times New Roman"/>
          <w:kern w:val="0"/>
          <w14:ligatures w14:val="none"/>
        </w:rPr>
        <w:t>: Commentary often assumes familiarity with earlier annotations, creating webs of interdependence that make isolated consultation nearly impossible.</w:t>
      </w:r>
    </w:p>
    <w:p w14:paraId="09D8317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Physical Inaccessibility</w:t>
      </w:r>
      <w:r w:rsidRPr="003F3427">
        <w:rPr>
          <w:rFonts w:ascii="Times New Roman" w:eastAsia="Times New Roman" w:hAnsi="Times New Roman" w:cs="Times New Roman"/>
          <w:kern w:val="0"/>
          <w14:ligatures w14:val="none"/>
        </w:rPr>
        <w:t>: Complete sets exist in fewer than 100 libraries worldwide, with individual volumes often restricted to special collections.</w:t>
      </w:r>
    </w:p>
    <w:p w14:paraId="45EF0976"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II. Related Work and Methodological Context</w:t>
      </w:r>
    </w:p>
    <w:p w14:paraId="7E4ABC2B"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Digital Shakespeare Editions and Their Approaches</w:t>
      </w:r>
    </w:p>
    <w:p w14:paraId="1421C8B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The digital humanities community has created several significant Shakespeare platforms, each with distinct editorial philosophies and technical implementations. The Folger Digital Texts provides clean, modernized editions optimized for readability and classroom use, employing contemporary spelling and punctuation while maintaining scholarly accuracy through careful editorial practice. The Internet Shakespeare Editions takes a more complex approach, offering multiple text versions with extensive textual apparatus, performance databases, and peer-reviewed scholarly annotation that attempts to serve both general readers and specialists.</w:t>
      </w:r>
    </w:p>
    <w:p w14:paraId="6F1CE69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Global </w:t>
      </w:r>
      <w:proofErr w:type="spellStart"/>
      <w:r w:rsidRPr="003F3427">
        <w:rPr>
          <w:rFonts w:ascii="Times New Roman" w:eastAsia="Times New Roman" w:hAnsi="Times New Roman" w:cs="Times New Roman"/>
          <w:kern w:val="0"/>
          <w14:ligatures w14:val="none"/>
        </w:rPr>
        <w:t>Shakespeares</w:t>
      </w:r>
      <w:proofErr w:type="spellEnd"/>
      <w:r w:rsidRPr="003F3427">
        <w:rPr>
          <w:rFonts w:ascii="Times New Roman" w:eastAsia="Times New Roman" w:hAnsi="Times New Roman" w:cs="Times New Roman"/>
          <w:kern w:val="0"/>
          <w14:ligatures w14:val="none"/>
        </w:rPr>
        <w:t xml:space="preserve"> focuses specifically on international and contemporary performance, archiving productions from around the world to demonstrate Shakespeare's global cultural presence. The Shakespeare Quartos Archive provides high-resolution facsimiles of early editions, serving primarily scholarly users interested in bibliographic and textual research. </w:t>
      </w:r>
      <w:proofErr w:type="gramStart"/>
      <w:r w:rsidRPr="003F3427">
        <w:rPr>
          <w:rFonts w:ascii="Times New Roman" w:eastAsia="Times New Roman" w:hAnsi="Times New Roman" w:cs="Times New Roman"/>
          <w:kern w:val="0"/>
          <w14:ligatures w14:val="none"/>
        </w:rPr>
        <w:t>Open Source</w:t>
      </w:r>
      <w:proofErr w:type="gramEnd"/>
      <w:r w:rsidRPr="003F3427">
        <w:rPr>
          <w:rFonts w:ascii="Times New Roman" w:eastAsia="Times New Roman" w:hAnsi="Times New Roman" w:cs="Times New Roman"/>
          <w:kern w:val="0"/>
          <w14:ligatures w14:val="none"/>
        </w:rPr>
        <w:t xml:space="preserve"> Shakespeare offers simple, accessible text with basic search functionality, prioritizing broad access over scholarly apparatus.</w:t>
      </w:r>
    </w:p>
    <w:p w14:paraId="42C658B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These projects represent different solutions to the fundamental tension in digital editions between accessibility and scholarly completeness. The Folger prioritizes usability, ISE attempts comprehensive coverage, and the Quartos Archive preserves original materiality. However, none addresses the specific challenge of the Variorum tradition: making centuries of accumulated commentary accessible in context while preserving the historical scholarly record.</w:t>
      </w:r>
    </w:p>
    <w:p w14:paraId="4E45361F"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Electronic Scholarly Edition Theory and Practice</w:t>
      </w:r>
    </w:p>
    <w:p w14:paraId="503A2977"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Our approach must be situated within broader theoretical debates about electronic scholarly editions. Elena </w:t>
      </w:r>
      <w:proofErr w:type="spellStart"/>
      <w:r w:rsidRPr="003F3427">
        <w:rPr>
          <w:rFonts w:ascii="Times New Roman" w:eastAsia="Times New Roman" w:hAnsi="Times New Roman" w:cs="Times New Roman"/>
          <w:kern w:val="0"/>
          <w14:ligatures w14:val="none"/>
        </w:rPr>
        <w:t>Pierazzo's</w:t>
      </w:r>
      <w:proofErr w:type="spellEnd"/>
      <w:r w:rsidRPr="003F3427">
        <w:rPr>
          <w:rFonts w:ascii="Times New Roman" w:eastAsia="Times New Roman" w:hAnsi="Times New Roman" w:cs="Times New Roman"/>
          <w:kern w:val="0"/>
          <w14:ligatures w14:val="none"/>
        </w:rPr>
        <w:t xml:space="preserve"> influential work on digital editions argues for recognizing the fundamental differences between print and digital media, suggesting that digital editions should leverage computational capabilities rather than simply reproducing print conventions. Patrick Sahle's framework for digital editions emphasizes the importance of explicit editorial decisions and transparent methodologies, particularly relevant for projects that combine historical sources with computational processing.</w:t>
      </w:r>
    </w:p>
    <w:p w14:paraId="62558AC7"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Kenneth Price's work on collaborative digital editions highlights the potential for platforms that serve multiple audiences simultaneously, though he emphasizes the importance of maintaining clear distinctions between different types of editorial authority. Our platform's separation of historical Variorum commentary from AI-generated analysis directly addresses this concern.</w:t>
      </w:r>
    </w:p>
    <w:p w14:paraId="06B9D84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Text Encoding Initiative (TEI) provides established standards for encoding historical texts, and many digital edition projects employ TEI-XML as their foundational markup language. However, our project deliberately chooses a different technical approach—structured JSON aligned with contemporary web technologies—for several reasons: first, the density and complexity of Variorum commentary exceeds what can be practically encoded in TEI without creating unwieldy documents; second, our emphasis on line-level computational alignment requires more flexible data structures than TEI readily supports; and third, our integration with contemporary language models benefits from JSON's native compatibility with modern API architectures.</w:t>
      </w:r>
    </w:p>
    <w:p w14:paraId="22A9CE91"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lastRenderedPageBreak/>
        <w:t>C. Artificial Intelligence in Digital Humanities: Opportunities and Concerns</w:t>
      </w:r>
    </w:p>
    <w:p w14:paraId="676656C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integration of large language models into digital humanities platforms has generated significant scholarly discussion, much of it appropriately cautious about the epistemological implications of computational text generation. Ted Underwood's recent work on machine learning in literary studies emphasizes the importance of understanding what AI systems can and cannot reliably do, particularly warning against treating LLM outputs as equivalent to scholarly analysis.</w:t>
      </w:r>
    </w:p>
    <w:p w14:paraId="5C1D1DA3"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Ryan Cordell's research on computational approaches to historical texts highlights both the potential and the pitfalls of using AI for textual processing, noting that computational methods work best when their limitations are clearly understood and communicated to users. Kathleen Fitzpatrick's writing on digital humanities infrastructure emphasizes the importance of sustainable, transparent platforms that serve scholarly communities rather than replacing human expertise.</w:t>
      </w:r>
    </w:p>
    <w:p w14:paraId="6406D94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platform attempts to address these concerns through several design principles: clear labeling of AI-generated content as computationally produced rather than authoritative; preservation of original historical sources alongside AI analysis; and adaptive presentation that allows users to engage with materials at their chosen level of computational mediation. However, we acknowledge that significant questions remain about the appropriate role of AI in scholarly contexts, particularly regarding the reliability and verifiability of machine-generated textual analysis.</w:t>
      </w:r>
    </w:p>
    <w:p w14:paraId="75CA0AD9"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D. Computational Bibliography and Citation Resolution</w:t>
      </w:r>
    </w:p>
    <w:p w14:paraId="630F1E6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While computational bibliography has received less attention than other digital humanities methods, several projects have explored automated approaches to citation extraction and resolution. The Perseus Digital Library's work on classical texts has developed methods for linking fragmented references across multiple sources, though primarily within more standardized classical citation conventions.</w:t>
      </w:r>
    </w:p>
    <w:p w14:paraId="560EC4D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Recent work in bibliometric analysis has employed machine learning for citation disambiguation and author identification, but typically within contemporary academic databases rather than historical scholarly sources. Our approach differs by focusing specifically on the incomplete and abbreviated citation practices common in historical scholarship, where standard disambiguation techniques often fail due to insufficient contextual information.</w:t>
      </w:r>
    </w:p>
    <w:p w14:paraId="0FA1468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challenge of resolving historical citations represents a broader methodological problem in digital humanities: how to apply computational methods to materials that were created according to different scholarly conventions and technological constraints. Our systematic approach using AI agents for extraction and cross-referencing provides a potential model for similar work with other historical scholarly corpora.</w:t>
      </w:r>
    </w:p>
    <w:p w14:paraId="391AFF75"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III. Methodology</w:t>
      </w:r>
    </w:p>
    <w:p w14:paraId="5BC70C9C"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lastRenderedPageBreak/>
        <w:t>A. Corpus Acquisition and Selection</w:t>
      </w:r>
    </w:p>
    <w:p w14:paraId="7E3BA61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We systematically acquired digital surrogates of all available pre-1956 New Variorum editions through Internet Archive and </w:t>
      </w:r>
      <w:proofErr w:type="spellStart"/>
      <w:r w:rsidRPr="003F3427">
        <w:rPr>
          <w:rFonts w:ascii="Times New Roman" w:eastAsia="Times New Roman" w:hAnsi="Times New Roman" w:cs="Times New Roman"/>
          <w:kern w:val="0"/>
          <w14:ligatures w14:val="none"/>
        </w:rPr>
        <w:t>HathiTrust</w:t>
      </w:r>
      <w:proofErr w:type="spellEnd"/>
      <w:r w:rsidRPr="003F3427">
        <w:rPr>
          <w:rFonts w:ascii="Times New Roman" w:eastAsia="Times New Roman" w:hAnsi="Times New Roman" w:cs="Times New Roman"/>
          <w:kern w:val="0"/>
          <w14:ligatures w14:val="none"/>
        </w:rPr>
        <w:t xml:space="preserve"> repositories. Of the 23 published play editions, 20 were available as complete digital scans suitable for OCR processing. The remaining three volumes (</w:t>
      </w:r>
      <w:r w:rsidRPr="003F3427">
        <w:rPr>
          <w:rFonts w:ascii="Times New Roman" w:eastAsia="Times New Roman" w:hAnsi="Times New Roman" w:cs="Times New Roman"/>
          <w:i/>
          <w:iCs/>
          <w:kern w:val="0"/>
          <w14:ligatures w14:val="none"/>
        </w:rPr>
        <w:t>Henry IV, Part 2</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Troilus and Cressida</w:t>
      </w:r>
      <w:r w:rsidRPr="003F3427">
        <w:rPr>
          <w:rFonts w:ascii="Times New Roman" w:eastAsia="Times New Roman" w:hAnsi="Times New Roman" w:cs="Times New Roman"/>
          <w:kern w:val="0"/>
          <w14:ligatures w14:val="none"/>
        </w:rPr>
        <w:t xml:space="preserve">, and </w:t>
      </w:r>
      <w:r w:rsidRPr="003F3427">
        <w:rPr>
          <w:rFonts w:ascii="Times New Roman" w:eastAsia="Times New Roman" w:hAnsi="Times New Roman" w:cs="Times New Roman"/>
          <w:i/>
          <w:iCs/>
          <w:kern w:val="0"/>
          <w14:ligatures w14:val="none"/>
        </w:rPr>
        <w:t>Richard II</w:t>
      </w:r>
      <w:r w:rsidRPr="003F3427">
        <w:rPr>
          <w:rFonts w:ascii="Times New Roman" w:eastAsia="Times New Roman" w:hAnsi="Times New Roman" w:cs="Times New Roman"/>
          <w:kern w:val="0"/>
          <w14:ligatures w14:val="none"/>
        </w:rPr>
        <w:t>) are currently being digitized and will be available on the platform soon.</w:t>
      </w:r>
    </w:p>
    <w:p w14:paraId="515FD65C"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Multi-Stage OCR and Alignment Pipeline</w:t>
      </w:r>
    </w:p>
    <w:p w14:paraId="64AF79F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Variorum editions present unique digitization challenges due to their dense scholarly apparatus, microscopic typography, and complex layout mixing Shakespeare's text with extensive commentary. We developed a systematic approach to ensure accuracy and enable alignment with contemporary editions:</w:t>
      </w:r>
    </w:p>
    <w:p w14:paraId="3AE7AE56"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Stage 1: OCR Processing with Validation</w:t>
      </w:r>
      <w:r w:rsidRPr="003F3427">
        <w:rPr>
          <w:rFonts w:ascii="Times New Roman" w:eastAsia="Times New Roman" w:hAnsi="Times New Roman" w:cs="Times New Roman"/>
          <w:kern w:val="0"/>
          <w14:ligatures w14:val="none"/>
        </w:rPr>
        <w:t>: We extracted text from digitized page images using standard OCR tools, then employed Google Gemini (selected for its large context window) to validate and correct OCR errors. The choice of Gemini over alternatives was driven by its ability to process entire pages while maintaining context across footnotes and marginalia, though we acknowledge that other large-context models might achieve comparable results. The model was particularly effective at accurately reading dense footnotes, abbreviated citations, and the complex typographic conventions of historical scholarly editions.</w:t>
      </w:r>
    </w:p>
    <w:p w14:paraId="6517E16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Stage 2: Text Identification and Alignment</w:t>
      </w:r>
      <w:r w:rsidRPr="003F3427">
        <w:rPr>
          <w:rFonts w:ascii="Times New Roman" w:eastAsia="Times New Roman" w:hAnsi="Times New Roman" w:cs="Times New Roman"/>
          <w:kern w:val="0"/>
          <w14:ligatures w14:val="none"/>
        </w:rPr>
        <w:t>: Using Gemini's natural language processing capabilities, we systematically processed the Early Modern English play text within each Variorum volume to identify corresponding passages in the modernized Folger Shakespeare Library editions. This alignment process preserved the scholarly commentary while making the base text accessible to contemporary readers.</w:t>
      </w:r>
    </w:p>
    <w:p w14:paraId="602EDCD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Stage 3: Commentary Attribution</w:t>
      </w:r>
      <w:r w:rsidRPr="003F3427">
        <w:rPr>
          <w:rFonts w:ascii="Times New Roman" w:eastAsia="Times New Roman" w:hAnsi="Times New Roman" w:cs="Times New Roman"/>
          <w:kern w:val="0"/>
          <w14:ligatures w14:val="none"/>
        </w:rPr>
        <w:t>: For each annotation in the Variorum, we identified the specific modern English line(s) in the Folger edition to which it corresponded, creating precise line-level alignment between historical commentary and accessible text.</w:t>
      </w:r>
    </w:p>
    <w:p w14:paraId="00DA4B2B"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This process addressed a fundamental accessibility barrier: the Variorum's use of original Early Modern spelling conventions makes even basic comprehension difficult for contemporary readers, while the Folger's modernized orthography maintains scholarly integrity while enabling broad accessibility.</w:t>
      </w:r>
    </w:p>
    <w:p w14:paraId="51827328"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C. Editorial Alignment and Modernization Strategy</w:t>
      </w:r>
    </w:p>
    <w:p w14:paraId="1488AAC3"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A key methodological decision was aligning the Early Modern spelling conventions of the Variorum with contemporary accessible editions. We selected the Folger Shakespeare Library editions as our base text for several reasons:</w:t>
      </w:r>
    </w:p>
    <w:p w14:paraId="5A0BC8F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lastRenderedPageBreak/>
        <w:t>Scholarly Authority</w:t>
      </w:r>
      <w:r w:rsidRPr="003F3427">
        <w:rPr>
          <w:rFonts w:ascii="Times New Roman" w:eastAsia="Times New Roman" w:hAnsi="Times New Roman" w:cs="Times New Roman"/>
          <w:kern w:val="0"/>
          <w14:ligatures w14:val="none"/>
        </w:rPr>
        <w:t>: The Folger editions are edited according to modern scholarly standards while remaining faithful to early authoritative texts, providing a reliable foundation for alignment with historical commentary.</w:t>
      </w:r>
    </w:p>
    <w:p w14:paraId="112A7D1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Accessibility</w:t>
      </w:r>
      <w:r w:rsidRPr="003F3427">
        <w:rPr>
          <w:rFonts w:ascii="Times New Roman" w:eastAsia="Times New Roman" w:hAnsi="Times New Roman" w:cs="Times New Roman"/>
          <w:kern w:val="0"/>
          <w14:ligatures w14:val="none"/>
        </w:rPr>
        <w:t>: They employ modernized spelling and punctuation that make Shakespeare's language comprehensible to contemporary readers without extensive glossing, supporting our democratic access goals.</w:t>
      </w:r>
    </w:p>
    <w:p w14:paraId="260C788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Stability</w:t>
      </w:r>
      <w:r w:rsidRPr="003F3427">
        <w:rPr>
          <w:rFonts w:ascii="Times New Roman" w:eastAsia="Times New Roman" w:hAnsi="Times New Roman" w:cs="Times New Roman"/>
          <w:kern w:val="0"/>
          <w14:ligatures w14:val="none"/>
        </w:rPr>
        <w:t>: The Folger digital texts provide consistent, stable reference editions that enable reliable line-level alignment, crucial for maintaining the precision of Variorum commentary attribution.</w:t>
      </w:r>
    </w:p>
    <w:p w14:paraId="4779735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Open Access</w:t>
      </w:r>
      <w:r w:rsidRPr="003F3427">
        <w:rPr>
          <w:rFonts w:ascii="Times New Roman" w:eastAsia="Times New Roman" w:hAnsi="Times New Roman" w:cs="Times New Roman"/>
          <w:kern w:val="0"/>
          <w14:ligatures w14:val="none"/>
        </w:rPr>
        <w:t>: The Folger's commitment to open access aligns with our democratic mission and avoids licensing complications that might limit platform accessibility.</w:t>
      </w:r>
    </w:p>
    <w:p w14:paraId="194BB53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Editorial Philosophy</w:t>
      </w:r>
      <w:r w:rsidRPr="003F3427">
        <w:rPr>
          <w:rFonts w:ascii="Times New Roman" w:eastAsia="Times New Roman" w:hAnsi="Times New Roman" w:cs="Times New Roman"/>
          <w:kern w:val="0"/>
          <w14:ligatures w14:val="none"/>
        </w:rPr>
        <w:t>: The Folger's approach of modernizing orthography while preserving semantic and poetic integrity matches our goal of accessibility without scholarly compromise.</w:t>
      </w:r>
    </w:p>
    <w:p w14:paraId="0872DCB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However, we acknowledge that this choice involves trade-offs. Alternative base texts (such as the Norton or Riverside editions) might offer different editorial approaches, and the alignment process occasionally fails when editorial differences between the Variorum and Folger texts prevent successful line matching.</w:t>
      </w:r>
    </w:p>
    <w:p w14:paraId="39891525"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D. Systematic Bibliographic Resolution</w:t>
      </w:r>
    </w:p>
    <w:p w14:paraId="5AFCF1A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One of the most significant barriers to using the Variorum editions is the opacity of their citation practices. Comments might reference "Johns." (Samuel Johnson), "Mal." (Edmond Malone), or "Clar." (Edward Capell) without providing sufficient context for identification, even with the volumes' bibliographic appendices.</w:t>
      </w:r>
    </w:p>
    <w:p w14:paraId="34D04D6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We employed Claude Code to develop computational agents that systematically processed the entire corpus through a four-stage pipeline:</w:t>
      </w:r>
    </w:p>
    <w:p w14:paraId="3635E379"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Stage 1: Comprehensive Extraction</w:t>
      </w:r>
      <w:r w:rsidRPr="003F3427">
        <w:rPr>
          <w:rFonts w:ascii="Times New Roman" w:eastAsia="Times New Roman" w:hAnsi="Times New Roman" w:cs="Times New Roman"/>
          <w:kern w:val="0"/>
          <w14:ligatures w14:val="none"/>
        </w:rPr>
        <w:t>: Agents scanned every page to identify all personal names, initials, and abbreviated references appearing in commentary, introductory essays, and appendices.</w:t>
      </w:r>
    </w:p>
    <w:p w14:paraId="4C64733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Stage 2: Contextual Classification</w:t>
      </w:r>
      <w:r w:rsidRPr="003F3427">
        <w:rPr>
          <w:rFonts w:ascii="Times New Roman" w:eastAsia="Times New Roman" w:hAnsi="Times New Roman" w:cs="Times New Roman"/>
          <w:kern w:val="0"/>
          <w14:ligatures w14:val="none"/>
        </w:rPr>
        <w:t>: The system categorized references by type (editor, critic, actor, historical figure) and context (textual commentary, performance history, linguistic analysis) to assist in disambiguation.</w:t>
      </w:r>
    </w:p>
    <w:p w14:paraId="44A60D0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Stage 3: Cross-Reference Resolution</w:t>
      </w:r>
      <w:r w:rsidRPr="003F3427">
        <w:rPr>
          <w:rFonts w:ascii="Times New Roman" w:eastAsia="Times New Roman" w:hAnsi="Times New Roman" w:cs="Times New Roman"/>
          <w:kern w:val="0"/>
          <w14:ligatures w14:val="none"/>
        </w:rPr>
        <w:t>: Agents compared abbreviated citations against full names appearing elsewhere in the corpus, resolving ambiguous references through contextual analysis and frequency patterns.</w:t>
      </w:r>
    </w:p>
    <w:p w14:paraId="314DC66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lastRenderedPageBreak/>
        <w:t>Stage 4: Bibliographic Completion</w:t>
      </w:r>
      <w:r w:rsidRPr="003F3427">
        <w:rPr>
          <w:rFonts w:ascii="Times New Roman" w:eastAsia="Times New Roman" w:hAnsi="Times New Roman" w:cs="Times New Roman"/>
          <w:kern w:val="0"/>
          <w14:ligatures w14:val="none"/>
        </w:rPr>
        <w:t>: The system generated comprehensive identification records for each figure, including their scholarly contributions, historical period, and theoretical approach where determinable from context.</w:t>
      </w:r>
    </w:p>
    <w:p w14:paraId="0FC0BAC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This computational approach has significant limitations: approximately 15% of abbreviated references resist resolution due to insufficient contextual information, and the system occasionally produces false positive matches when abbreviations are ambiguous. However, the alternative—manual resolution of thousands of citations across 20 volumes—would be prohibitively time-consuming and likely incomplete.</w:t>
      </w:r>
    </w:p>
    <w:p w14:paraId="6FCB2775"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IV. Technical Implementation</w:t>
      </w:r>
    </w:p>
    <w:p w14:paraId="5FB59D4D"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System Architecture and Design Philosophy</w:t>
      </w:r>
    </w:p>
    <w:p w14:paraId="55607F1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Shakespeare Digital Variorum is deployed as a static web application with serverless computational functions, prioritizing sustainability, transparency, and educational value. This architectural choice reflects several considerations: static sites are more maintainable long-term than complex database-driven applications; the separation of historical data (JSON files) from computational processing (serverless functions) makes the platform's methods more transparent; and the lightweight infrastructure reduces ongoing operational costs, supporting long-term open access.</w:t>
      </w:r>
    </w:p>
    <w:p w14:paraId="71F899A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Presentation Layer</w:t>
      </w:r>
      <w:r w:rsidRPr="003F3427">
        <w:rPr>
          <w:rFonts w:ascii="Times New Roman" w:eastAsia="Times New Roman" w:hAnsi="Times New Roman" w:cs="Times New Roman"/>
          <w:kern w:val="0"/>
          <w14:ligatures w14:val="none"/>
        </w:rPr>
        <w:t>: A single-page interface enabling play selection, scene navigation, and line-level text selection for analysis.</w:t>
      </w:r>
    </w:p>
    <w:p w14:paraId="692C798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Historical Commentary Store</w:t>
      </w:r>
      <w:r w:rsidRPr="003F3427">
        <w:rPr>
          <w:rFonts w:ascii="Times New Roman" w:eastAsia="Times New Roman" w:hAnsi="Times New Roman" w:cs="Times New Roman"/>
          <w:kern w:val="0"/>
          <w14:ligatures w14:val="none"/>
        </w:rPr>
        <w:t>: Structured JSON files containing scene-aligned commentary with resolved citations and modernized line references.</w:t>
      </w:r>
    </w:p>
    <w:p w14:paraId="6A3E4D36"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Computational Analysis Layer</w:t>
      </w:r>
      <w:r w:rsidRPr="003F3427">
        <w:rPr>
          <w:rFonts w:ascii="Times New Roman" w:eastAsia="Times New Roman" w:hAnsi="Times New Roman" w:cs="Times New Roman"/>
          <w:kern w:val="0"/>
          <w14:ligatures w14:val="none"/>
        </w:rPr>
        <w:t>: Serverless functions routing analysis requests to language models based on complexity tiers.</w:t>
      </w:r>
    </w:p>
    <w:p w14:paraId="7324FA6A"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Commentary Access and Alignment</w:t>
      </w:r>
    </w:p>
    <w:p w14:paraId="6CA7A0A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Historical Variorum notes are retrieved through deterministic alignment rather than semantic similarity search. This design choice prioritizes precision and provenance over computational sophistication: users know exactly which historical critic commented on which specific lines, and the system avoids the false positives that semantic search might introduce.</w:t>
      </w:r>
    </w:p>
    <w:p w14:paraId="75CA1E8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When users select text in the Folger edition, the system:</w:t>
      </w:r>
    </w:p>
    <w:p w14:paraId="6601D305" w14:textId="77777777" w:rsidR="003F3427" w:rsidRPr="003F3427" w:rsidRDefault="003F3427" w:rsidP="003F34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Normalizes the selection (removing punctuation variations, stage directions)</w:t>
      </w:r>
    </w:p>
    <w:p w14:paraId="6F0946A6" w14:textId="77777777" w:rsidR="003F3427" w:rsidRPr="003F3427" w:rsidRDefault="003F3427" w:rsidP="003F34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Matches against the aligned Variorum line records</w:t>
      </w:r>
    </w:p>
    <w:p w14:paraId="51E8345B" w14:textId="77777777" w:rsidR="003F3427" w:rsidRPr="003F3427" w:rsidRDefault="003F3427" w:rsidP="003F34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Retrieves associated commentary with full bibliographic context</w:t>
      </w:r>
    </w:p>
    <w:p w14:paraId="542D7008" w14:textId="77777777" w:rsidR="003F3427" w:rsidRPr="003F3427" w:rsidRDefault="003F3427" w:rsidP="003F34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Renders historical notes in a dedicated panel separate from computational analysis</w:t>
      </w:r>
    </w:p>
    <w:p w14:paraId="6E2FCF1A"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lastRenderedPageBreak/>
        <w:t>C. Adaptive Interface Design and Computational Analysis</w:t>
      </w:r>
    </w:p>
    <w:p w14:paraId="3B28FD6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platform provides three levels of computational analysis, though we acknowledge significant limitations in this approach:</w:t>
      </w:r>
    </w:p>
    <w:p w14:paraId="2E8D192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Basic Level</w:t>
      </w:r>
      <w:r w:rsidRPr="003F3427">
        <w:rPr>
          <w:rFonts w:ascii="Times New Roman" w:eastAsia="Times New Roman" w:hAnsi="Times New Roman" w:cs="Times New Roman"/>
          <w:kern w:val="0"/>
          <w14:ligatures w14:val="none"/>
        </w:rPr>
        <w:t>: Plain-language paraphrases and essential glosses suitable for general readers encountering Shakespeare for the first time.</w:t>
      </w:r>
    </w:p>
    <w:p w14:paraId="7609C4E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Expert Level</w:t>
      </w:r>
      <w:r w:rsidRPr="003F3427">
        <w:rPr>
          <w:rFonts w:ascii="Times New Roman" w:eastAsia="Times New Roman" w:hAnsi="Times New Roman" w:cs="Times New Roman"/>
          <w:kern w:val="0"/>
          <w14:ligatures w14:val="none"/>
        </w:rPr>
        <w:t>: More detailed analysis incorporating historical context and critical traditions, appropriate for students and educated general readers.</w:t>
      </w:r>
    </w:p>
    <w:p w14:paraId="6FD2C6E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Full Fathom Five</w:t>
      </w:r>
      <w:r w:rsidRPr="003F3427">
        <w:rPr>
          <w:rFonts w:ascii="Times New Roman" w:eastAsia="Times New Roman" w:hAnsi="Times New Roman" w:cs="Times New Roman"/>
          <w:kern w:val="0"/>
          <w14:ligatures w14:val="none"/>
        </w:rPr>
        <w:t>: Comprehensive commentary that attempts to match the depth of traditional Variorum annotation.</w:t>
      </w:r>
    </w:p>
    <w:p w14:paraId="04264E3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Critical Limitations</w:t>
      </w:r>
      <w:r w:rsidRPr="003F3427">
        <w:rPr>
          <w:rFonts w:ascii="Times New Roman" w:eastAsia="Times New Roman" w:hAnsi="Times New Roman" w:cs="Times New Roman"/>
          <w:kern w:val="0"/>
          <w14:ligatures w14:val="none"/>
        </w:rPr>
        <w:t>: We must emphasize that the computational analysis, while potentially useful for initial orientation and exploration, should not be treated as equivalent to scholarly authority. Large language models, despite their sophisticated outputs, are subject to hallucination, factual errors, and the reproduction of biases present in their training data. The platform clearly labels all computational analysis as machine-generated and maintains strict separation from the historical Variorum commentary, which represents verified scholarly sources.</w:t>
      </w:r>
    </w:p>
    <w:p w14:paraId="4C92440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integration of computational text generation into scholarly contexts remains a contentious issue in digital humanities, and we acknowledge that our approach represents one possible solution among many. Alternative approaches might eschew AI-generated content entirely, focusing solely on improved access to historical sources, and such approaches have significant merit.</w:t>
      </w:r>
    </w:p>
    <w:p w14:paraId="2249A4E7"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D. Multimedia Discovery and External Resource Integration</w:t>
      </w:r>
    </w:p>
    <w:p w14:paraId="7E48074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Beyond providing historical commentary and computational analysis, the platform facilitates discovery of contemporary scholarship and performance materials through contextualized search integration:</w:t>
      </w:r>
    </w:p>
    <w:p w14:paraId="2C4B6AE9"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Performance Discovery</w:t>
      </w:r>
      <w:r w:rsidRPr="003F3427">
        <w:rPr>
          <w:rFonts w:ascii="Times New Roman" w:eastAsia="Times New Roman" w:hAnsi="Times New Roman" w:cs="Times New Roman"/>
          <w:kern w:val="0"/>
          <w14:ligatures w14:val="none"/>
        </w:rPr>
        <w:t>: Direct links to YouTube searches scoped to the specific play, act, scene, and selected passage, enabling users to see how different actors and directors have interpreted the same lines.</w:t>
      </w:r>
    </w:p>
    <w:p w14:paraId="645130C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Scholarly Research</w:t>
      </w:r>
      <w:r w:rsidRPr="003F3427">
        <w:rPr>
          <w:rFonts w:ascii="Times New Roman" w:eastAsia="Times New Roman" w:hAnsi="Times New Roman" w:cs="Times New Roman"/>
          <w:kern w:val="0"/>
          <w14:ligatures w14:val="none"/>
        </w:rPr>
        <w:t>: Automated JSTOR searches targeting the user's current selection, providing access to contemporary academic articles that discuss the specific passages under examination.</w:t>
      </w:r>
    </w:p>
    <w:p w14:paraId="19C83A3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Contextual Precision</w:t>
      </w:r>
      <w:r w:rsidRPr="003F3427">
        <w:rPr>
          <w:rFonts w:ascii="Times New Roman" w:eastAsia="Times New Roman" w:hAnsi="Times New Roman" w:cs="Times New Roman"/>
          <w:kern w:val="0"/>
          <w14:ligatures w14:val="none"/>
        </w:rPr>
        <w:t>: Rather than generic searches, queries are constructed from the play title, act/scene location, and selected text, improving relevance while preserving user agency in evaluating results.</w:t>
      </w:r>
    </w:p>
    <w:p w14:paraId="316E7BF1"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lastRenderedPageBreak/>
        <w:t>V. Results and Implementation</w:t>
      </w:r>
    </w:p>
    <w:p w14:paraId="7695A137"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Corpus Coverage and Scale</w:t>
      </w:r>
    </w:p>
    <w:p w14:paraId="6556C4E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digitization effort achieved comprehensive coverage of the available New Variorum corpus:</w:t>
      </w:r>
    </w:p>
    <w:p w14:paraId="4CCD7B0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Table 1: New Variorum Shakespeare Digital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923"/>
        <w:gridCol w:w="567"/>
        <w:gridCol w:w="3407"/>
        <w:gridCol w:w="1520"/>
      </w:tblGrid>
      <w:tr w:rsidR="003F3427" w:rsidRPr="003F3427" w14:paraId="63CC95DA" w14:textId="77777777">
        <w:trPr>
          <w:tblHeader/>
          <w:tblCellSpacing w:w="15" w:type="dxa"/>
        </w:trPr>
        <w:tc>
          <w:tcPr>
            <w:tcW w:w="0" w:type="auto"/>
            <w:vAlign w:val="center"/>
            <w:hideMark/>
          </w:tcPr>
          <w:p w14:paraId="01F4DD70"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w:t>
            </w:r>
          </w:p>
        </w:tc>
        <w:tc>
          <w:tcPr>
            <w:tcW w:w="0" w:type="auto"/>
            <w:vAlign w:val="center"/>
            <w:hideMark/>
          </w:tcPr>
          <w:p w14:paraId="29DFBFC5"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Play</w:t>
            </w:r>
          </w:p>
        </w:tc>
        <w:tc>
          <w:tcPr>
            <w:tcW w:w="0" w:type="auto"/>
            <w:vAlign w:val="center"/>
            <w:hideMark/>
          </w:tcPr>
          <w:p w14:paraId="07CCB73F"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Year</w:t>
            </w:r>
          </w:p>
        </w:tc>
        <w:tc>
          <w:tcPr>
            <w:tcW w:w="0" w:type="auto"/>
            <w:vAlign w:val="center"/>
            <w:hideMark/>
          </w:tcPr>
          <w:p w14:paraId="539EABBA"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Editor</w:t>
            </w:r>
          </w:p>
        </w:tc>
        <w:tc>
          <w:tcPr>
            <w:tcW w:w="0" w:type="auto"/>
            <w:vAlign w:val="center"/>
            <w:hideMark/>
          </w:tcPr>
          <w:p w14:paraId="092ECF1F"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Status</w:t>
            </w:r>
          </w:p>
        </w:tc>
      </w:tr>
      <w:tr w:rsidR="003F3427" w:rsidRPr="003F3427" w14:paraId="397892A1" w14:textId="77777777">
        <w:trPr>
          <w:tblCellSpacing w:w="15" w:type="dxa"/>
        </w:trPr>
        <w:tc>
          <w:tcPr>
            <w:tcW w:w="0" w:type="auto"/>
            <w:vAlign w:val="center"/>
            <w:hideMark/>
          </w:tcPr>
          <w:p w14:paraId="3A9DB1E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w:t>
            </w:r>
          </w:p>
        </w:tc>
        <w:tc>
          <w:tcPr>
            <w:tcW w:w="0" w:type="auto"/>
            <w:vAlign w:val="center"/>
            <w:hideMark/>
          </w:tcPr>
          <w:p w14:paraId="4EBDA48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Romeo and Juliet</w:t>
            </w:r>
          </w:p>
        </w:tc>
        <w:tc>
          <w:tcPr>
            <w:tcW w:w="0" w:type="auto"/>
            <w:vAlign w:val="center"/>
            <w:hideMark/>
          </w:tcPr>
          <w:p w14:paraId="5C5CE9A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1871</w:t>
            </w:r>
          </w:p>
        </w:tc>
        <w:tc>
          <w:tcPr>
            <w:tcW w:w="0" w:type="auto"/>
            <w:vAlign w:val="center"/>
            <w:hideMark/>
          </w:tcPr>
          <w:p w14:paraId="737D01C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1DBB675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54C5DF0" w14:textId="77777777">
        <w:trPr>
          <w:tblCellSpacing w:w="15" w:type="dxa"/>
        </w:trPr>
        <w:tc>
          <w:tcPr>
            <w:tcW w:w="0" w:type="auto"/>
            <w:vAlign w:val="center"/>
            <w:hideMark/>
          </w:tcPr>
          <w:p w14:paraId="619E076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w:t>
            </w:r>
          </w:p>
        </w:tc>
        <w:tc>
          <w:tcPr>
            <w:tcW w:w="0" w:type="auto"/>
            <w:vAlign w:val="center"/>
            <w:hideMark/>
          </w:tcPr>
          <w:p w14:paraId="068EB6E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Macbeth</w:t>
            </w:r>
          </w:p>
        </w:tc>
        <w:tc>
          <w:tcPr>
            <w:tcW w:w="0" w:type="auto"/>
            <w:vAlign w:val="center"/>
            <w:hideMark/>
          </w:tcPr>
          <w:p w14:paraId="2C0AEC5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1873</w:t>
            </w:r>
          </w:p>
        </w:tc>
        <w:tc>
          <w:tcPr>
            <w:tcW w:w="0" w:type="auto"/>
            <w:vAlign w:val="center"/>
            <w:hideMark/>
          </w:tcPr>
          <w:p w14:paraId="3A19C98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0A56216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528F05B4" w14:textId="77777777">
        <w:trPr>
          <w:tblCellSpacing w:w="15" w:type="dxa"/>
        </w:trPr>
        <w:tc>
          <w:tcPr>
            <w:tcW w:w="0" w:type="auto"/>
            <w:vAlign w:val="center"/>
            <w:hideMark/>
          </w:tcPr>
          <w:p w14:paraId="7DBC7AC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3</w:t>
            </w:r>
          </w:p>
        </w:tc>
        <w:tc>
          <w:tcPr>
            <w:tcW w:w="0" w:type="auto"/>
            <w:vAlign w:val="center"/>
            <w:hideMark/>
          </w:tcPr>
          <w:p w14:paraId="42BF262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Hamlet</w:t>
            </w:r>
          </w:p>
        </w:tc>
        <w:tc>
          <w:tcPr>
            <w:tcW w:w="0" w:type="auto"/>
            <w:vAlign w:val="center"/>
            <w:hideMark/>
          </w:tcPr>
          <w:p w14:paraId="3A272B0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1877</w:t>
            </w:r>
          </w:p>
        </w:tc>
        <w:tc>
          <w:tcPr>
            <w:tcW w:w="0" w:type="auto"/>
            <w:vAlign w:val="center"/>
            <w:hideMark/>
          </w:tcPr>
          <w:p w14:paraId="0BAAF10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37EE786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35B428A" w14:textId="77777777">
        <w:trPr>
          <w:tblCellSpacing w:w="15" w:type="dxa"/>
        </w:trPr>
        <w:tc>
          <w:tcPr>
            <w:tcW w:w="0" w:type="auto"/>
            <w:vAlign w:val="center"/>
            <w:hideMark/>
          </w:tcPr>
          <w:p w14:paraId="53DA99E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4</w:t>
            </w:r>
          </w:p>
        </w:tc>
        <w:tc>
          <w:tcPr>
            <w:tcW w:w="0" w:type="auto"/>
            <w:vAlign w:val="center"/>
            <w:hideMark/>
          </w:tcPr>
          <w:p w14:paraId="044E8EF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King Lear</w:t>
            </w:r>
          </w:p>
        </w:tc>
        <w:tc>
          <w:tcPr>
            <w:tcW w:w="0" w:type="auto"/>
            <w:vAlign w:val="center"/>
            <w:hideMark/>
          </w:tcPr>
          <w:p w14:paraId="54CEF94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1880</w:t>
            </w:r>
          </w:p>
        </w:tc>
        <w:tc>
          <w:tcPr>
            <w:tcW w:w="0" w:type="auto"/>
            <w:vAlign w:val="center"/>
            <w:hideMark/>
          </w:tcPr>
          <w:p w14:paraId="233E4CC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281406F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5196EB2B" w14:textId="77777777">
        <w:trPr>
          <w:tblCellSpacing w:w="15" w:type="dxa"/>
        </w:trPr>
        <w:tc>
          <w:tcPr>
            <w:tcW w:w="0" w:type="auto"/>
            <w:vAlign w:val="center"/>
            <w:hideMark/>
          </w:tcPr>
          <w:p w14:paraId="7F146CB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5</w:t>
            </w:r>
          </w:p>
        </w:tc>
        <w:tc>
          <w:tcPr>
            <w:tcW w:w="0" w:type="auto"/>
            <w:vAlign w:val="center"/>
            <w:hideMark/>
          </w:tcPr>
          <w:p w14:paraId="4D9AA3D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Othello</w:t>
            </w:r>
          </w:p>
        </w:tc>
        <w:tc>
          <w:tcPr>
            <w:tcW w:w="0" w:type="auto"/>
            <w:vAlign w:val="center"/>
            <w:hideMark/>
          </w:tcPr>
          <w:p w14:paraId="408CF56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1886</w:t>
            </w:r>
          </w:p>
        </w:tc>
        <w:tc>
          <w:tcPr>
            <w:tcW w:w="0" w:type="auto"/>
            <w:vAlign w:val="center"/>
            <w:hideMark/>
          </w:tcPr>
          <w:p w14:paraId="7AB053E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598EAD3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563F143" w14:textId="77777777">
        <w:trPr>
          <w:tblCellSpacing w:w="15" w:type="dxa"/>
        </w:trPr>
        <w:tc>
          <w:tcPr>
            <w:tcW w:w="0" w:type="auto"/>
            <w:vAlign w:val="center"/>
            <w:hideMark/>
          </w:tcPr>
          <w:p w14:paraId="25C8BD9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6</w:t>
            </w:r>
          </w:p>
        </w:tc>
        <w:tc>
          <w:tcPr>
            <w:tcW w:w="0" w:type="auto"/>
            <w:vAlign w:val="center"/>
            <w:hideMark/>
          </w:tcPr>
          <w:p w14:paraId="211D419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Merchant of Venice</w:t>
            </w:r>
          </w:p>
        </w:tc>
        <w:tc>
          <w:tcPr>
            <w:tcW w:w="0" w:type="auto"/>
            <w:vAlign w:val="center"/>
            <w:hideMark/>
          </w:tcPr>
          <w:p w14:paraId="7A68FBA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1888</w:t>
            </w:r>
          </w:p>
        </w:tc>
        <w:tc>
          <w:tcPr>
            <w:tcW w:w="0" w:type="auto"/>
            <w:vAlign w:val="center"/>
            <w:hideMark/>
          </w:tcPr>
          <w:p w14:paraId="288AA39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69B37A3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54A453C" w14:textId="77777777">
        <w:trPr>
          <w:tblCellSpacing w:w="15" w:type="dxa"/>
        </w:trPr>
        <w:tc>
          <w:tcPr>
            <w:tcW w:w="0" w:type="auto"/>
            <w:vAlign w:val="center"/>
            <w:hideMark/>
          </w:tcPr>
          <w:p w14:paraId="062B5F0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7</w:t>
            </w:r>
          </w:p>
        </w:tc>
        <w:tc>
          <w:tcPr>
            <w:tcW w:w="0" w:type="auto"/>
            <w:vAlign w:val="center"/>
            <w:hideMark/>
          </w:tcPr>
          <w:p w14:paraId="48EA22A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As You Like It</w:t>
            </w:r>
          </w:p>
        </w:tc>
        <w:tc>
          <w:tcPr>
            <w:tcW w:w="0" w:type="auto"/>
            <w:vAlign w:val="center"/>
            <w:hideMark/>
          </w:tcPr>
          <w:p w14:paraId="5941467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1890</w:t>
            </w:r>
          </w:p>
        </w:tc>
        <w:tc>
          <w:tcPr>
            <w:tcW w:w="0" w:type="auto"/>
            <w:vAlign w:val="center"/>
            <w:hideMark/>
          </w:tcPr>
          <w:p w14:paraId="3838906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6D099FF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29E5A39" w14:textId="77777777">
        <w:trPr>
          <w:tblCellSpacing w:w="15" w:type="dxa"/>
        </w:trPr>
        <w:tc>
          <w:tcPr>
            <w:tcW w:w="0" w:type="auto"/>
            <w:vAlign w:val="center"/>
            <w:hideMark/>
          </w:tcPr>
          <w:p w14:paraId="2D4ED05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8</w:t>
            </w:r>
          </w:p>
        </w:tc>
        <w:tc>
          <w:tcPr>
            <w:tcW w:w="0" w:type="auto"/>
            <w:vAlign w:val="center"/>
            <w:hideMark/>
          </w:tcPr>
          <w:p w14:paraId="439C30C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Tempest</w:t>
            </w:r>
          </w:p>
        </w:tc>
        <w:tc>
          <w:tcPr>
            <w:tcW w:w="0" w:type="auto"/>
            <w:vAlign w:val="center"/>
            <w:hideMark/>
          </w:tcPr>
          <w:p w14:paraId="5A08874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1892</w:t>
            </w:r>
          </w:p>
        </w:tc>
        <w:tc>
          <w:tcPr>
            <w:tcW w:w="0" w:type="auto"/>
            <w:vAlign w:val="center"/>
            <w:hideMark/>
          </w:tcPr>
          <w:p w14:paraId="143A9D1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27A93D3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386711E" w14:textId="77777777">
        <w:trPr>
          <w:tblCellSpacing w:w="15" w:type="dxa"/>
        </w:trPr>
        <w:tc>
          <w:tcPr>
            <w:tcW w:w="0" w:type="auto"/>
            <w:vAlign w:val="center"/>
            <w:hideMark/>
          </w:tcPr>
          <w:p w14:paraId="2FF7FE1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9</w:t>
            </w:r>
          </w:p>
        </w:tc>
        <w:tc>
          <w:tcPr>
            <w:tcW w:w="0" w:type="auto"/>
            <w:vAlign w:val="center"/>
            <w:hideMark/>
          </w:tcPr>
          <w:p w14:paraId="57DCB4B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A Midsummer Night's Dream</w:t>
            </w:r>
          </w:p>
        </w:tc>
        <w:tc>
          <w:tcPr>
            <w:tcW w:w="0" w:type="auto"/>
            <w:vAlign w:val="center"/>
            <w:hideMark/>
          </w:tcPr>
          <w:p w14:paraId="490CC47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1895</w:t>
            </w:r>
          </w:p>
        </w:tc>
        <w:tc>
          <w:tcPr>
            <w:tcW w:w="0" w:type="auto"/>
            <w:vAlign w:val="center"/>
            <w:hideMark/>
          </w:tcPr>
          <w:p w14:paraId="09D8EA3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619EC8B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7811160B" w14:textId="77777777">
        <w:trPr>
          <w:tblCellSpacing w:w="15" w:type="dxa"/>
        </w:trPr>
        <w:tc>
          <w:tcPr>
            <w:tcW w:w="0" w:type="auto"/>
            <w:vAlign w:val="center"/>
            <w:hideMark/>
          </w:tcPr>
          <w:p w14:paraId="77AE499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10</w:t>
            </w:r>
          </w:p>
        </w:tc>
        <w:tc>
          <w:tcPr>
            <w:tcW w:w="0" w:type="auto"/>
            <w:vAlign w:val="center"/>
            <w:hideMark/>
          </w:tcPr>
          <w:p w14:paraId="744905F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Winter's Tale</w:t>
            </w:r>
          </w:p>
        </w:tc>
        <w:tc>
          <w:tcPr>
            <w:tcW w:w="0" w:type="auto"/>
            <w:vAlign w:val="center"/>
            <w:hideMark/>
          </w:tcPr>
          <w:p w14:paraId="3076706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1898</w:t>
            </w:r>
          </w:p>
        </w:tc>
        <w:tc>
          <w:tcPr>
            <w:tcW w:w="0" w:type="auto"/>
            <w:vAlign w:val="center"/>
            <w:hideMark/>
          </w:tcPr>
          <w:p w14:paraId="4AC2142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128AF62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153A352D" w14:textId="77777777">
        <w:trPr>
          <w:tblCellSpacing w:w="15" w:type="dxa"/>
        </w:trPr>
        <w:tc>
          <w:tcPr>
            <w:tcW w:w="0" w:type="auto"/>
            <w:vAlign w:val="center"/>
            <w:hideMark/>
          </w:tcPr>
          <w:p w14:paraId="42879DD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11</w:t>
            </w:r>
          </w:p>
        </w:tc>
        <w:tc>
          <w:tcPr>
            <w:tcW w:w="0" w:type="auto"/>
            <w:vAlign w:val="center"/>
            <w:hideMark/>
          </w:tcPr>
          <w:p w14:paraId="67BEB53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Much Ado About Nothing</w:t>
            </w:r>
          </w:p>
        </w:tc>
        <w:tc>
          <w:tcPr>
            <w:tcW w:w="0" w:type="auto"/>
            <w:vAlign w:val="center"/>
            <w:hideMark/>
          </w:tcPr>
          <w:p w14:paraId="1A39F73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1899</w:t>
            </w:r>
          </w:p>
        </w:tc>
        <w:tc>
          <w:tcPr>
            <w:tcW w:w="0" w:type="auto"/>
            <w:vAlign w:val="center"/>
            <w:hideMark/>
          </w:tcPr>
          <w:p w14:paraId="3CCDA75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389A5EF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62A5B040" w14:textId="77777777">
        <w:trPr>
          <w:tblCellSpacing w:w="15" w:type="dxa"/>
        </w:trPr>
        <w:tc>
          <w:tcPr>
            <w:tcW w:w="0" w:type="auto"/>
            <w:vAlign w:val="center"/>
            <w:hideMark/>
          </w:tcPr>
          <w:p w14:paraId="7516B41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12</w:t>
            </w:r>
          </w:p>
        </w:tc>
        <w:tc>
          <w:tcPr>
            <w:tcW w:w="0" w:type="auto"/>
            <w:vAlign w:val="center"/>
            <w:hideMark/>
          </w:tcPr>
          <w:p w14:paraId="0307F82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Twelfth Night</w:t>
            </w:r>
          </w:p>
        </w:tc>
        <w:tc>
          <w:tcPr>
            <w:tcW w:w="0" w:type="auto"/>
            <w:vAlign w:val="center"/>
            <w:hideMark/>
          </w:tcPr>
          <w:p w14:paraId="63C6C3C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1901</w:t>
            </w:r>
          </w:p>
        </w:tc>
        <w:tc>
          <w:tcPr>
            <w:tcW w:w="0" w:type="auto"/>
            <w:vAlign w:val="center"/>
            <w:hideMark/>
          </w:tcPr>
          <w:p w14:paraId="5B50C50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44A4002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6AF2D6FA" w14:textId="77777777">
        <w:trPr>
          <w:tblCellSpacing w:w="15" w:type="dxa"/>
        </w:trPr>
        <w:tc>
          <w:tcPr>
            <w:tcW w:w="0" w:type="auto"/>
            <w:vAlign w:val="center"/>
            <w:hideMark/>
          </w:tcPr>
          <w:p w14:paraId="0967854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13</w:t>
            </w:r>
          </w:p>
        </w:tc>
        <w:tc>
          <w:tcPr>
            <w:tcW w:w="0" w:type="auto"/>
            <w:vAlign w:val="center"/>
            <w:hideMark/>
          </w:tcPr>
          <w:p w14:paraId="6370E29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Love's </w:t>
            </w:r>
            <w:proofErr w:type="spellStart"/>
            <w:r w:rsidRPr="003F3427">
              <w:rPr>
                <w:rFonts w:ascii="Times New Roman" w:eastAsia="Times New Roman" w:hAnsi="Times New Roman" w:cs="Times New Roman"/>
                <w:kern w:val="0"/>
                <w14:ligatures w14:val="none"/>
              </w:rPr>
              <w:t>Labour's</w:t>
            </w:r>
            <w:proofErr w:type="spellEnd"/>
            <w:r w:rsidRPr="003F3427">
              <w:rPr>
                <w:rFonts w:ascii="Times New Roman" w:eastAsia="Times New Roman" w:hAnsi="Times New Roman" w:cs="Times New Roman"/>
                <w:kern w:val="0"/>
                <w14:ligatures w14:val="none"/>
              </w:rPr>
              <w:t xml:space="preserve"> Lost</w:t>
            </w:r>
          </w:p>
        </w:tc>
        <w:tc>
          <w:tcPr>
            <w:tcW w:w="0" w:type="auto"/>
            <w:vAlign w:val="center"/>
            <w:hideMark/>
          </w:tcPr>
          <w:p w14:paraId="7CB08C1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1904</w:t>
            </w:r>
          </w:p>
        </w:tc>
        <w:tc>
          <w:tcPr>
            <w:tcW w:w="0" w:type="auto"/>
            <w:vAlign w:val="center"/>
            <w:hideMark/>
          </w:tcPr>
          <w:p w14:paraId="1BFC6AF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3DA12AC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D5C1A7B" w14:textId="77777777">
        <w:trPr>
          <w:tblCellSpacing w:w="15" w:type="dxa"/>
        </w:trPr>
        <w:tc>
          <w:tcPr>
            <w:tcW w:w="0" w:type="auto"/>
            <w:vAlign w:val="center"/>
            <w:hideMark/>
          </w:tcPr>
          <w:p w14:paraId="012E27F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14</w:t>
            </w:r>
          </w:p>
        </w:tc>
        <w:tc>
          <w:tcPr>
            <w:tcW w:w="0" w:type="auto"/>
            <w:vAlign w:val="center"/>
            <w:hideMark/>
          </w:tcPr>
          <w:p w14:paraId="62C0CF6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Antony and Cleopatra</w:t>
            </w:r>
          </w:p>
        </w:tc>
        <w:tc>
          <w:tcPr>
            <w:tcW w:w="0" w:type="auto"/>
            <w:vAlign w:val="center"/>
            <w:hideMark/>
          </w:tcPr>
          <w:p w14:paraId="19E2837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1907</w:t>
            </w:r>
          </w:p>
        </w:tc>
        <w:tc>
          <w:tcPr>
            <w:tcW w:w="0" w:type="auto"/>
            <w:vAlign w:val="center"/>
            <w:hideMark/>
          </w:tcPr>
          <w:p w14:paraId="21DAE6C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65D4BCC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10137A17" w14:textId="77777777">
        <w:trPr>
          <w:tblCellSpacing w:w="15" w:type="dxa"/>
        </w:trPr>
        <w:tc>
          <w:tcPr>
            <w:tcW w:w="0" w:type="auto"/>
            <w:vAlign w:val="center"/>
            <w:hideMark/>
          </w:tcPr>
          <w:p w14:paraId="4170ACE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15</w:t>
            </w:r>
          </w:p>
        </w:tc>
        <w:tc>
          <w:tcPr>
            <w:tcW w:w="0" w:type="auto"/>
            <w:vAlign w:val="center"/>
            <w:hideMark/>
          </w:tcPr>
          <w:p w14:paraId="1AA54FE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Richard III</w:t>
            </w:r>
          </w:p>
        </w:tc>
        <w:tc>
          <w:tcPr>
            <w:tcW w:w="0" w:type="auto"/>
            <w:vAlign w:val="center"/>
            <w:hideMark/>
          </w:tcPr>
          <w:p w14:paraId="52F6A5F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1908</w:t>
            </w:r>
          </w:p>
        </w:tc>
        <w:tc>
          <w:tcPr>
            <w:tcW w:w="0" w:type="auto"/>
            <w:vAlign w:val="center"/>
            <w:hideMark/>
          </w:tcPr>
          <w:p w14:paraId="5B4A8B5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55CF62F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569C0AF9" w14:textId="77777777">
        <w:trPr>
          <w:tblCellSpacing w:w="15" w:type="dxa"/>
        </w:trPr>
        <w:tc>
          <w:tcPr>
            <w:tcW w:w="0" w:type="auto"/>
            <w:vAlign w:val="center"/>
            <w:hideMark/>
          </w:tcPr>
          <w:p w14:paraId="563F833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16</w:t>
            </w:r>
          </w:p>
        </w:tc>
        <w:tc>
          <w:tcPr>
            <w:tcW w:w="0" w:type="auto"/>
            <w:vAlign w:val="center"/>
            <w:hideMark/>
          </w:tcPr>
          <w:p w14:paraId="5D99E46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Julius Caesar</w:t>
            </w:r>
          </w:p>
        </w:tc>
        <w:tc>
          <w:tcPr>
            <w:tcW w:w="0" w:type="auto"/>
            <w:vAlign w:val="center"/>
            <w:hideMark/>
          </w:tcPr>
          <w:p w14:paraId="73DBC37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1913</w:t>
            </w:r>
          </w:p>
        </w:tc>
        <w:tc>
          <w:tcPr>
            <w:tcW w:w="0" w:type="auto"/>
            <w:vAlign w:val="center"/>
            <w:hideMark/>
          </w:tcPr>
          <w:p w14:paraId="50E7999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5FFBB6A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08B6EC5D" w14:textId="77777777">
        <w:trPr>
          <w:tblCellSpacing w:w="15" w:type="dxa"/>
        </w:trPr>
        <w:tc>
          <w:tcPr>
            <w:tcW w:w="0" w:type="auto"/>
            <w:vAlign w:val="center"/>
            <w:hideMark/>
          </w:tcPr>
          <w:p w14:paraId="3B5DE38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17</w:t>
            </w:r>
          </w:p>
        </w:tc>
        <w:tc>
          <w:tcPr>
            <w:tcW w:w="0" w:type="auto"/>
            <w:vAlign w:val="center"/>
            <w:hideMark/>
          </w:tcPr>
          <w:p w14:paraId="1BEE693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Cymbeline</w:t>
            </w:r>
          </w:p>
        </w:tc>
        <w:tc>
          <w:tcPr>
            <w:tcW w:w="0" w:type="auto"/>
            <w:vAlign w:val="center"/>
            <w:hideMark/>
          </w:tcPr>
          <w:p w14:paraId="24464AA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1913</w:t>
            </w:r>
          </w:p>
        </w:tc>
        <w:tc>
          <w:tcPr>
            <w:tcW w:w="0" w:type="auto"/>
            <w:vAlign w:val="center"/>
            <w:hideMark/>
          </w:tcPr>
          <w:p w14:paraId="37AAB7F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2B5F792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769436AF" w14:textId="77777777">
        <w:trPr>
          <w:tblCellSpacing w:w="15" w:type="dxa"/>
        </w:trPr>
        <w:tc>
          <w:tcPr>
            <w:tcW w:w="0" w:type="auto"/>
            <w:vAlign w:val="center"/>
            <w:hideMark/>
          </w:tcPr>
          <w:p w14:paraId="6C966B8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w:t>
            </w:r>
          </w:p>
        </w:tc>
        <w:tc>
          <w:tcPr>
            <w:tcW w:w="0" w:type="auto"/>
            <w:vAlign w:val="center"/>
            <w:hideMark/>
          </w:tcPr>
          <w:p w14:paraId="61A8C9C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King John</w:t>
            </w:r>
          </w:p>
        </w:tc>
        <w:tc>
          <w:tcPr>
            <w:tcW w:w="0" w:type="auto"/>
            <w:vAlign w:val="center"/>
            <w:hideMark/>
          </w:tcPr>
          <w:p w14:paraId="2352A58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1919</w:t>
            </w:r>
          </w:p>
        </w:tc>
        <w:tc>
          <w:tcPr>
            <w:tcW w:w="0" w:type="auto"/>
            <w:vAlign w:val="center"/>
            <w:hideMark/>
          </w:tcPr>
          <w:p w14:paraId="34A5D12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 Jr.</w:t>
            </w:r>
          </w:p>
        </w:tc>
        <w:tc>
          <w:tcPr>
            <w:tcW w:w="0" w:type="auto"/>
            <w:vAlign w:val="center"/>
            <w:hideMark/>
          </w:tcPr>
          <w:p w14:paraId="585601E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677F304E" w14:textId="77777777">
        <w:trPr>
          <w:tblCellSpacing w:w="15" w:type="dxa"/>
        </w:trPr>
        <w:tc>
          <w:tcPr>
            <w:tcW w:w="0" w:type="auto"/>
            <w:vAlign w:val="center"/>
            <w:hideMark/>
          </w:tcPr>
          <w:p w14:paraId="2F02DF1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w:t>
            </w:r>
          </w:p>
        </w:tc>
        <w:tc>
          <w:tcPr>
            <w:tcW w:w="0" w:type="auto"/>
            <w:vAlign w:val="center"/>
            <w:hideMark/>
          </w:tcPr>
          <w:p w14:paraId="1C36725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Coriolanus</w:t>
            </w:r>
          </w:p>
        </w:tc>
        <w:tc>
          <w:tcPr>
            <w:tcW w:w="0" w:type="auto"/>
            <w:vAlign w:val="center"/>
            <w:hideMark/>
          </w:tcPr>
          <w:p w14:paraId="6FCE4C4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1928</w:t>
            </w:r>
          </w:p>
        </w:tc>
        <w:tc>
          <w:tcPr>
            <w:tcW w:w="0" w:type="auto"/>
            <w:vAlign w:val="center"/>
            <w:hideMark/>
          </w:tcPr>
          <w:p w14:paraId="5851083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 Jr.</w:t>
            </w:r>
          </w:p>
        </w:tc>
        <w:tc>
          <w:tcPr>
            <w:tcW w:w="0" w:type="auto"/>
            <w:vAlign w:val="center"/>
            <w:hideMark/>
          </w:tcPr>
          <w:p w14:paraId="37B64B9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4DDFF23" w14:textId="77777777">
        <w:trPr>
          <w:tblCellSpacing w:w="15" w:type="dxa"/>
        </w:trPr>
        <w:tc>
          <w:tcPr>
            <w:tcW w:w="0" w:type="auto"/>
            <w:vAlign w:val="center"/>
            <w:hideMark/>
          </w:tcPr>
          <w:p w14:paraId="156D069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20</w:t>
            </w:r>
          </w:p>
        </w:tc>
        <w:tc>
          <w:tcPr>
            <w:tcW w:w="0" w:type="auto"/>
            <w:vAlign w:val="center"/>
            <w:hideMark/>
          </w:tcPr>
          <w:p w14:paraId="12A38C8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Henry IV, Part 1</w:t>
            </w:r>
          </w:p>
        </w:tc>
        <w:tc>
          <w:tcPr>
            <w:tcW w:w="0" w:type="auto"/>
            <w:vAlign w:val="center"/>
            <w:hideMark/>
          </w:tcPr>
          <w:p w14:paraId="2753DD0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1936</w:t>
            </w:r>
          </w:p>
        </w:tc>
        <w:tc>
          <w:tcPr>
            <w:tcW w:w="0" w:type="auto"/>
            <w:vAlign w:val="center"/>
            <w:hideMark/>
          </w:tcPr>
          <w:p w14:paraId="5754482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S. B. Hemingway</w:t>
            </w:r>
          </w:p>
        </w:tc>
        <w:tc>
          <w:tcPr>
            <w:tcW w:w="0" w:type="auto"/>
            <w:vAlign w:val="center"/>
            <w:hideMark/>
          </w:tcPr>
          <w:p w14:paraId="57604FB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781FBD85" w14:textId="77777777">
        <w:trPr>
          <w:tblCellSpacing w:w="15" w:type="dxa"/>
        </w:trPr>
        <w:tc>
          <w:tcPr>
            <w:tcW w:w="0" w:type="auto"/>
            <w:vAlign w:val="center"/>
            <w:hideMark/>
          </w:tcPr>
          <w:p w14:paraId="7391A04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21</w:t>
            </w:r>
          </w:p>
        </w:tc>
        <w:tc>
          <w:tcPr>
            <w:tcW w:w="0" w:type="auto"/>
            <w:vAlign w:val="center"/>
            <w:hideMark/>
          </w:tcPr>
          <w:p w14:paraId="34BEB75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Henry IV, Part 2</w:t>
            </w:r>
          </w:p>
        </w:tc>
        <w:tc>
          <w:tcPr>
            <w:tcW w:w="0" w:type="auto"/>
            <w:vAlign w:val="center"/>
            <w:hideMark/>
          </w:tcPr>
          <w:p w14:paraId="138C152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1940</w:t>
            </w:r>
          </w:p>
        </w:tc>
        <w:tc>
          <w:tcPr>
            <w:tcW w:w="0" w:type="auto"/>
            <w:vAlign w:val="center"/>
            <w:hideMark/>
          </w:tcPr>
          <w:p w14:paraId="0014CB9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M. A. </w:t>
            </w:r>
            <w:proofErr w:type="spellStart"/>
            <w:r w:rsidRPr="003F3427">
              <w:rPr>
                <w:rFonts w:ascii="Times New Roman" w:eastAsia="Times New Roman" w:hAnsi="Times New Roman" w:cs="Times New Roman"/>
                <w:kern w:val="0"/>
                <w14:ligatures w14:val="none"/>
              </w:rPr>
              <w:t>Shaaber</w:t>
            </w:r>
            <w:proofErr w:type="spellEnd"/>
          </w:p>
        </w:tc>
        <w:tc>
          <w:tcPr>
            <w:tcW w:w="0" w:type="auto"/>
            <w:vAlign w:val="center"/>
            <w:hideMark/>
          </w:tcPr>
          <w:p w14:paraId="38D2555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Forthcoming</w:t>
            </w:r>
          </w:p>
        </w:tc>
      </w:tr>
      <w:tr w:rsidR="003F3427" w:rsidRPr="003F3427" w14:paraId="5D0FB1EE" w14:textId="77777777">
        <w:trPr>
          <w:tblCellSpacing w:w="15" w:type="dxa"/>
        </w:trPr>
        <w:tc>
          <w:tcPr>
            <w:tcW w:w="0" w:type="auto"/>
            <w:vAlign w:val="center"/>
            <w:hideMark/>
          </w:tcPr>
          <w:p w14:paraId="74B68E8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22</w:t>
            </w:r>
          </w:p>
        </w:tc>
        <w:tc>
          <w:tcPr>
            <w:tcW w:w="0" w:type="auto"/>
            <w:vAlign w:val="center"/>
            <w:hideMark/>
          </w:tcPr>
          <w:p w14:paraId="1A86AA9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Troilus and Cressida</w:t>
            </w:r>
          </w:p>
        </w:tc>
        <w:tc>
          <w:tcPr>
            <w:tcW w:w="0" w:type="auto"/>
            <w:vAlign w:val="center"/>
            <w:hideMark/>
          </w:tcPr>
          <w:p w14:paraId="3B4AF25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1953</w:t>
            </w:r>
          </w:p>
        </w:tc>
        <w:tc>
          <w:tcPr>
            <w:tcW w:w="0" w:type="auto"/>
            <w:vAlign w:val="center"/>
            <w:hideMark/>
          </w:tcPr>
          <w:p w14:paraId="4540CAA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N. Hillebrand &amp; T. W. Baldwin</w:t>
            </w:r>
          </w:p>
        </w:tc>
        <w:tc>
          <w:tcPr>
            <w:tcW w:w="0" w:type="auto"/>
            <w:vAlign w:val="center"/>
            <w:hideMark/>
          </w:tcPr>
          <w:p w14:paraId="61AA4B1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Forthcoming</w:t>
            </w:r>
          </w:p>
        </w:tc>
      </w:tr>
      <w:tr w:rsidR="003F3427" w:rsidRPr="003F3427" w14:paraId="1D52500F" w14:textId="77777777">
        <w:trPr>
          <w:tblCellSpacing w:w="15" w:type="dxa"/>
        </w:trPr>
        <w:tc>
          <w:tcPr>
            <w:tcW w:w="0" w:type="auto"/>
            <w:vAlign w:val="center"/>
            <w:hideMark/>
          </w:tcPr>
          <w:p w14:paraId="3E29EBF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23</w:t>
            </w:r>
          </w:p>
        </w:tc>
        <w:tc>
          <w:tcPr>
            <w:tcW w:w="0" w:type="auto"/>
            <w:vAlign w:val="center"/>
            <w:hideMark/>
          </w:tcPr>
          <w:p w14:paraId="694E9A9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Richard II</w:t>
            </w:r>
          </w:p>
        </w:tc>
        <w:tc>
          <w:tcPr>
            <w:tcW w:w="0" w:type="auto"/>
            <w:vAlign w:val="center"/>
            <w:hideMark/>
          </w:tcPr>
          <w:p w14:paraId="078DFC6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1955</w:t>
            </w:r>
          </w:p>
        </w:tc>
        <w:tc>
          <w:tcPr>
            <w:tcW w:w="0" w:type="auto"/>
            <w:vAlign w:val="center"/>
            <w:hideMark/>
          </w:tcPr>
          <w:p w14:paraId="6D19024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M. W. Black</w:t>
            </w:r>
          </w:p>
        </w:tc>
        <w:tc>
          <w:tcPr>
            <w:tcW w:w="0" w:type="auto"/>
            <w:vAlign w:val="center"/>
            <w:hideMark/>
          </w:tcPr>
          <w:p w14:paraId="7379A8E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Forthcoming</w:t>
            </w:r>
          </w:p>
        </w:tc>
      </w:tr>
    </w:tbl>
    <w:p w14:paraId="79D61FB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Summary Statistics</w:t>
      </w:r>
      <w:r w:rsidRPr="003F3427">
        <w:rPr>
          <w:rFonts w:ascii="Times New Roman" w:eastAsia="Times New Roman" w:hAnsi="Times New Roman" w:cs="Times New Roman"/>
          <w:kern w:val="0"/>
          <w14:ligatures w14:val="none"/>
        </w:rPr>
        <w:t>:</w:t>
      </w:r>
    </w:p>
    <w:p w14:paraId="268ADE1C" w14:textId="77777777" w:rsidR="003F3427" w:rsidRPr="003F3427" w:rsidRDefault="003F3427" w:rsidP="003F34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Complete coverage: 20/23 plays (87%)</w:t>
      </w:r>
    </w:p>
    <w:p w14:paraId="3877A7F9" w14:textId="77777777" w:rsidR="003F3427" w:rsidRPr="003F3427" w:rsidRDefault="003F3427" w:rsidP="003F34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Historical span: 1871-1936 (65 years)</w:t>
      </w:r>
    </w:p>
    <w:p w14:paraId="6173C017" w14:textId="77777777" w:rsidR="003F3427" w:rsidRPr="003F3427" w:rsidRDefault="003F3427" w:rsidP="003F34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Approximate page count: 13,000+ pages of commentary</w:t>
      </w:r>
    </w:p>
    <w:p w14:paraId="309D1AE2" w14:textId="77777777" w:rsidR="003F3427" w:rsidRPr="003F3427" w:rsidRDefault="003F3427" w:rsidP="003F34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Extracted references: 3,500+ individual critics and scholars</w:t>
      </w:r>
    </w:p>
    <w:p w14:paraId="161D127E"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Bibliographic Resolution Outcomes</w:t>
      </w:r>
    </w:p>
    <w:p w14:paraId="745B1CB3"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systematic bibliographic resolution process produced a comprehensive database of figures mentioned throughout the corpus. While we cannot provide detailed accuracy metrics without expert verification, the process identified and catalogued:</w:t>
      </w:r>
    </w:p>
    <w:p w14:paraId="6668F051" w14:textId="77777777" w:rsidR="003F3427" w:rsidRPr="003F3427" w:rsidRDefault="003F3427" w:rsidP="003F34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1,200+ individual critics</w:t>
      </w:r>
      <w:r w:rsidRPr="003F3427">
        <w:rPr>
          <w:rFonts w:ascii="Times New Roman" w:eastAsia="Times New Roman" w:hAnsi="Times New Roman" w:cs="Times New Roman"/>
          <w:kern w:val="0"/>
          <w14:ligatures w14:val="none"/>
        </w:rPr>
        <w:t xml:space="preserve"> mentioned across the corpus</w:t>
      </w:r>
    </w:p>
    <w:p w14:paraId="62D845D7" w14:textId="77777777" w:rsidR="003F3427" w:rsidRPr="003F3427" w:rsidRDefault="003F3427" w:rsidP="003F34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850+ resolved abbreviations</w:t>
      </w:r>
      <w:r w:rsidRPr="003F3427">
        <w:rPr>
          <w:rFonts w:ascii="Times New Roman" w:eastAsia="Times New Roman" w:hAnsi="Times New Roman" w:cs="Times New Roman"/>
          <w:kern w:val="0"/>
          <w14:ligatures w14:val="none"/>
        </w:rPr>
        <w:t xml:space="preserve"> and incomplete citations</w:t>
      </w:r>
    </w:p>
    <w:p w14:paraId="1DFC30F5" w14:textId="77777777" w:rsidR="003F3427" w:rsidRPr="003F3427" w:rsidRDefault="003F3427" w:rsidP="003F34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400+ cross-references</w:t>
      </w:r>
      <w:r w:rsidRPr="003F3427">
        <w:rPr>
          <w:rFonts w:ascii="Times New Roman" w:eastAsia="Times New Roman" w:hAnsi="Times New Roman" w:cs="Times New Roman"/>
          <w:kern w:val="0"/>
          <w14:ligatures w14:val="none"/>
        </w:rPr>
        <w:t xml:space="preserve"> between volumes and editors</w:t>
      </w:r>
    </w:p>
    <w:p w14:paraId="6EEEF766" w14:textId="77777777" w:rsidR="003F3427" w:rsidRPr="003F3427" w:rsidRDefault="003F3427" w:rsidP="003F34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300+ performance references</w:t>
      </w:r>
      <w:r w:rsidRPr="003F3427">
        <w:rPr>
          <w:rFonts w:ascii="Times New Roman" w:eastAsia="Times New Roman" w:hAnsi="Times New Roman" w:cs="Times New Roman"/>
          <w:kern w:val="0"/>
          <w14:ligatures w14:val="none"/>
        </w:rPr>
        <w:t xml:space="preserve"> with identified actors and productions</w:t>
      </w:r>
    </w:p>
    <w:p w14:paraId="6096006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This represents a substantial expansion of the accessible scholarly apparatus, though we acknowledge that the accuracy of these resolutions varies and would benefit from expert review and correction.</w:t>
      </w:r>
    </w:p>
    <w:p w14:paraId="759B903E"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C. Technical Performance</w:t>
      </w:r>
    </w:p>
    <w:p w14:paraId="6BF9864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platform demonstrates functional performance across its technical components:</w:t>
      </w:r>
    </w:p>
    <w:p w14:paraId="5EA0E68C" w14:textId="77777777" w:rsidR="003F3427" w:rsidRPr="003F3427" w:rsidRDefault="003F3427" w:rsidP="003F34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OCR Processing</w:t>
      </w:r>
      <w:r w:rsidRPr="003F3427">
        <w:rPr>
          <w:rFonts w:ascii="Times New Roman" w:eastAsia="Times New Roman" w:hAnsi="Times New Roman" w:cs="Times New Roman"/>
          <w:kern w:val="0"/>
          <w14:ligatures w14:val="none"/>
        </w:rPr>
        <w:t>: Text extraction was validated against original scans with manual correction of errors, with particular attention to abbreviated citations, footnote typography, and historical printing conventions</w:t>
      </w:r>
    </w:p>
    <w:p w14:paraId="5DB96ED6" w14:textId="77777777" w:rsidR="003F3427" w:rsidRPr="003F3427" w:rsidRDefault="003F3427" w:rsidP="003F34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Alignment Success</w:t>
      </w:r>
      <w:r w:rsidRPr="003F3427">
        <w:rPr>
          <w:rFonts w:ascii="Times New Roman" w:eastAsia="Times New Roman" w:hAnsi="Times New Roman" w:cs="Times New Roman"/>
          <w:kern w:val="0"/>
          <w14:ligatures w14:val="none"/>
        </w:rPr>
        <w:t>: &gt;95% successful matching between Variorum and Folger line references, with manual verification of edge cases</w:t>
      </w:r>
    </w:p>
    <w:p w14:paraId="2DDDE9C0" w14:textId="77777777" w:rsidR="003F3427" w:rsidRPr="003F3427" w:rsidRDefault="003F3427" w:rsidP="003F34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Response Time</w:t>
      </w:r>
      <w:r w:rsidRPr="003F3427">
        <w:rPr>
          <w:rFonts w:ascii="Times New Roman" w:eastAsia="Times New Roman" w:hAnsi="Times New Roman" w:cs="Times New Roman"/>
          <w:kern w:val="0"/>
          <w14:ligatures w14:val="none"/>
        </w:rPr>
        <w:t>: 1-4 seconds for computational analysis depending on complexity level</w:t>
      </w:r>
    </w:p>
    <w:p w14:paraId="355D34B5" w14:textId="77777777" w:rsidR="003F3427" w:rsidRPr="003F3427" w:rsidRDefault="003F3427" w:rsidP="003F34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Citation Resolution</w:t>
      </w:r>
      <w:r w:rsidRPr="003F3427">
        <w:rPr>
          <w:rFonts w:ascii="Times New Roman" w:eastAsia="Times New Roman" w:hAnsi="Times New Roman" w:cs="Times New Roman"/>
          <w:kern w:val="0"/>
          <w14:ligatures w14:val="none"/>
        </w:rPr>
        <w:t>: 85% of abbreviated references successfully processed through computational methods, with manual research completing accessible entries</w:t>
      </w:r>
    </w:p>
    <w:p w14:paraId="53BBC1F2"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D. Limitations and Methodological Concerns</w:t>
      </w:r>
    </w:p>
    <w:p w14:paraId="650C319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Several significant limitations affect the platform's scholarly reliability:</w:t>
      </w:r>
    </w:p>
    <w:p w14:paraId="1FD81F9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Alignment Fragility</w:t>
      </w:r>
      <w:r w:rsidRPr="003F3427">
        <w:rPr>
          <w:rFonts w:ascii="Times New Roman" w:eastAsia="Times New Roman" w:hAnsi="Times New Roman" w:cs="Times New Roman"/>
          <w:kern w:val="0"/>
          <w14:ligatures w14:val="none"/>
        </w:rPr>
        <w:t>: Editorial differences between Variorum and Folger texts occasionally prevent successful line matching, requiring manual intervention or resulting in lost connections between commentary and text.</w:t>
      </w:r>
    </w:p>
    <w:p w14:paraId="413FB4C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Computational Analysis Reliability</w:t>
      </w:r>
      <w:r w:rsidRPr="003F3427">
        <w:rPr>
          <w:rFonts w:ascii="Times New Roman" w:eastAsia="Times New Roman" w:hAnsi="Times New Roman" w:cs="Times New Roman"/>
          <w:kern w:val="0"/>
          <w14:ligatures w14:val="none"/>
        </w:rPr>
        <w:t>: The AI-generated commentary, while potentially useful for initial exploration, remains subject to the standard limitations of large language models: potential factual errors, hallucinations, and the reproduction of training data biases. Users should treat this content as suggestive rather than authoritative.</w:t>
      </w:r>
    </w:p>
    <w:p w14:paraId="4405F0A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Coverage Gaps</w:t>
      </w:r>
      <w:r w:rsidRPr="003F3427">
        <w:rPr>
          <w:rFonts w:ascii="Times New Roman" w:eastAsia="Times New Roman" w:hAnsi="Times New Roman" w:cs="Times New Roman"/>
          <w:kern w:val="0"/>
          <w14:ligatures w14:val="none"/>
        </w:rPr>
        <w:t>: Three volumes remain in development, preventing complete corpus coverage until their completion.</w:t>
      </w:r>
    </w:p>
    <w:p w14:paraId="32ED4A3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lastRenderedPageBreak/>
        <w:t>Sustainability Concerns</w:t>
      </w:r>
      <w:r w:rsidRPr="003F3427">
        <w:rPr>
          <w:rFonts w:ascii="Times New Roman" w:eastAsia="Times New Roman" w:hAnsi="Times New Roman" w:cs="Times New Roman"/>
          <w:kern w:val="0"/>
          <w14:ligatures w14:val="none"/>
        </w:rPr>
        <w:t>: Ongoing computational costs for language model APIs raise questions about long-term platform maintenance and open access sustainability.</w:t>
      </w:r>
    </w:p>
    <w:p w14:paraId="5446331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Lack of Expert Validation</w:t>
      </w:r>
      <w:r w:rsidRPr="003F3427">
        <w:rPr>
          <w:rFonts w:ascii="Times New Roman" w:eastAsia="Times New Roman" w:hAnsi="Times New Roman" w:cs="Times New Roman"/>
          <w:kern w:val="0"/>
          <w14:ligatures w14:val="none"/>
        </w:rPr>
        <w:t>: The bibliographic resolutions and platform functionality have not undergone systematic expert review, limiting our ability to assess their scholarly accuracy.</w:t>
      </w:r>
    </w:p>
    <w:p w14:paraId="24230240"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VI. Future Directions and Infrastructure Challenges</w:t>
      </w:r>
    </w:p>
    <w:p w14:paraId="6E1A259E"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Expanding Digital Variorum Coverage</w:t>
      </w:r>
    </w:p>
    <w:p w14:paraId="7C220C77"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Several immediate technical extensions could enhance the platform's scope and utility:</w:t>
      </w:r>
    </w:p>
    <w:p w14:paraId="41452AF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Completing the Corpus</w:t>
      </w:r>
      <w:r w:rsidRPr="003F3427">
        <w:rPr>
          <w:rFonts w:ascii="Times New Roman" w:eastAsia="Times New Roman" w:hAnsi="Times New Roman" w:cs="Times New Roman"/>
          <w:kern w:val="0"/>
          <w14:ligatures w14:val="none"/>
        </w:rPr>
        <w:t>: The three remaining Variorum volumes (</w:t>
      </w:r>
      <w:r w:rsidRPr="003F3427">
        <w:rPr>
          <w:rFonts w:ascii="Times New Roman" w:eastAsia="Times New Roman" w:hAnsi="Times New Roman" w:cs="Times New Roman"/>
          <w:i/>
          <w:iCs/>
          <w:kern w:val="0"/>
          <w14:ligatures w14:val="none"/>
        </w:rPr>
        <w:t>Henry IV, Part 2</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Troilus and Cressida</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Richard II</w:t>
      </w:r>
      <w:r w:rsidRPr="003F3427">
        <w:rPr>
          <w:rFonts w:ascii="Times New Roman" w:eastAsia="Times New Roman" w:hAnsi="Times New Roman" w:cs="Times New Roman"/>
          <w:kern w:val="0"/>
          <w14:ligatures w14:val="none"/>
        </w:rPr>
        <w:t>) are being digitized using the same multi-stage pipeline, which will achieve complete coverage of the historical NVS dramatic corpus.</w:t>
      </w:r>
    </w:p>
    <w:p w14:paraId="158F0C3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Contemporary Integration</w:t>
      </w:r>
      <w:r w:rsidRPr="003F3427">
        <w:rPr>
          <w:rFonts w:ascii="Times New Roman" w:eastAsia="Times New Roman" w:hAnsi="Times New Roman" w:cs="Times New Roman"/>
          <w:kern w:val="0"/>
          <w14:ligatures w14:val="none"/>
        </w:rPr>
        <w:t xml:space="preserve">: Texas A&amp;M University has published modern digital Variorum editions of </w:t>
      </w:r>
      <w:r w:rsidRPr="003F3427">
        <w:rPr>
          <w:rFonts w:ascii="Times New Roman" w:eastAsia="Times New Roman" w:hAnsi="Times New Roman" w:cs="Times New Roman"/>
          <w:i/>
          <w:iCs/>
          <w:kern w:val="0"/>
          <w14:ligatures w14:val="none"/>
        </w:rPr>
        <w:t>The Winter's Tale</w:t>
      </w:r>
      <w:r w:rsidRPr="003F3427">
        <w:rPr>
          <w:rFonts w:ascii="Times New Roman" w:eastAsia="Times New Roman" w:hAnsi="Times New Roman" w:cs="Times New Roman"/>
          <w:kern w:val="0"/>
          <w14:ligatures w14:val="none"/>
        </w:rPr>
        <w:t xml:space="preserve"> and </w:t>
      </w:r>
      <w:r w:rsidRPr="003F3427">
        <w:rPr>
          <w:rFonts w:ascii="Times New Roman" w:eastAsia="Times New Roman" w:hAnsi="Times New Roman" w:cs="Times New Roman"/>
          <w:i/>
          <w:iCs/>
          <w:kern w:val="0"/>
          <w14:ligatures w14:val="none"/>
        </w:rPr>
        <w:t>A Midsummer Night's Dream</w:t>
      </w:r>
      <w:r w:rsidRPr="003F3427">
        <w:rPr>
          <w:rFonts w:ascii="Times New Roman" w:eastAsia="Times New Roman" w:hAnsi="Times New Roman" w:cs="Times New Roman"/>
          <w:kern w:val="0"/>
          <w14:ligatures w14:val="none"/>
        </w:rPr>
        <w:t xml:space="preserve"> that demonstrate continued scholarly commitment to the Variorum tradition. Integrating these contemporary efforts with our historical corpus would create an unbroken scholarly record spanning 1871 to the present.</w:t>
      </w:r>
    </w:p>
    <w:p w14:paraId="2BD39D4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Cross-Play Analysis</w:t>
      </w:r>
      <w:r w:rsidRPr="003F3427">
        <w:rPr>
          <w:rFonts w:ascii="Times New Roman" w:eastAsia="Times New Roman" w:hAnsi="Times New Roman" w:cs="Times New Roman"/>
          <w:kern w:val="0"/>
          <w14:ligatures w14:val="none"/>
        </w:rPr>
        <w:t>: The systematic bibliographic resolution enables new forms of comparative scholarship, such as tracing how specific critics' interpretations evolved across multiple plays or identifying thematic patterns in commentary across the corpus.</w:t>
      </w:r>
    </w:p>
    <w:p w14:paraId="70466338"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The API Access Challenge for Digital Shakespeare Scholarship</w:t>
      </w:r>
    </w:p>
    <w:p w14:paraId="575949C9"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A significant obstacle to expanding computational humanities work lies in the limited programmatic access to core scholarly journals. The NVS bibliographies reveal the essential infrastructure of Shakespeare studies: journals like </w:t>
      </w:r>
      <w:r w:rsidRPr="003F3427">
        <w:rPr>
          <w:rFonts w:ascii="Times New Roman" w:eastAsia="Times New Roman" w:hAnsi="Times New Roman" w:cs="Times New Roman"/>
          <w:i/>
          <w:iCs/>
          <w:kern w:val="0"/>
          <w14:ligatures w14:val="none"/>
        </w:rPr>
        <w:t>Shakespeare Quarterly</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Shakespeare Survey</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Studies in English Literature</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English Literary History</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Modern Language Review</w:t>
      </w:r>
      <w:r w:rsidRPr="003F3427">
        <w:rPr>
          <w:rFonts w:ascii="Times New Roman" w:eastAsia="Times New Roman" w:hAnsi="Times New Roman" w:cs="Times New Roman"/>
          <w:kern w:val="0"/>
          <w14:ligatures w14:val="none"/>
        </w:rPr>
        <w:t xml:space="preserve">, and </w:t>
      </w:r>
      <w:r w:rsidRPr="003F3427">
        <w:rPr>
          <w:rFonts w:ascii="Times New Roman" w:eastAsia="Times New Roman" w:hAnsi="Times New Roman" w:cs="Times New Roman"/>
          <w:i/>
          <w:iCs/>
          <w:kern w:val="0"/>
          <w14:ligatures w14:val="none"/>
        </w:rPr>
        <w:t>Notes &amp; Queries</w:t>
      </w:r>
      <w:r w:rsidRPr="003F3427">
        <w:rPr>
          <w:rFonts w:ascii="Times New Roman" w:eastAsia="Times New Roman" w:hAnsi="Times New Roman" w:cs="Times New Roman"/>
          <w:kern w:val="0"/>
          <w14:ligatures w14:val="none"/>
        </w:rPr>
        <w:t xml:space="preserve"> constitute the canonical record of modern Shakespeare criticism. However, these journals remain largely inaccessible to computational research methods.</w:t>
      </w:r>
    </w:p>
    <w:p w14:paraId="17709A2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i/>
          <w:iCs/>
          <w:kern w:val="0"/>
          <w14:ligatures w14:val="none"/>
        </w:rPr>
        <w:t>Notes &amp; Queries</w:t>
      </w:r>
      <w:r w:rsidRPr="003F3427">
        <w:rPr>
          <w:rFonts w:ascii="Times New Roman" w:eastAsia="Times New Roman" w:hAnsi="Times New Roman" w:cs="Times New Roman"/>
          <w:kern w:val="0"/>
          <w14:ligatures w14:val="none"/>
        </w:rPr>
        <w:t>, founded in 1849 and extensively cited throughout the NVS, exemplifies this challenge. Its pre-1947 volumes are freely available through Internet Archive, but its modern run remains behind Oxford Academic paywalls. A researcher building digital tools to trace editorial debates across centuries would have free access to historical discussions but encounter barriers precisely when the conversation becomes most relevant to contemporary practice.</w:t>
      </w:r>
    </w:p>
    <w:p w14:paraId="55D7C1B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The irony is acute: the NVS bibliographies themselves are published under CC0 license, placing the bibliographic record in the public domain, yet the literature they describe remains locked behind institutional subscriptions. Major platforms (Oxford Academic, Project MUSE, JSTOR) offer no meaningful API access for computational research, despite the technical infrastructure existing through services like </w:t>
      </w:r>
      <w:proofErr w:type="spellStart"/>
      <w:r w:rsidRPr="003F3427">
        <w:rPr>
          <w:rFonts w:ascii="Times New Roman" w:eastAsia="Times New Roman" w:hAnsi="Times New Roman" w:cs="Times New Roman"/>
          <w:kern w:val="0"/>
          <w14:ligatures w14:val="none"/>
        </w:rPr>
        <w:t>Crossref</w:t>
      </w:r>
      <w:proofErr w:type="spellEnd"/>
      <w:r w:rsidRPr="003F3427">
        <w:rPr>
          <w:rFonts w:ascii="Times New Roman" w:eastAsia="Times New Roman" w:hAnsi="Times New Roman" w:cs="Times New Roman"/>
          <w:kern w:val="0"/>
          <w14:ligatures w14:val="none"/>
        </w:rPr>
        <w:t xml:space="preserve"> and </w:t>
      </w:r>
      <w:proofErr w:type="spellStart"/>
      <w:r w:rsidRPr="003F3427">
        <w:rPr>
          <w:rFonts w:ascii="Times New Roman" w:eastAsia="Times New Roman" w:hAnsi="Times New Roman" w:cs="Times New Roman"/>
          <w:kern w:val="0"/>
          <w14:ligatures w14:val="none"/>
        </w:rPr>
        <w:t>OpenAlex</w:t>
      </w:r>
      <w:proofErr w:type="spellEnd"/>
      <w:r w:rsidRPr="003F3427">
        <w:rPr>
          <w:rFonts w:ascii="Times New Roman" w:eastAsia="Times New Roman" w:hAnsi="Times New Roman" w:cs="Times New Roman"/>
          <w:kern w:val="0"/>
          <w14:ligatures w14:val="none"/>
        </w:rPr>
        <w:t>.</w:t>
      </w:r>
    </w:p>
    <w:p w14:paraId="512F2547"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This access gap limits the potential for computational humanities research and prevents the kind of large-scale analysis that could illuminate patterns in scholarly discourse, trace interpretive evolution, and connect historical and contemporary criticism. As publishers increasingly adopt open access models, expanding API access to core humanities journals represents a critical infrastructure need for advancing digital scholarship.</w:t>
      </w:r>
    </w:p>
    <w:p w14:paraId="18B5FD8C"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C. Methodological Extensions and Broader Applications</w:t>
      </w:r>
    </w:p>
    <w:p w14:paraId="18CC94C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computational methods developed for this project suggest several broader applications:</w:t>
      </w:r>
    </w:p>
    <w:p w14:paraId="7B74D44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Bibliographic Resolution</w:t>
      </w:r>
      <w:r w:rsidRPr="003F3427">
        <w:rPr>
          <w:rFonts w:ascii="Times New Roman" w:eastAsia="Times New Roman" w:hAnsi="Times New Roman" w:cs="Times New Roman"/>
          <w:kern w:val="0"/>
          <w14:ligatures w14:val="none"/>
        </w:rPr>
        <w:t>: The AI agent approach to citation extraction and cross-referencing could be applied to other historical scholarly corpora with similar incomplete citation practices, though each application would require domain-specific adaptation.</w:t>
      </w:r>
    </w:p>
    <w:p w14:paraId="4C01CD1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Editorial Alignment</w:t>
      </w:r>
      <w:r w:rsidRPr="003F3427">
        <w:rPr>
          <w:rFonts w:ascii="Times New Roman" w:eastAsia="Times New Roman" w:hAnsi="Times New Roman" w:cs="Times New Roman"/>
          <w:kern w:val="0"/>
          <w14:ligatures w14:val="none"/>
        </w:rPr>
        <w:t>: The methodology for bridging historical and contemporary textual traditions could assist similar projects requiring modernization for accessibility, though the specific alignment strategies would need adjustment for different editorial traditions.</w:t>
      </w:r>
    </w:p>
    <w:p w14:paraId="7C26B97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Graduated Interface Design</w:t>
      </w:r>
      <w:r w:rsidRPr="003F3427">
        <w:rPr>
          <w:rFonts w:ascii="Times New Roman" w:eastAsia="Times New Roman" w:hAnsi="Times New Roman" w:cs="Times New Roman"/>
          <w:kern w:val="0"/>
          <w14:ligatures w14:val="none"/>
        </w:rPr>
        <w:t>: The tiered analysis framework provides a model for making dense scholarly apparatus accessible to diverse audiences without sacrificing intellectual depth, though the appropriate complexity levels would vary by discipline and user community.</w:t>
      </w:r>
    </w:p>
    <w:p w14:paraId="74A5BB3B"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VII. Conclusion</w:t>
      </w:r>
    </w:p>
    <w:p w14:paraId="150CBEB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When Horace Howard Furness began the New Variorum Shakespeare in 1871, he sought to democratize access to centuries of accumulated scholarship. Our computational approach represents one possible path toward realizing that vision, though we acknowledge it is neither the only nor necessarily the best approach to the challenges Furness identified.</w:t>
      </w:r>
    </w:p>
    <w:p w14:paraId="24FC7AA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technical methods we have developed—systematic digitization, computational bibliographic resolution, and adaptive presentation—address real barriers to accessing historical scholarship. However, significant questions remain about the appropriate role of artificial intelligence in scholarly contexts, the sustainability of computationally intensive platforms, and the broader implications of mediating historical texts through contemporary technologies.</w:t>
      </w:r>
    </w:p>
    <w:p w14:paraId="04FAE15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platform demonstrates that computational methods can preserve and extend access to scholarly traditions while maintaining transparency about their methods and limitations. The separation of historical commentary from machine-generated analysis attempts to respect different forms of intellectual authority, though we recognize this approach raises its own questions about how readers navigate between different types of sources.</w:t>
      </w:r>
    </w:p>
    <w:p w14:paraId="27A2A92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project contributes to ongoing discussions in digital humanities about infrastructure, sustainability, and the responsible integration of AI technologies into scholarly practice. Rather than claiming to solve these complex issues, we offer one example of how computational approaches might serve humanities scholarship while remaining honest about their limitations and trade-offs.</w:t>
      </w:r>
    </w:p>
    <w:p w14:paraId="264131D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Most fundamentally, we have attempted to create infrastructure that expands rather than replaces human engagement with literary texts. The goal is not to automate scholarship but to provide tools that enable more people to participate in the ongoing conversation about Shakespeare that Furness began over 150 years ago. Whether such tools ultimately serve their democratic purpose depends not only on their technical capabilities but on how they are adopted, adapted, and critiqued by the scholarly communities they aim to serve.</w:t>
      </w:r>
    </w:p>
    <w:p w14:paraId="2E22B132"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References</w:t>
      </w:r>
    </w:p>
    <w:p w14:paraId="03F490B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 H. H. Furness, </w:t>
      </w:r>
      <w:r w:rsidRPr="003F3427">
        <w:rPr>
          <w:rFonts w:ascii="Times New Roman" w:eastAsia="Times New Roman" w:hAnsi="Times New Roman" w:cs="Times New Roman"/>
          <w:i/>
          <w:iCs/>
          <w:kern w:val="0"/>
          <w14:ligatures w14:val="none"/>
        </w:rPr>
        <w:t>A New Variorum Edition of Shakespeare: Romeo and Juliet</w:t>
      </w:r>
      <w:r w:rsidRPr="003F3427">
        <w:rPr>
          <w:rFonts w:ascii="Times New Roman" w:eastAsia="Times New Roman" w:hAnsi="Times New Roman" w:cs="Times New Roman"/>
          <w:kern w:val="0"/>
          <w14:ligatures w14:val="none"/>
        </w:rPr>
        <w:t>, Philadelphia: J. B. Lippincott, 1871.</w:t>
      </w:r>
    </w:p>
    <w:p w14:paraId="585FEC1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[2] H. H. Furness, </w:t>
      </w:r>
      <w:r w:rsidRPr="003F3427">
        <w:rPr>
          <w:rFonts w:ascii="Times New Roman" w:eastAsia="Times New Roman" w:hAnsi="Times New Roman" w:cs="Times New Roman"/>
          <w:i/>
          <w:iCs/>
          <w:kern w:val="0"/>
          <w14:ligatures w14:val="none"/>
        </w:rPr>
        <w:t>A New Variorum Edition of Shakespeare: Hamlet</w:t>
      </w:r>
      <w:r w:rsidRPr="003F3427">
        <w:rPr>
          <w:rFonts w:ascii="Times New Roman" w:eastAsia="Times New Roman" w:hAnsi="Times New Roman" w:cs="Times New Roman"/>
          <w:kern w:val="0"/>
          <w14:ligatures w14:val="none"/>
        </w:rPr>
        <w:t>, 2 vols., Philadelphia: J. B. Lippincott, 1877.</w:t>
      </w:r>
    </w:p>
    <w:p w14:paraId="72F0BF49"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[3] H. H. Furness, </w:t>
      </w:r>
      <w:r w:rsidRPr="003F3427">
        <w:rPr>
          <w:rFonts w:ascii="Times New Roman" w:eastAsia="Times New Roman" w:hAnsi="Times New Roman" w:cs="Times New Roman"/>
          <w:i/>
          <w:iCs/>
          <w:kern w:val="0"/>
          <w14:ligatures w14:val="none"/>
        </w:rPr>
        <w:t>A New Variorum Edition of Shakespeare: King Lear</w:t>
      </w:r>
      <w:r w:rsidRPr="003F3427">
        <w:rPr>
          <w:rFonts w:ascii="Times New Roman" w:eastAsia="Times New Roman" w:hAnsi="Times New Roman" w:cs="Times New Roman"/>
          <w:kern w:val="0"/>
          <w14:ligatures w14:val="none"/>
        </w:rPr>
        <w:t>, Philadelphia: J. B. Lippincott, 1880.</w:t>
      </w:r>
    </w:p>
    <w:p w14:paraId="18E755A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[4] Modern Language Association, "The New Variorum Shakespeare," </w:t>
      </w:r>
      <w:r w:rsidRPr="003F3427">
        <w:rPr>
          <w:rFonts w:ascii="Times New Roman" w:eastAsia="Times New Roman" w:hAnsi="Times New Roman" w:cs="Times New Roman"/>
          <w:i/>
          <w:iCs/>
          <w:kern w:val="0"/>
          <w14:ligatures w14:val="none"/>
        </w:rPr>
        <w:t>PMLA</w:t>
      </w:r>
      <w:r w:rsidRPr="003F3427">
        <w:rPr>
          <w:rFonts w:ascii="Times New Roman" w:eastAsia="Times New Roman" w:hAnsi="Times New Roman" w:cs="Times New Roman"/>
          <w:kern w:val="0"/>
          <w14:ligatures w14:val="none"/>
        </w:rPr>
        <w:t>, vol. 51, no. 3, pp. 903–905, 1936.</w:t>
      </w:r>
    </w:p>
    <w:p w14:paraId="7DCE6E96"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[5] R. Knowles, "The Evolution of the New Variorum Shakespeare," </w:t>
      </w:r>
      <w:r w:rsidRPr="003F3427">
        <w:rPr>
          <w:rFonts w:ascii="Times New Roman" w:eastAsia="Times New Roman" w:hAnsi="Times New Roman" w:cs="Times New Roman"/>
          <w:i/>
          <w:iCs/>
          <w:kern w:val="0"/>
          <w14:ligatures w14:val="none"/>
        </w:rPr>
        <w:t>Shakespeare Quarterly</w:t>
      </w:r>
      <w:r w:rsidRPr="003F3427">
        <w:rPr>
          <w:rFonts w:ascii="Times New Roman" w:eastAsia="Times New Roman" w:hAnsi="Times New Roman" w:cs="Times New Roman"/>
          <w:kern w:val="0"/>
          <w14:ligatures w14:val="none"/>
        </w:rPr>
        <w:t>, vol. 54, no. 2, pp. 147–173, 2003.</w:t>
      </w:r>
    </w:p>
    <w:p w14:paraId="73757F27"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[6] M. Spevack, ed., </w:t>
      </w:r>
      <w:r w:rsidRPr="003F3427">
        <w:rPr>
          <w:rFonts w:ascii="Times New Roman" w:eastAsia="Times New Roman" w:hAnsi="Times New Roman" w:cs="Times New Roman"/>
          <w:i/>
          <w:iCs/>
          <w:kern w:val="0"/>
          <w14:ligatures w14:val="none"/>
        </w:rPr>
        <w:t>A New Variorum Edition of Shakespeare: Antony and Cleopatra</w:t>
      </w:r>
      <w:r w:rsidRPr="003F3427">
        <w:rPr>
          <w:rFonts w:ascii="Times New Roman" w:eastAsia="Times New Roman" w:hAnsi="Times New Roman" w:cs="Times New Roman"/>
          <w:kern w:val="0"/>
          <w14:ligatures w14:val="none"/>
        </w:rPr>
        <w:t>, New York: Modern Language Association, 1977.</w:t>
      </w:r>
    </w:p>
    <w:p w14:paraId="7D9BF55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[7] A. Murphy, </w:t>
      </w:r>
      <w:r w:rsidRPr="003F3427">
        <w:rPr>
          <w:rFonts w:ascii="Times New Roman" w:eastAsia="Times New Roman" w:hAnsi="Times New Roman" w:cs="Times New Roman"/>
          <w:i/>
          <w:iCs/>
          <w:kern w:val="0"/>
          <w14:ligatures w14:val="none"/>
        </w:rPr>
        <w:t>Shakespeare in Print: A History and Chronology of Shakespeare Publishing</w:t>
      </w:r>
      <w:r w:rsidRPr="003F3427">
        <w:rPr>
          <w:rFonts w:ascii="Times New Roman" w:eastAsia="Times New Roman" w:hAnsi="Times New Roman" w:cs="Times New Roman"/>
          <w:kern w:val="0"/>
          <w14:ligatures w14:val="none"/>
        </w:rPr>
        <w:t>, Cambridge: Cambridge University Press, 2003.</w:t>
      </w:r>
    </w:p>
    <w:p w14:paraId="6321479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[8] P. </w:t>
      </w:r>
      <w:proofErr w:type="spellStart"/>
      <w:r w:rsidRPr="003F3427">
        <w:rPr>
          <w:rFonts w:ascii="Times New Roman" w:eastAsia="Times New Roman" w:hAnsi="Times New Roman" w:cs="Times New Roman"/>
          <w:kern w:val="0"/>
          <w14:ligatures w14:val="none"/>
        </w:rPr>
        <w:t>Werstine</w:t>
      </w:r>
      <w:proofErr w:type="spellEnd"/>
      <w:r w:rsidRPr="003F3427">
        <w:rPr>
          <w:rFonts w:ascii="Times New Roman" w:eastAsia="Times New Roman" w:hAnsi="Times New Roman" w:cs="Times New Roman"/>
          <w:kern w:val="0"/>
          <w14:ligatures w14:val="none"/>
        </w:rPr>
        <w:t xml:space="preserve">, "The Science of Editing," in </w:t>
      </w:r>
      <w:r w:rsidRPr="003F3427">
        <w:rPr>
          <w:rFonts w:ascii="Times New Roman" w:eastAsia="Times New Roman" w:hAnsi="Times New Roman" w:cs="Times New Roman"/>
          <w:i/>
          <w:iCs/>
          <w:kern w:val="0"/>
          <w14:ligatures w14:val="none"/>
        </w:rPr>
        <w:t>A Concise Companion to Shakespeare and the Text</w:t>
      </w:r>
      <w:r w:rsidRPr="003F3427">
        <w:rPr>
          <w:rFonts w:ascii="Times New Roman" w:eastAsia="Times New Roman" w:hAnsi="Times New Roman" w:cs="Times New Roman"/>
          <w:kern w:val="0"/>
          <w14:ligatures w14:val="none"/>
        </w:rPr>
        <w:t>, ed. A. Murphy, Oxford: Blackwell, 2007, pp. 109–127.</w:t>
      </w:r>
    </w:p>
    <w:p w14:paraId="0EC4D629"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[9] Folger Shakespeare Library, "Folger Digital Texts," 2023. [Online]. Available: https://www.folgerdigitaltexts.org</w:t>
      </w:r>
    </w:p>
    <w:p w14:paraId="305895F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[10] Internet Shakespeare Editions, University of Victoria. [Online]. Available: https://internetshakespeare.uvic.ca/</w:t>
      </w:r>
    </w:p>
    <w:p w14:paraId="517F2CD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[11] E. </w:t>
      </w:r>
      <w:proofErr w:type="spellStart"/>
      <w:r w:rsidRPr="003F3427">
        <w:rPr>
          <w:rFonts w:ascii="Times New Roman" w:eastAsia="Times New Roman" w:hAnsi="Times New Roman" w:cs="Times New Roman"/>
          <w:kern w:val="0"/>
          <w14:ligatures w14:val="none"/>
        </w:rPr>
        <w:t>Pierazzo</w:t>
      </w:r>
      <w:proofErr w:type="spellEnd"/>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Digital Scholarly Editing: Theories, Models and Methods</w:t>
      </w:r>
      <w:r w:rsidRPr="003F3427">
        <w:rPr>
          <w:rFonts w:ascii="Times New Roman" w:eastAsia="Times New Roman" w:hAnsi="Times New Roman" w:cs="Times New Roman"/>
          <w:kern w:val="0"/>
          <w14:ligatures w14:val="none"/>
        </w:rPr>
        <w:t>, Surrey: Ashgate, 2015.</w:t>
      </w:r>
    </w:p>
    <w:p w14:paraId="16E7AF03"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[12] P. Sahle, "What is a Scholarly Digital Edition?" in </w:t>
      </w:r>
      <w:r w:rsidRPr="003F3427">
        <w:rPr>
          <w:rFonts w:ascii="Times New Roman" w:eastAsia="Times New Roman" w:hAnsi="Times New Roman" w:cs="Times New Roman"/>
          <w:i/>
          <w:iCs/>
          <w:kern w:val="0"/>
          <w14:ligatures w14:val="none"/>
        </w:rPr>
        <w:t>Digital Scholarly Editing: Theories and Practices</w:t>
      </w:r>
      <w:r w:rsidRPr="003F3427">
        <w:rPr>
          <w:rFonts w:ascii="Times New Roman" w:eastAsia="Times New Roman" w:hAnsi="Times New Roman" w:cs="Times New Roman"/>
          <w:kern w:val="0"/>
          <w14:ligatures w14:val="none"/>
        </w:rPr>
        <w:t xml:space="preserve">, eds. M. J. Driscoll and E. </w:t>
      </w:r>
      <w:proofErr w:type="spellStart"/>
      <w:r w:rsidRPr="003F3427">
        <w:rPr>
          <w:rFonts w:ascii="Times New Roman" w:eastAsia="Times New Roman" w:hAnsi="Times New Roman" w:cs="Times New Roman"/>
          <w:kern w:val="0"/>
          <w14:ligatures w14:val="none"/>
        </w:rPr>
        <w:t>Pierazzo</w:t>
      </w:r>
      <w:proofErr w:type="spellEnd"/>
      <w:r w:rsidRPr="003F3427">
        <w:rPr>
          <w:rFonts w:ascii="Times New Roman" w:eastAsia="Times New Roman" w:hAnsi="Times New Roman" w:cs="Times New Roman"/>
          <w:kern w:val="0"/>
          <w14:ligatures w14:val="none"/>
        </w:rPr>
        <w:t>, Cambridge: Open Book Publishers, 2016, pp. 19-40.</w:t>
      </w:r>
    </w:p>
    <w:p w14:paraId="5131D27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 xml:space="preserve">[13] K. M. Price, "Edition, Project, Database, Archive, Thematic Research Collection: What's in a Name?" </w:t>
      </w:r>
      <w:r w:rsidRPr="003F3427">
        <w:rPr>
          <w:rFonts w:ascii="Times New Roman" w:eastAsia="Times New Roman" w:hAnsi="Times New Roman" w:cs="Times New Roman"/>
          <w:i/>
          <w:iCs/>
          <w:kern w:val="0"/>
          <w14:ligatures w14:val="none"/>
        </w:rPr>
        <w:t>Digital Humanities Quarterly</w:t>
      </w:r>
      <w:r w:rsidRPr="003F3427">
        <w:rPr>
          <w:rFonts w:ascii="Times New Roman" w:eastAsia="Times New Roman" w:hAnsi="Times New Roman" w:cs="Times New Roman"/>
          <w:kern w:val="0"/>
          <w14:ligatures w14:val="none"/>
        </w:rPr>
        <w:t>, vol. 3, no. 3, 2009.</w:t>
      </w:r>
    </w:p>
    <w:p w14:paraId="7F63166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[14] T. Underwood, "A Genealogy of Distant Reading," </w:t>
      </w:r>
      <w:r w:rsidRPr="003F3427">
        <w:rPr>
          <w:rFonts w:ascii="Times New Roman" w:eastAsia="Times New Roman" w:hAnsi="Times New Roman" w:cs="Times New Roman"/>
          <w:i/>
          <w:iCs/>
          <w:kern w:val="0"/>
          <w14:ligatures w14:val="none"/>
        </w:rPr>
        <w:t>Digital Humanities Quarterly</w:t>
      </w:r>
      <w:r w:rsidRPr="003F3427">
        <w:rPr>
          <w:rFonts w:ascii="Times New Roman" w:eastAsia="Times New Roman" w:hAnsi="Times New Roman" w:cs="Times New Roman"/>
          <w:kern w:val="0"/>
          <w14:ligatures w14:val="none"/>
        </w:rPr>
        <w:t>, vol. 11, no. 2, 2017.</w:t>
      </w:r>
    </w:p>
    <w:p w14:paraId="175FA06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[15] R. Cordell, "Machine Learning + X," </w:t>
      </w:r>
      <w:r w:rsidRPr="003F3427">
        <w:rPr>
          <w:rFonts w:ascii="Times New Roman" w:eastAsia="Times New Roman" w:hAnsi="Times New Roman" w:cs="Times New Roman"/>
          <w:i/>
          <w:iCs/>
          <w:kern w:val="0"/>
          <w14:ligatures w14:val="none"/>
        </w:rPr>
        <w:t>Digital Humanities Quarterly</w:t>
      </w:r>
      <w:r w:rsidRPr="003F3427">
        <w:rPr>
          <w:rFonts w:ascii="Times New Roman" w:eastAsia="Times New Roman" w:hAnsi="Times New Roman" w:cs="Times New Roman"/>
          <w:kern w:val="0"/>
          <w14:ligatures w14:val="none"/>
        </w:rPr>
        <w:t>, vol. 14, no. 1, 2020.</w:t>
      </w:r>
    </w:p>
    <w:p w14:paraId="4A9A26D3"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[16] K. Fitzpatrick, </w:t>
      </w:r>
      <w:r w:rsidRPr="003F3427">
        <w:rPr>
          <w:rFonts w:ascii="Times New Roman" w:eastAsia="Times New Roman" w:hAnsi="Times New Roman" w:cs="Times New Roman"/>
          <w:i/>
          <w:iCs/>
          <w:kern w:val="0"/>
          <w14:ligatures w14:val="none"/>
        </w:rPr>
        <w:t>Generous Thinking: A Radical Approach to Saving the University</w:t>
      </w:r>
      <w:r w:rsidRPr="003F3427">
        <w:rPr>
          <w:rFonts w:ascii="Times New Roman" w:eastAsia="Times New Roman" w:hAnsi="Times New Roman" w:cs="Times New Roman"/>
          <w:kern w:val="0"/>
          <w14:ligatures w14:val="none"/>
        </w:rPr>
        <w:t>, Baltimore: Johns Hopkins University Press, 2019.</w:t>
      </w:r>
    </w:p>
    <w:p w14:paraId="16D0537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[17] T. Brown et al., "Language Models are Few-Shot Learners," </w:t>
      </w:r>
      <w:r w:rsidRPr="003F3427">
        <w:rPr>
          <w:rFonts w:ascii="Times New Roman" w:eastAsia="Times New Roman" w:hAnsi="Times New Roman" w:cs="Times New Roman"/>
          <w:i/>
          <w:iCs/>
          <w:kern w:val="0"/>
          <w14:ligatures w14:val="none"/>
        </w:rPr>
        <w:t>Advances in Neural Information Processing Systems</w:t>
      </w:r>
      <w:r w:rsidRPr="003F3427">
        <w:rPr>
          <w:rFonts w:ascii="Times New Roman" w:eastAsia="Times New Roman" w:hAnsi="Times New Roman" w:cs="Times New Roman"/>
          <w:kern w:val="0"/>
          <w14:ligatures w14:val="none"/>
        </w:rPr>
        <w:t>, vol. 33, pp. 1877–1901, 2020.</w:t>
      </w:r>
    </w:p>
    <w:p w14:paraId="511E6B1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 Internet Archive, "Digital Library of Free &amp; Borrowable Books," archive.org, 2023.</w:t>
      </w:r>
    </w:p>
    <w:p w14:paraId="16FE7AE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[19] </w:t>
      </w:r>
      <w:proofErr w:type="spellStart"/>
      <w:r w:rsidRPr="003F3427">
        <w:rPr>
          <w:rFonts w:ascii="Times New Roman" w:eastAsia="Times New Roman" w:hAnsi="Times New Roman" w:cs="Times New Roman"/>
          <w:kern w:val="0"/>
          <w14:ligatures w14:val="none"/>
        </w:rPr>
        <w:t>HathiTrust</w:t>
      </w:r>
      <w:proofErr w:type="spellEnd"/>
      <w:r w:rsidRPr="003F3427">
        <w:rPr>
          <w:rFonts w:ascii="Times New Roman" w:eastAsia="Times New Roman" w:hAnsi="Times New Roman" w:cs="Times New Roman"/>
          <w:kern w:val="0"/>
          <w14:ligatures w14:val="none"/>
        </w:rPr>
        <w:t xml:space="preserve"> Digital Library, "Digital Preservation &amp; Access," hathitrust.org, 2023.</w:t>
      </w:r>
    </w:p>
    <w:p w14:paraId="3BBD3F2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[20] C. T. Onions, </w:t>
      </w:r>
      <w:r w:rsidRPr="003F3427">
        <w:rPr>
          <w:rFonts w:ascii="Times New Roman" w:eastAsia="Times New Roman" w:hAnsi="Times New Roman" w:cs="Times New Roman"/>
          <w:i/>
          <w:iCs/>
          <w:kern w:val="0"/>
          <w14:ligatures w14:val="none"/>
        </w:rPr>
        <w:t>A Shakespeare Glossary</w:t>
      </w:r>
      <w:r w:rsidRPr="003F3427">
        <w:rPr>
          <w:rFonts w:ascii="Times New Roman" w:eastAsia="Times New Roman" w:hAnsi="Times New Roman" w:cs="Times New Roman"/>
          <w:kern w:val="0"/>
          <w14:ligatures w14:val="none"/>
        </w:rPr>
        <w:t>, Oxford: Clarendon Press, 1911.</w:t>
      </w:r>
    </w:p>
    <w:p w14:paraId="41A24233" w14:textId="77777777" w:rsidR="00F05B12" w:rsidRDefault="00F05B12"/>
    <w:sectPr w:rsidR="00F05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0313"/>
    <w:multiLevelType w:val="multilevel"/>
    <w:tmpl w:val="29BEE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02829"/>
    <w:multiLevelType w:val="multilevel"/>
    <w:tmpl w:val="B45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31D7D"/>
    <w:multiLevelType w:val="multilevel"/>
    <w:tmpl w:val="0E9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0416B"/>
    <w:multiLevelType w:val="multilevel"/>
    <w:tmpl w:val="E90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274230">
    <w:abstractNumId w:val="0"/>
  </w:num>
  <w:num w:numId="2" w16cid:durableId="886379945">
    <w:abstractNumId w:val="3"/>
  </w:num>
  <w:num w:numId="3" w16cid:durableId="916092080">
    <w:abstractNumId w:val="1"/>
  </w:num>
  <w:num w:numId="4" w16cid:durableId="763650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427"/>
    <w:rsid w:val="00064262"/>
    <w:rsid w:val="003F3427"/>
    <w:rsid w:val="008A7366"/>
    <w:rsid w:val="008C70E8"/>
    <w:rsid w:val="00BD642B"/>
    <w:rsid w:val="00DE6829"/>
    <w:rsid w:val="00F05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06EB1"/>
  <w15:chartTrackingRefBased/>
  <w15:docId w15:val="{C966AC16-61E6-5C44-818A-A938478C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3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3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427"/>
    <w:rPr>
      <w:rFonts w:eastAsiaTheme="majorEastAsia" w:cstheme="majorBidi"/>
      <w:color w:val="272727" w:themeColor="text1" w:themeTint="D8"/>
    </w:rPr>
  </w:style>
  <w:style w:type="paragraph" w:styleId="Title">
    <w:name w:val="Title"/>
    <w:basedOn w:val="Normal"/>
    <w:next w:val="Normal"/>
    <w:link w:val="TitleChar"/>
    <w:uiPriority w:val="10"/>
    <w:qFormat/>
    <w:rsid w:val="003F3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427"/>
    <w:pPr>
      <w:spacing w:before="160"/>
      <w:jc w:val="center"/>
    </w:pPr>
    <w:rPr>
      <w:i/>
      <w:iCs/>
      <w:color w:val="404040" w:themeColor="text1" w:themeTint="BF"/>
    </w:rPr>
  </w:style>
  <w:style w:type="character" w:customStyle="1" w:styleId="QuoteChar">
    <w:name w:val="Quote Char"/>
    <w:basedOn w:val="DefaultParagraphFont"/>
    <w:link w:val="Quote"/>
    <w:uiPriority w:val="29"/>
    <w:rsid w:val="003F3427"/>
    <w:rPr>
      <w:i/>
      <w:iCs/>
      <w:color w:val="404040" w:themeColor="text1" w:themeTint="BF"/>
    </w:rPr>
  </w:style>
  <w:style w:type="paragraph" w:styleId="ListParagraph">
    <w:name w:val="List Paragraph"/>
    <w:basedOn w:val="Normal"/>
    <w:uiPriority w:val="34"/>
    <w:qFormat/>
    <w:rsid w:val="003F3427"/>
    <w:pPr>
      <w:ind w:left="720"/>
      <w:contextualSpacing/>
    </w:pPr>
  </w:style>
  <w:style w:type="character" w:styleId="IntenseEmphasis">
    <w:name w:val="Intense Emphasis"/>
    <w:basedOn w:val="DefaultParagraphFont"/>
    <w:uiPriority w:val="21"/>
    <w:qFormat/>
    <w:rsid w:val="003F3427"/>
    <w:rPr>
      <w:i/>
      <w:iCs/>
      <w:color w:val="0F4761" w:themeColor="accent1" w:themeShade="BF"/>
    </w:rPr>
  </w:style>
  <w:style w:type="paragraph" w:styleId="IntenseQuote">
    <w:name w:val="Intense Quote"/>
    <w:basedOn w:val="Normal"/>
    <w:next w:val="Normal"/>
    <w:link w:val="IntenseQuoteChar"/>
    <w:uiPriority w:val="30"/>
    <w:qFormat/>
    <w:rsid w:val="003F3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427"/>
    <w:rPr>
      <w:i/>
      <w:iCs/>
      <w:color w:val="0F4761" w:themeColor="accent1" w:themeShade="BF"/>
    </w:rPr>
  </w:style>
  <w:style w:type="character" w:styleId="IntenseReference">
    <w:name w:val="Intense Reference"/>
    <w:basedOn w:val="DefaultParagraphFont"/>
    <w:uiPriority w:val="32"/>
    <w:qFormat/>
    <w:rsid w:val="003F3427"/>
    <w:rPr>
      <w:b/>
      <w:bCs/>
      <w:smallCaps/>
      <w:color w:val="0F4761" w:themeColor="accent1" w:themeShade="BF"/>
      <w:spacing w:val="5"/>
    </w:rPr>
  </w:style>
  <w:style w:type="paragraph" w:styleId="NormalWeb">
    <w:name w:val="Normal (Web)"/>
    <w:basedOn w:val="Normal"/>
    <w:uiPriority w:val="99"/>
    <w:semiHidden/>
    <w:unhideWhenUsed/>
    <w:rsid w:val="003F34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3427"/>
    <w:rPr>
      <w:b/>
      <w:bCs/>
    </w:rPr>
  </w:style>
  <w:style w:type="character" w:styleId="Emphasis">
    <w:name w:val="Emphasis"/>
    <w:basedOn w:val="DefaultParagraphFont"/>
    <w:uiPriority w:val="20"/>
    <w:qFormat/>
    <w:rsid w:val="003F34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5115</Words>
  <Characters>29161</Characters>
  <Application>Microsoft Office Word</Application>
  <DocSecurity>0</DocSecurity>
  <Lines>243</Lines>
  <Paragraphs>68</Paragraphs>
  <ScaleCrop>false</ScaleCrop>
  <Company/>
  <LinksUpToDate>false</LinksUpToDate>
  <CharactersWithSpaces>34208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brad@ari.us</dc:creator>
  <cp:keywords/>
  <dc:description/>
  <cp:lastModifiedBy>brad@ari.us</cp:lastModifiedBy>
  <cp:revision>1</cp:revision>
  <dcterms:created xsi:type="dcterms:W3CDTF">2026-03-29T19:27:00Z</dcterms:created>
  <dcterms:modified xsi:type="dcterms:W3CDTF">2026-03-29T19:28:00Z</dcterms:modified>
</cp:coreProperties>
</file>