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276" w:lineRule="auto"/>
      </w:pPr>
      <w:r>
        <w:rPr>
          <w:rFonts w:ascii="Calibri" w:hAnsi="Calibri" w:cs="Calibri"/>
          <w:sz w:val="18"/>
          <w:szCs w:val="18"/>
          <w:color w:val="5C6570"/>
        </w:rPr>
        <w:t>QUANTUM  ·  SOFTWARE COST SCHEDULE</w:t>
      </w:r>
    </w:p>
    <w:p>
      <w:pPr>
        <w:spacing w:before="0" w:after="40" w:line="276" w:lineRule="auto"/>
      </w:pPr>
      <w:r>
        <w:rPr>
          <w:rFonts w:ascii="Calibri" w:hAnsi="Calibri" w:cs="Calibri"/>
          <w:sz w:val="56"/>
          <w:szCs w:val="56"/>
          <w:color w:val="064F92"/>
          <w:b/>
          <w:bCs/>
        </w:rPr>
        <w:t>Prism Capital</w:t>
      </w:r>
    </w:p>
    <w:p>
      <w:pPr>
        <w:spacing w:before="0" w:after="80" w:line="276" w:lineRule="auto"/>
      </w:pPr>
      <w:r>
        <w:rPr>
          <w:rFonts w:ascii="Calibri" w:hAnsi="Calibri" w:cs="Calibri"/>
          <w:sz w:val="28"/>
          <w:szCs w:val="28"/>
          <w:color w:val="1A2332"/>
        </w:rPr>
        <w:t>Private-placement platform</w:t>
      </w:r>
    </w:p>
    <w:p>
      <w:pPr>
        <w:spacing w:before="0" w:after="280" w:line="276" w:lineRule="auto"/>
      </w:pPr>
      <w:r>
        <w:rPr>
          <w:rFonts w:ascii="Calibri" w:hAnsi="Calibri" w:cs="Calibri"/>
          <w:sz w:val="22"/>
          <w:szCs w:val="22"/>
          <w:color w:val="5C6570"/>
          <w:i/>
          <w:iCs/>
        </w:rPr>
        <w:t>Fixed-price cost schedule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200"/>
        <w:gridCol w:w="6160"/>
      </w:tblGrid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Field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Value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Product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Prism Capital (private-placement platform)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Client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Prism Capital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Vendor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Quantum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Currency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Nigerian Naira (NGN)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Commercial form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Fixed package price (not time-and-materials)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Tax treatment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Resident professional services — VAT 7.5%, WHT 5% (see §6)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Professional fees (pre-tax)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₦14,370,750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VAT @ 7.5%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₦1,077,806.25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Invoice total (fees + VAT)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₦15,448,556.25</w:t>
            </w:r>
          </w:p>
        </w:tc>
      </w:tr>
      <w:tr>
        <w:tc>
          <w:tcPr>
            <w:tcW w:w="3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Amount payable after 5% WHT</w:t>
            </w:r>
          </w:p>
        </w:tc>
        <w:tc>
          <w:tcPr>
            <w:tcW w:w="61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₦14,730,018.75</w:t>
            </w:r>
          </w:p>
        </w:tc>
      </w:tr>
    </w:tbl>
    <w:p>
      <w:pPr>
        <w:spacing w:before="0" w:after="200" w:line="276" w:lineRule="auto"/>
      </w:pP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1. Purpose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This schedule is the commercial breakdown of the Prism Capital software platform as delivered: an institutional, Shariah-compliant private-placement system in which a Line Manager lists a unitised deal, the CEO governs it, a Project Owner operates it, and invited investors fund it.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Prices are fixed package amounts for named capabilities. They are not derived from an hourly rate and do not imply a delivery calendar.</w:t>
      </w: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2. Product in scope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2.1 What the platform does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Prism Capital lets Prism operators raise capital in whole units (Naira stored as kobo) for real projects. The live web application is an Expo / React SPA on Netlify, backed by Supabase (Auth, Postgres with RLS, Storage, Edge Functions) plus Resend for mail, Gemini for brief extraction, and client-side PDF statements.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2.2 Roles covered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Role</w:t>
            </w:r>
          </w:p>
        </w:tc>
        <w:tc>
          <w:tcPr>
            <w:tcW w:w="71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Responsibility included in this price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CEO</w:t>
            </w:r>
          </w:p>
        </w:tc>
        <w:tc>
          <w:tcPr>
            <w:tcW w:w="7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Approve listings and profit declarations (four-eyes); capital and ledger oversight; provision Line Managers; message oversight on existing threads.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ADMIN</w:t>
            </w:r>
          </w:p>
        </w:tc>
        <w:tc>
          <w:tcPr>
            <w:tcW w:w="7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Same operational visibility as CEO; cannot create users.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Line Manager</w:t>
            </w:r>
          </w:p>
        </w:tc>
        <w:tc>
          <w:tcPr>
            <w:tcW w:w="7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Prism operator: create projects, invite investors, confirm proofs, mediate owner and investors, forward profit, decide drawdowns and withdrawals. Earnings = platform / raise fees.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Project Owner</w:t>
            </w:r>
          </w:p>
        </w:tc>
        <w:tc>
          <w:tcPr>
            <w:tcW w:w="7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Originator on assigned deals: drawdowns, propose profit, withdraw manager share. No investor list, ledger, or audit.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Investor</w:t>
            </w:r>
          </w:p>
        </w:tc>
        <w:tc>
          <w:tcPr>
            <w:tcW w:w="7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Invite-only: first sign-in, pledge, pay, statements, NAV, withdraw realised profit. Cannot message the Owner directly.</w:t>
            </w:r>
          </w:p>
        </w:tc>
      </w:tr>
    </w:tbl>
    <w:p>
      <w:pPr>
        <w:spacing w:before="0" w:after="200" w:line="276" w:lineRule="auto"/>
      </w:pP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2.3 Lifecycle covered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Project created (INITIATION) → CEO approval (ACCEPTANCE)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Capital raise (invites, pledges, proofs, confirm)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Target / Progress (raise fee reserved, owner drawdowns, activity)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Profit (propose / declare → CEO four-eyes → notices + ledger)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Withdrawals (investor and owner)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FINAL declaration (END + capital returned on notices)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2.4 Architecture included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00"/>
        <w:gridCol w:w="6560"/>
      </w:tblGrid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Layer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Included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Application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Expo SDK 54, React 19, expo-router, TypeScript SPA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State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Zustand (auth / UI), TanStack Query (server state)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Backend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Supabase Auth, Postgres, Storage, Edge Functions, RLS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Email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Resend (invites / notify); Auth SMTP for password recovery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Documents / PDF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Project document storage; jsPDF investor statements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Intelligence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Gemini-backed project-brief extraction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Hosting (app build)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Production web SPA (ribhshare.com)</w:t>
            </w:r>
          </w:p>
        </w:tc>
      </w:tr>
    </w:tbl>
    <w:p>
      <w:pPr>
        <w:spacing w:before="0" w:after="200" w:line="276" w:lineRule="auto"/>
      </w:pP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Cloud usage (Supabase, Netlify, Resend, Gemini) remains a client pass-through and is listed under exclusions.</w:t>
      </w: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3. Cost summary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00"/>
        <w:gridCol w:w="5600"/>
        <w:gridCol w:w="2560"/>
      </w:tblGrid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Workstream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Platform foundation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₦1,956,200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Deal origination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₦1,852,850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Governance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₦927,500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Capital raise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₦2,054,950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Project Owner operations and capital accounting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₦1,846,250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Profit engine and investor NAV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₦1,630,050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G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Institutional books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₦1,329,950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Collaboration and notifications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₦1,127,250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Product surfaces and design system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₦1,232,950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J</w:t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Quality, documentation and production cutover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₦412,800</w:t>
            </w:r>
          </w:p>
        </w:tc>
      </w:tr>
      <w:tr>
        <w:tc>
          <w:tcPr>
            <w:tcW w:w="1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6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Professional fees (pre-tax)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₦14,370,750</w:t>
            </w:r>
          </w:p>
        </w:tc>
      </w:tr>
    </w:tbl>
    <w:p>
      <w:pPr>
        <w:spacing w:before="0" w:after="200" w:line="276" w:lineRule="auto"/>
      </w:pP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6200"/>
        <w:gridCol w:w="3160"/>
      </w:tblGrid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/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Professional fees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₦14,370,750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VAT @ 7.5%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₦1,077,806.25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Invoice total (fees + VAT)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₦15,448,556.25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Less: WHT @ 5% of fees (resident)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(₦718,537.50)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Amount payable by the client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₦14,730,018.75</w:t>
            </w:r>
          </w:p>
        </w:tc>
      </w:tr>
    </w:tbl>
    <w:p>
      <w:pPr>
        <w:spacing w:before="0" w:after="200" w:line="276" w:lineRule="auto"/>
      </w:pP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Full statutory notes and the non-resident alternative are in section 6.</w:t>
      </w: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4. Detailed cost schedule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Each line is a fixed package. The bullets under a line are the capability included in that package — not a timesheet.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A. Platform foundation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Identity, authorisation, and the data-security model that every later module depends on. All money is stored as kobo; all access is role-scoped in Postgres row-level security.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Security architecture, roles and row-level security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₦712,450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Dual-portal authentication and session security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₦418,750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Investor invite onboarding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₦563,200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A.4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Password recovery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₦261,800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A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₦1,956,200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A.1  Security architecture, roles and row-level security  —  ₦712,450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Five production roles: CEO, ADMIN, LINE_MANAGER, PROJECT_OWNER, and INVESTOR (separate portal).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Role matrix for every surface (dashboard, project tabs, messages, earnings, users, approvals).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Postgres RLS so a Line Manager sees only their deals, an Owner sees only assigned projects, and an Investor sees only confirmed or invited positions.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Kobo (minor-unit) money model, unit register fields, dual-fee columns, and the INITIATION → ACCEPTANCE → PROGRESS → END stage machine.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Service layer, typed RPC contracts, and generated frontend types aligned to the live database.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A.2  Dual-portal authentication and session security  —  ₦418,750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Investor sign-in portal and staff sign-in portal, with wrong-role logins rejected.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Session hydration, profile load, and route guards that send each role to the correct home.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Idle timeout, secure token storage, and Auth state that does not fabricate a role before the profile resolves.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Staff vs investor navigation shells so tabs and rails never leak another role’s tools.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A.3  Investor invite onboarding  —  ₦563,200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Single-use 8-character first-sign-in codes generated at invite time.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Public redeem endpoint (rate-limited) that returns a magic-link token.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Set-password screen, password_set flag, and post-onboarding redirect into the invited project.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Copy-invite-link fallback so the Line Manager can share email + code + URL if mail delivery fails.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A.4  Password recovery  —  ₦261,800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Forgot-password entry on both portals.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Email recovery via Supabase Auth and a reset-password screen on the SPA.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Auth redirect configuration for the production origin.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B. Deal origination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How a listing is born: brief, commercial terms, documents, and submission into the CEO queue.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Create-project wizard and unit model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₦724,600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AI brief extraction and document pack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₦668,350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Submit for review and stage transitions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₦459,900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B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₦1,852,850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B.1  Create-project wizard and unit model  —  ₦724,600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Four-step wizard: Upload → Basics → Details → Review, with validation only after a field is touched or Continue is pressed.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Unitised subscription: total units, minimum units per investor, live “1 unit = ₦X” preview, target must divide cleanly by units.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Manager profit share input (investor majority preserved; cap 50%), bank details, and profit-declaration frequency.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Create-project edge function that validates the payload server-side before insert.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B.2  AI brief extraction and document pack  —  ₦668,350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Upload of a project brief and Gemini-backed extraction into wizard fields, with draft cache so a refresh does not lose work.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Required and optional document slots (including banner), storage upload, MIME allow-lists, and inbox-upload RLS.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Document tab on the live project for later packs and CapEx-style exports where provided.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B.3  Submit for review and stage transitions  —  ₦459,900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Submit-project edge function and RPC aligned to the wizard’s required documents.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CEO approve / reject path that moves INITIATION → ACCEPTANCE on approval.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Edit-project flow for permitted fields while the listing is still in origination.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Optional early start into PROGRESS when fundraising rules allow.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C. Governance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CEO and Admin control of marketplace quality: approvals, users, and oversight dashboards.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CEO dashboard, approvals inbox and staff provisioning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₦927,500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C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₦927,500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C.1  CEO dashboard, approvals inbox and staff provisioning  —  ₦927,500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CEO home: capital raised across projects, active deals, pending-approval counts, recently active listings.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Approvals inbox with Declarations | Projects toggle; declaration rows deep-link to the project Profits tab.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Four-eyes rule: the CEO cannot approve a profit declaration they themselves submitted.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Users directory with filters (Investors / Line Managers / Owners / CEO) and Create Line Manager (CEO only).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ADMIN role: same books and queues as CEO, without user-creation rights.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Ledger integrity card and historical ledger backfill control on the dashboard.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D. Capital raise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Invite-only fundraising: units, pledges, bank proof, and Line Manager confirmation until the target is met.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Invitations, email delivery and payment references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₦718,900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Unit and naira pledge, remnant waiver and expiry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₦661,250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Payment proof and Line Manager confirmation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₦674,800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D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₦2,054,950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D.1  Invitations, email delivery and payment references  —  ₦718,900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Send-invitation edge function (Line Manager / Admin): create invite, generate code, send via Resend or return the code inline.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Invitation statuses: INVITED → ACCEPTED → pledged / proof submitted → CONFIRMED (or DECLINED).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Unique payment reference per invite (PRSM-&lt;code&gt;-INV###) for bank narration and reconciliation.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Invite teaser on project overview until the investor is confirmed; declined invites are blocked.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D.2  Unit and naira pledge, remnant waiver and expiry  —  ₦661,250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Pledge by whole units or by naira (fractional units where the schema allows).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Server-enforced investable max: remaining target and any per-invite cap.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Below-minimum remnant pledges with Line Manager waiver workflow.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Lazy sweep of stale pledges (default 72 hours) so reserved units are released.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D.3  Payment proof and Line Manager confirmation  —  ₦674,800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Multipart proof upload (web File/Blob) via submit-payment-proof; invite moves to PROOF_SUBMITTED.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CONFIRM_PAYMENT_PROOF task created for the Line Manager, completable from the Investors tab.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Confirm-invite-payment edge function: allot pledged units, stamp verifier, increment raised capital, complete the task.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Investors tab showing units, naira, reference, bank claim fields, and copy-link for unredeemed invites.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E. Project Owner operations and capital accounting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The originator’s workspace after assignment, and the dual-fee capital picture the operator and Owner both rely on.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Project Owner role, assignment and restricted workspace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₦615,400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Dual fees, current capital and Progress start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₦608,750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Fund drawdowns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₦622,100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E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₦1,846,250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E.1  Project Owner role, assignment and restricted workspace  —  ₦615,400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Create / assign / resend Project Owner from the Line Manager’s project (dedicated edge function).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Owner home and project list limited to assigned deals.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Owner project tabs: Overview, Documents, Activity, Profits, Drawdowns — no investor register, ledger, or audit.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Owner RLS and staff-portal sign-in.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E.2  Dual fees, current capital and Progress start  —  ₦608,750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Raise fee (default 2.5% of capital raised) reserved when the target is hit or Progress is started early.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Platform fee (default 7.5% of net profit) applied on each approved declaration.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Manager share of distributable profit paid to the Project Owner (not the Line Manager).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Current capital = raised − raise fee − paid drawdowns; raised never shrinks.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Start-Progress control and capital summary on the project workspace.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E.3  Fund drawdowns  —  ₦622,100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Owner drawdown requests with purpose, bank details, and support documents.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Line Manager / CEO decision and mark-paid, which increases drawn capital.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Drawdown audit trail and Owner-only create rights.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Tasking to inform the Owner when fundraising target is reached.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F. Profit engine and investor NAV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Maker-checker profit declarations, the commercial waterfall, immutable investor notices, and mark-to-market NAV.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Profit waterfall, four-eyes approval and owner proposals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₦918,650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Distribution notices, NAV and capital return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₦711,400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F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₦1,630,050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F.1  Profit waterfall, four-eyes approval and owner proposals  —  ₦918,650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Owner proposes realised profit to Prism; Line Manager forwards into the CEO path (or declares directly where permitted).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Live waterfall preview: Gross → Costs → Net → Platform fee → Distributable → Investor pool → Manager share → Per unit.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Pending / Approved / Rejected / Final statuses; immutable after approval; rejection notes.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CEO four-eyes approve/reject; self-approval blocked in RPC and UI.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Profit-declaration frequency stored on the project for operator discipline.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F.2  Distribution notices, NAV and capital return  —  ₦711,400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One immutable distribution notice per confirmed investor per approved declaration, with PRSM notice references.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Investor Statements screen: waterfall detail, capital-returned block on FINAL notices, PDF download.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Portfolio NAV: units held, NAV per unit, position value, realised P&amp;L — mark-to-market, not a forward ROI estimate.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FINAL declaration ends the project (END) and posts capital return onto notices.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Realtime / query invalidation so NAV updates when a declaration is approved.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G. Institutional books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Append-only double-entry accounting, finance operations views, and investor-facing statements.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G.1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Double-entry ledger, integrity and trial balance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₦768,200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G.2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Reconciliation, audit trail and PDF statements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₦561,750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G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₦1,329,950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G.1  Double-entry ledger, integrity and trial balance  —  ₦768,200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ledger_entries table with balance-enforcing trigger (every transaction DR = CR).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Auto-post on invite confirm (capital in) and on declaration approve (full waterfall, plus capital-return leg on FINAL).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Idempotent posting; list_project_ledger and project balance views.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CEO/Admin ledger integrity RPC and backfill of historical events.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Trial-balance CSV export from the CEO dashboard.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Project Ledger tab: balances plus expandable transactions (account, party, memo, DR/CR).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G.2  Reconciliation, audit trail and PDF statements  —  ₦561,750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Reconciliation tab: expected inflow vs claimed per invite, variance flags, bank/narration/verifier.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Append-only audit_events with triggers on projects, invites, and declarations; colour-coded Audit tab and CSV export.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Prism-branded A4 PDF per distribution notice (reference, waterfall, investor share, immutable footer).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H. Collaboration and notifications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Line Manager mediation is the communications model: investors and owners do not message each other directly.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Mediated messaging and CEO oversight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₦614,850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Tasks, in-app notifications and transactional email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₦512,400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H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₦1,127,250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H.1  Mediated messaging and CEO oversight  —  ₦614,850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Project message threads: investor ↔ Line Manager and owner ↔ Line Manager only.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Realtime delivery on staff and investor message screens.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CEO oversight inbox: join and reply on existing project threads; no public DM directory.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Unread handling and thread list scoped by role.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H.2  Tasks, in-app notifications and transactional email  —  ₦512,400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Task types including confirm payment proof, remnant waiver, and inform owner at target.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Notifications centre plus investor live activity drawer (invites and distributions).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Database-triggered emails (invites, priority events) via notify-investors webhook and Resend.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Proof-submitted and related operator alerts.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I. Product surfaces and design system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The operator and investor product: Prism visual system, desktop shell, role homes, and money dashboards.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Design system, desktop shell and role workspaces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₦823,600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Earnings, withdrawals and investor portfolio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₦409,350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I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₦1,232,950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I.1  Design system, desktop shell and role workspaces  —  ₦823,600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Prism Capital rebrand: navy institutional palette, Instrument Serif, tetrahedron mark, light/dark theme.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Shared primitives: Button, Card, HeroBalance, ChipRow, ActionPillGroup, SparklineTile, StageBadge, loaders.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Desktop left rail (≥960px web) with role-appropriate items; bottom tabs on smaller viewports.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Project detail split layout with right-hand context panel (raised, unit register, meta).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Role homes: Investor, Line Manager, Project Owner, CEO.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Unified project workspace tabs (role-gated): Overview, Documents, Investors, Activity, Profits, Drawdowns, Withdrawals, Reconciliation, Audit, Ledger, Payment.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Web accessibility floor: native tablists, alerts, 44px targets, screen-reader summaries on unit register.</w:t>
      </w: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I.2  Earnings, withdrawals and investor portfolio  —  ₦409,350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Line Manager earnings: platform and raise fees (not the Mudarabah manager cut).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Owner earnings: manager share across approved declarations; owner profit withdrawals.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Investor profit withdrawals from notices, decided by Prism (Line Manager / CEO).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Investor portfolio: positions, NAV, pending invite actions, statements entry.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J. Quality, documentation and production cutover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Making the platform operable: docs, types, and the production web deployment.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J.1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QA, documentation and production deployment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₦412,800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J subtotal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₦412,800</w:t>
            </w:r>
          </w:p>
        </w:tc>
      </w:tr>
    </w:tbl>
    <w:p>
      <w:pPr>
        <w:spacing w:before="0" w:after="200" w:line="276" w:lineRule="auto"/>
      </w:pPr>
    </w:p>
    <w:p>
      <w:pPr>
        <w:spacing w:before="240" w:after="80" w:line="276" w:lineRule="auto"/>
      </w:pPr>
      <w:r>
        <w:rPr>
          <w:rFonts w:ascii="Calibri" w:hAnsi="Calibri" w:cs="Calibri"/>
          <w:sz w:val="26"/>
          <w:szCs w:val="26"/>
          <w:color w:val="064F92"/>
          <w:b/>
          <w:bCs/>
        </w:rPr>
        <w:t>J.1  QA, documentation and production deployment  —  ₦412,800</w:t>
      </w:r>
    </w:p>
    <w:p>
      <w:pPr>
        <w:spacing w:before="0" w:after="80" w:line="276" w:lineRule="auto"/>
      </w:pPr>
      <w:r>
        <w:rPr>
          <w:rFonts w:ascii="Calibri" w:hAnsi="Calibri" w:cs="Calibri"/>
          <w:sz w:val="20"/>
          <w:szCs w:val="20"/>
          <w:color w:val="064F92"/>
          <w:b/>
          <w:bCs/>
        </w:rPr>
        <w:t>Included: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Role guides (CEO, Line Manager, Project Owner, Investor), user guide, technical reference, lifecycle and invite/payment notes.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Migration discipline, edge-function deploy, and TypeScript types regenerated from the linked database.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Production SPA on Netlify (ribhshare.com) wired to the live Supabase project.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Test accounts and sandbox credentials for operator acceptance.</w:t>
      </w: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5. Full line-item register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5400"/>
        <w:gridCol w:w="2560"/>
      </w:tblGrid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Ref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Security architecture, roles and row-level security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₦712,450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Dual-portal authentication and session security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₦418,750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Investor invite onboarding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₦563,200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A.4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Password recovery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₦261,800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Create-project wizard and unit model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₦724,600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AI brief extraction and document pack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₦668,350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Submit for review and stage transitions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₦459,900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CEO dashboard, approvals inbox and staff provisioning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₦927,500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Invitations, email delivery and payment references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₦718,900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Unit and naira pledge, remnant waiver and expiry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₦661,250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Payment proof and Line Manager confirmation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₦674,800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Project Owner role, assignment and restricted workspace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₦615,400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Dual fees, current capital and Progress start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₦608,750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E.3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Fund drawdowns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₦622,100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Profit waterfall, four-eyes approval and owner proposals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₦918,650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Distribution notices, NAV and capital return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₦711,400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G.1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Double-entry ledger, integrity and trial balance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₦768,200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G.2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Reconciliation, audit trail and PDF statements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₦561,750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Mediated messaging and CEO oversight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₦614,850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Tasks, in-app notifications and transactional email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₦512,400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Design system, desktop shell and role workspaces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₦823,600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I.2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Earnings, withdrawals and investor portfolio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₦409,350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J.1</w:t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QA, documentation and production deployment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₦412,800</w:t>
            </w:r>
          </w:p>
        </w:tc>
      </w:tr>
      <w:tr>
        <w:tc>
          <w:tcPr>
            <w:tcW w:w="1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/>
            </w:r>
          </w:p>
        </w:tc>
        <w:tc>
          <w:tcPr>
            <w:tcW w:w="5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Professional fees (pre-tax)</w:t>
            </w:r>
          </w:p>
        </w:tc>
        <w:tc>
          <w:tcPr>
            <w:tcW w:w="2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₦14,370,750</w:t>
            </w:r>
          </w:p>
        </w:tc>
      </w:tr>
    </w:tbl>
    <w:p>
      <w:pPr>
        <w:spacing w:before="0" w:after="200" w:line="276" w:lineRule="auto"/>
      </w:pP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6. Nigerian tax computation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This section applies the Nigeria Tax Act, 2025 (in force from 1 January 2026) and the Deduction of Tax at Source (Withholding) Regulations, 2024, on the assumption that both vendor and client are Nigerian residents and the work is custom software / professional, consultancy, management or technical services supplied and consumed in Nigeria.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It is a billing schedule, not a tax opinion. Confirm classification and filing with the client’s tax adviser or the Nigeria Revenue Service.</w:t>
      </w: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6.1 Value Added Tax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0"/>
        <w:gridCol w:w="6960"/>
      </w:tblGrid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/>
            </w:r>
          </w:p>
        </w:tc>
        <w:tc>
          <w:tcPr>
            <w:tcW w:w="69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/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Rate</w:t>
            </w:r>
          </w:p>
        </w:tc>
        <w:tc>
          <w:tcPr>
            <w:tcW w:w="69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7.5% (standard rate under the Nigeria Tax Act, 2025)</w:t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Base</w:t>
            </w:r>
          </w:p>
        </w:tc>
        <w:tc>
          <w:tcPr>
            <w:tcW w:w="69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Professional fees exclusive of VAT</w:t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When charged</w:t>
            </w:r>
          </w:p>
        </w:tc>
        <w:tc>
          <w:tcPr>
            <w:tcW w:w="69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On invoice issuance, receipt, or payment — whichever occurs first</w:t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Who remits</w:t>
            </w:r>
          </w:p>
        </w:tc>
        <w:tc>
          <w:tcPr>
            <w:tcW w:w="69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Vendor charges VAT on the invoice and remits output VAT (net of any allowable input VAT) to the Nigeria Revenue Service</w:t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Zero-rating</w:t>
            </w:r>
          </w:p>
        </w:tc>
        <w:tc>
          <w:tcPr>
            <w:tcW w:w="69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Exported services can be zero-rated. This schedule treats the supply as consumed in Nigeria, so the standard rate applies.</w:t>
            </w:r>
          </w:p>
        </w:tc>
      </w:tr>
    </w:tbl>
    <w:p>
      <w:pPr>
        <w:spacing w:before="0" w:after="200" w:line="276" w:lineRule="auto"/>
      </w:pP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0"/>
        <w:gridCol w:w="4000"/>
        <w:gridCol w:w="2960"/>
      </w:tblGrid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Step</w:t>
            </w:r>
          </w:p>
        </w:tc>
        <w:tc>
          <w:tcPr>
            <w:tcW w:w="40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Computation</w:t>
            </w:r>
          </w:p>
        </w:tc>
        <w:tc>
          <w:tcPr>
            <w:tcW w:w="29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Professional fees</w:t>
            </w:r>
          </w:p>
        </w:tc>
        <w:tc>
          <w:tcPr>
            <w:tcW w:w="40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Sum of sections A–J</w:t>
            </w:r>
          </w:p>
        </w:tc>
        <w:tc>
          <w:tcPr>
            <w:tcW w:w="29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₦14,370,750</w:t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VAT</w:t>
            </w:r>
          </w:p>
        </w:tc>
        <w:tc>
          <w:tcPr>
            <w:tcW w:w="40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₦14,370,750 × 7.5%</w:t>
            </w:r>
          </w:p>
        </w:tc>
        <w:tc>
          <w:tcPr>
            <w:tcW w:w="29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₦1,077,806.25</w:t>
            </w:r>
          </w:p>
        </w:tc>
      </w:tr>
      <w:tr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Invoice total</w:t>
            </w:r>
          </w:p>
        </w:tc>
        <w:tc>
          <w:tcPr>
            <w:tcW w:w="40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Fees + VAT</w:t>
            </w:r>
          </w:p>
        </w:tc>
        <w:tc>
          <w:tcPr>
            <w:tcW w:w="29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₦15,448,556.25</w:t>
            </w:r>
          </w:p>
        </w:tc>
      </w:tr>
    </w:tbl>
    <w:p>
      <w:pPr>
        <w:spacing w:before="0" w:after="200" w:line="276" w:lineRule="auto"/>
      </w:pP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6.2 Withholding tax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Commission, consultancy, technical, management and professional fees paid to a resident company or individual are withheld at 5%. The same categories paid to a non-resident are withheld at 10% (usually a final tax for the non-resident). WHT is computed on the fee exclusive of VAT, deducted by the client at payment, remitted to the Nigeria Revenue Service, and evidenced by a WHT credit note. For a resident vendor the 5% is a credit against companies income tax / PIT, not an extra cost on top of the invoice.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If the contract were instead characterised as “other services” not listed in that schedule, the resident WHT rate would be 2%. This schedule uses the professional / technical rate of 5%.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00"/>
        <w:gridCol w:w="3280"/>
        <w:gridCol w:w="3280"/>
      </w:tblGrid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/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Resident vendor (this schedule)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Non-resident vendor (if applicable)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WHT rate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5%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10%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WHT on fees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₦718,537.50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₦1,437,075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Invoice total (fees + VAT)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₦15,448,556.25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₦15,448,556.25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Amount the client pays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₦14,730,018.75</w:t>
            </w:r>
          </w:p>
        </w:tc>
        <w:tc>
          <w:tcPr>
            <w:tcW w:w="328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₦14,011,481.25</w:t>
            </w:r>
          </w:p>
        </w:tc>
      </w:tr>
    </w:tbl>
    <w:p>
      <w:pPr>
        <w:spacing w:before="0" w:after="200" w:line="276" w:lineRule="auto"/>
      </w:pPr>
    </w:p>
    <w:p>
      <w:pPr>
        <w:spacing w:before="0" w:after="80" w:line="276" w:lineRule="auto"/>
      </w:pPr>
      <w:r>
        <w:rPr>
          <w:rFonts w:ascii="Calibri" w:hAnsi="Calibri" w:cs="Calibri"/>
          <w:sz w:val="21"/>
          <w:szCs w:val="21"/>
          <w:color w:val="1A2332"/>
          <w:b/>
          <w:bCs/>
        </w:rPr>
        <w:t>Worked resident example: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6200"/>
        <w:gridCol w:w="3160"/>
      </w:tblGrid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/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Amount (NGN)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Professional fees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₦14,370,750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VAT @ 7.5%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₦1,077,806.25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Invoice total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₦15,448,556.25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Less WHT @ 5% of fees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(₦718,537.50)</w:t>
            </w:r>
          </w:p>
        </w:tc>
      </w:tr>
      <w:tr>
        <w:tc>
          <w:tcPr>
            <w:tcW w:w="62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Amount payable by client</w:t>
            </w:r>
          </w:p>
        </w:tc>
        <w:tc>
          <w:tcPr>
            <w:tcW w:w="31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righ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₦14,730,018.75</w:t>
            </w:r>
          </w:p>
        </w:tc>
      </w:tr>
    </w:tbl>
    <w:p>
      <w:pPr>
        <w:spacing w:before="0" w:after="200" w:line="276" w:lineRule="auto"/>
      </w:pP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6.3 What the vendor receives vs what the tax authorities receive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2400"/>
        <w:gridCol w:w="4760"/>
      </w:tblGrid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Party</w:t>
            </w:r>
          </w:p>
        </w:tc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Cash</w:t>
            </w:r>
          </w:p>
        </w:tc>
        <w:tc>
          <w:tcPr>
            <w:tcW w:w="47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Tax account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Client pays vendor</w:t>
            </w:r>
          </w:p>
        </w:tc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₦14,730,018.75</w:t>
            </w:r>
          </w:p>
        </w:tc>
        <w:tc>
          <w:tcPr>
            <w:tcW w:w="47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Holds ₦718,537.50 as WHT to remit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Vendor books revenue</w:t>
            </w:r>
          </w:p>
        </w:tc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₦14,370,750</w:t>
            </w:r>
          </w:p>
        </w:tc>
        <w:tc>
          <w:tcPr>
            <w:tcW w:w="47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Output VAT ₦1,077,806.25; WHT credit ₦718,537.50 against income tax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Client remits WHT</w:t>
            </w:r>
          </w:p>
        </w:tc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—</w:t>
            </w:r>
          </w:p>
        </w:tc>
        <w:tc>
          <w:tcPr>
            <w:tcW w:w="47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₦718,537.50 to the Nigeria Revenue Service, with a credit note to the vendor</w:t>
            </w:r>
          </w:p>
        </w:tc>
      </w:tr>
      <w:tr>
        <w:tc>
          <w:tcPr>
            <w:tcW w:w="2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Vendor remits VAT</w:t>
            </w:r>
          </w:p>
        </w:tc>
        <w:tc>
          <w:tcPr>
            <w:tcW w:w="24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—</w:t>
            </w:r>
          </w:p>
        </w:tc>
        <w:tc>
          <w:tcPr>
            <w:tcW w:w="47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₦1,077,806.25 output VAT (less any allowable input VAT)</w:t>
            </w:r>
          </w:p>
        </w:tc>
      </w:tr>
    </w:tbl>
    <w:p>
      <w:pPr>
        <w:spacing w:before="0" w:after="200" w:line="276" w:lineRule="auto"/>
      </w:pPr>
    </w:p>
    <w:p>
      <w:pPr>
        <w:spacing w:before="320" w:after="120" w:line="276" w:lineRule="auto"/>
      </w:pPr>
      <w:r>
        <w:rPr>
          <w:rFonts w:ascii="Calibri" w:hAnsi="Calibri" w:cs="Calibri"/>
          <w:sz w:val="32"/>
          <w:szCs w:val="32"/>
          <w:color w:val="064F92"/>
          <w:b/>
          <w:bCs/>
        </w:rPr>
        <w:t>6.4 Other Nigerian charges not added to this invoice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200"/>
        <w:gridCol w:w="5160"/>
      </w:tblGrid>
      <w:tr>
        <w:tc>
          <w:tcPr>
            <w:tcW w:w="42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Charge</w:t>
            </w:r>
          </w:p>
        </w:tc>
        <w:tc>
          <w:tcPr>
            <w:tcW w:w="51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Why it is not a line on this schedule</w:t>
            </w:r>
          </w:p>
        </w:tc>
      </w:tr>
      <w:tr>
        <w:tc>
          <w:tcPr>
            <w:tcW w:w="4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Stamp duty on electronic receipts (₦50 where a bank transfer is ₦10,000 or more)</w:t>
            </w:r>
          </w:p>
        </w:tc>
        <w:tc>
          <w:tcPr>
            <w:tcW w:w="5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Collected by the deposit bank on the transfer, not by the software vendor.</w:t>
            </w:r>
          </w:p>
        </w:tc>
      </w:tr>
      <w:tr>
        <w:tc>
          <w:tcPr>
            <w:tcW w:w="4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Companies income tax / development levy</w:t>
            </w:r>
          </w:p>
        </w:tc>
        <w:tc>
          <w:tcPr>
            <w:tcW w:w="5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Annual tax on the vendor’s profits; not billed to the client.</w:t>
            </w:r>
          </w:p>
        </w:tc>
      </w:tr>
      <w:tr>
        <w:tc>
          <w:tcPr>
            <w:tcW w:w="42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NITDA / NASENI-style sector levies</w:t>
            </w:r>
          </w:p>
        </w:tc>
        <w:tc>
          <w:tcPr>
            <w:tcW w:w="51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Turnover-based annual obligations of a qualifying company, not a project invoice line.</w:t>
            </w:r>
          </w:p>
        </w:tc>
      </w:tr>
      <w:tr>
        <w:tc>
          <w:tcPr>
            <w:tcW w:w="42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Double WHT (no TIN)</w:t>
            </w:r>
          </w:p>
        </w:tc>
        <w:tc>
          <w:tcPr>
            <w:tcW w:w="51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If the vendor has no TIN, regulations can double the WHT rate. This schedule assumes a valid TIN.</w:t>
            </w:r>
          </w:p>
        </w:tc>
      </w:tr>
    </w:tbl>
    <w:p>
      <w:pPr>
        <w:spacing w:before="0" w:after="200" w:line="276" w:lineRule="auto"/>
      </w:pP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7. Exclusions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The following are outside the ₦14,370,750 professional-fee figure (tax is computed in section 6, not buried here):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600"/>
        <w:gridCol w:w="5760"/>
      </w:tblGrid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Item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Note</w:t>
            </w:r>
          </w:p>
        </w:tc>
      </w:tr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Live public Explore / discovery marketplace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Still demo/mock-backed; not billed as a shipped live market.</w:t>
            </w:r>
          </w:p>
        </w:tc>
      </w:tr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Native iOS / Android store apps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The product is a web SPA. Expo can target native later under a separate schedule.</w:t>
            </w:r>
          </w:p>
        </w:tc>
      </w:tr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Payment service provider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Collections are manual transfer + proof + Line Manager confirm.</w:t>
            </w:r>
          </w:p>
        </w:tc>
      </w:tr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Infrastructure usage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Supabase, Netlify, Resend, Gemini / LLM keys and metered usage.</w:t>
            </w:r>
          </w:p>
        </w:tc>
      </w:tr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Third-party licences beyond those already in the application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New vendors, extra seats, or premium APIs.</w:t>
            </w:r>
          </w:p>
        </w:tc>
      </w:tr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Post-launch support, SLA, or change requests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Separate retainer or variation order.</w:t>
            </w:r>
          </w:p>
        </w:tc>
      </w:tr>
      <w:tr>
        <w:tc>
          <w:tcPr>
            <w:tcW w:w="36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Hardware, bank accounts, legal opinions, filings</w:t>
            </w:r>
          </w:p>
        </w:tc>
        <w:tc>
          <w:tcPr>
            <w:tcW w:w="57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Business operations, not software.</w:t>
            </w:r>
          </w:p>
        </w:tc>
      </w:tr>
    </w:tbl>
    <w:p>
      <w:pPr>
        <w:spacing w:before="0" w:after="200" w:line="276" w:lineRule="auto"/>
      </w:pP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8. Assumptions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1. One production Supabase project and one production web origin.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2. The client supplies (or already supplied) brand assets, fee defaults, and operator test accounts.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3. Invite email deliverability depends on a verified Resend sender domain and secrets in the Supabase project.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4. Password-reset mail depends on Auth SMTP and the correct redirect URL for /reset-password.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5. Shariah compliance is implemented as the product model (Mudarabah-style split, unitisation, four-eyes). Formal fatwa or legal opinion is not a software deliverable.</w:t>
      </w:r>
    </w:p>
    <w:p>
      <w:pPr>
        <w:pStyle w:val="ListBullet"/>
        <w:numPr>
          <w:ilvl w:val="0"/>
          <w:numId w:val="1"/>
        </w:numPr>
        <w:spacing w:before="0" w:after="60" w:line="276" w:lineRule="auto"/>
        <w:ind w:left="720" w:hanging="360"/>
      </w:pPr>
      <w:r>
        <w:rPr>
          <w:rFonts w:ascii="Calibri" w:hAnsi="Calibri" w:cs="Calibri"/>
          <w:sz w:val="20"/>
          <w:szCs w:val="20"/>
          <w:color w:val="1A2332"/>
        </w:rPr>
        <w:t>6. This schedule prices the delivered software capability. It is not a statement of remaining defects, backlog, or Explore-marketplace work.</w:t>
      </w:r>
    </w:p>
    <w:p>
      <w:pPr>
        <w:spacing w:before="360" w:after="160" w:line="276" w:lineRule="auto"/>
      </w:pPr>
      <w:r>
        <w:rPr>
          <w:rFonts w:ascii="Calibri" w:hAnsi="Calibri" w:cs="Calibri"/>
          <w:sz w:val="44"/>
          <w:szCs w:val="44"/>
          <w:color w:val="064F92"/>
          <w:b/>
          <w:bCs/>
        </w:rPr>
        <w:t>9. Commercial terms</w:t>
      </w:r>
    </w:p>
    <w:tbl>
      <w:tblPr>
        <w:tblW w:w="5000" w:type="pct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00"/>
        <w:gridCol w:w="6560"/>
      </w:tblGrid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Term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064F9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8"/>
                <w:szCs w:val="18"/>
                <w:color w:val="FFFFFF"/>
                <w:b/>
                <w:bCs/>
              </w:rPr>
              <w:t>Position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Professional fees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₦14,370,750 pre-tax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VAT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7.5% = ₦1,077,806.25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Invoice total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₦15,448,556.25 (fees + VAT)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WHT (resident)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5% of fees = ₦718,537.50, deducted at source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Amount payable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E8EEF6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20"/>
                <w:szCs w:val="20"/>
                <w:color w:val="064F92"/>
                <w:b/>
                <w:bCs/>
              </w:rPr>
              <w:t>₦14,730,018.75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Form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Fixed package for the scope in sections 2–4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Variations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Work in section 7, or material new modules, require a written variation with a new amount.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Intellectual property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4F6F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Application code delivered to the client’s repositories and production project, unless a master services agreement says otherwise.</w:t>
            </w:r>
          </w:p>
        </w:tc>
      </w:tr>
      <w:tr>
        <w:tc>
          <w:tcPr>
            <w:tcW w:w="280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Acceptance</w:t>
            </w:r>
          </w:p>
        </w:tc>
        <w:tc>
          <w:tcPr>
            <w:tcW w:w="6560" w:type="dxa"/>
            <w:tcMar>
              <w:top w:w="60"/>
              <w:left w:w="80"/>
              <w:bottom w:w="60"/>
              <w:right w:w="80"/>
            </w:tcMar>
            <w:shd w:val="clear" w:color="auto" w:fill="FFFFFF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Calibri" w:hAnsi="Calibri" w:cs="Calibri"/>
                <w:sz w:val="19"/>
                <w:szCs w:val="19"/>
                <w:color w:val="1A2332"/>
              </w:rPr>
              <w:t>Production use of the web application for the roles and lifecycle in section 2 constitutes acceptance of this scope.</w:t>
            </w:r>
          </w:p>
        </w:tc>
      </w:tr>
    </w:tbl>
    <w:p>
      <w:pPr>
        <w:spacing w:before="0" w:after="200" w:line="276" w:lineRule="auto"/>
      </w:pPr>
    </w:p>
    <w:p>
      <w:pPr>
        <w:spacing w:before="0" w:after="80" w:line="276" w:lineRule="auto"/>
      </w:pPr>
      <w:r>
        <w:rPr>
          <w:rFonts w:ascii="Calibri" w:hAnsi="Calibri" w:cs="Calibri"/>
          <w:sz w:val="21"/>
          <w:szCs w:val="21"/>
          <w:color w:val="1A2332"/>
          <w:b/>
          <w:bCs/>
        </w:rPr>
        <w:t>Suggested invoice wording:</w:t>
      </w:r>
    </w:p>
    <w:p>
      <w:pPr>
        <w:spacing w:before="0" w:after="160" w:line="276" w:lineRule="auto"/>
      </w:pPr>
      <w:r>
        <w:rPr>
          <w:rFonts w:ascii="Calibri" w:hAnsi="Calibri" w:cs="Calibri"/>
          <w:sz w:val="21"/>
          <w:szCs w:val="21"/>
          <w:color w:val="1A2332"/>
        </w:rPr>
        <w:t>Software development — Prism Capital private-placement platform, per Cost Schedule. Professional fees ₦14,370,750; VAT @ 7.5% ₦1,077,806.25; invoice total ₦15,448,556.25. Resident WHT @ 5% (₦718,537.50) to be deducted at source. Amount payable ₦14,730,018.75.</w:t>
      </w:r>
    </w:p>
    <w:p>
      <w:pPr>
        <w:spacing w:before="0" w:after="0" w:line="276" w:lineRule="auto"/>
      </w:pPr>
      <w:r>
        <w:rPr>
          <w:rFonts w:ascii="Calibri" w:hAnsi="Calibri" w:cs="Calibri"/>
          <w:sz w:val="20"/>
          <w:szCs w:val="20"/>
          <w:color w:val="5C6570"/>
          <w:i/>
          <w:iCs/>
        </w:rPr>
        <w:t>End of schedule. Professional fees ₦14,370,750. Invoice total ₦15,448,556.25. Amount payable ₦14,730,018.75.</w:t>
      </w:r>
    </w:p>
    <w:sectPr>
      <w:pgSz w:w="11906" w:h="16838"/>
      <w:pgMar w:top="1134" w:right="1134" w:bottom="1134" w:left="1134" w:header="567" w:footer="56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1"/>
      <w:szCs w:val="21"/>
      <w:color w:val="1A2332"/>
    </w:rPr>
  </w:style>
  <w:style w:type="paragraph" w:styleId="ListBullet">
    <w:name w:val="List Bullet"/>
    <w:basedOn w:val="Normal"/>
    <w:uiPriority w:val="99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