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240"/>
        <w:jc w:val="center"/>
      </w:pPr>
      <w:r>
        <w:rPr>
          <w:rFonts w:ascii="Calibri" w:hAnsi="Calibri"/>
          <w:b/>
          <w:color w:val="0F172A"/>
          <w:sz w:val="64"/>
        </w:rPr>
        <w:t>ENERGYGRID-AI</w:t>
      </w:r>
    </w:p>
    <w:p>
      <w:pPr>
        <w:spacing w:after="720"/>
        <w:jc w:val="center"/>
      </w:pPr>
      <w:r>
        <w:rPr>
          <w:rFonts w:ascii="Calibri" w:hAnsi="Calibri"/>
          <w:i/>
          <w:color w:val="1E3A8A"/>
          <w:sz w:val="32"/>
        </w:rPr>
        <w:t>Probabilistic Early-Demand &amp; Renewable Power Forecasting</w:t>
        <w:br/>
        <w:t>with Uncertainty Quantification</w:t>
      </w:r>
    </w:p>
    <w:p>
      <w:pPr>
        <w:spacing w:after="1280"/>
        <w:jc w:val="center"/>
      </w:pPr>
      <w:r>
        <w:rPr>
          <w:rFonts w:ascii="Calibri" w:hAnsi="Calibri"/>
          <w:color w:val="475569"/>
          <w:sz w:val="26"/>
        </w:rPr>
        <w:t>B.Tech Computer Science and Engineering</w:t>
        <w:br/>
        <w:t>Machine Learning — Unit 1 Research Project Report</w:t>
      </w:r>
    </w:p>
    <w:p>
      <w:pPr>
        <w:jc w:val="center"/>
      </w:pPr>
      <w:r>
        <w:rPr>
          <w:rFonts w:ascii="Calibri" w:hAnsi="Calibri"/>
          <w:b/>
          <w:color w:val="0F172A"/>
          <w:sz w:val="24"/>
        </w:rPr>
        <w:t>By:</w:t>
        <w:br/>
      </w:r>
    </w:p>
    <w:p>
      <w:pPr>
        <w:spacing w:after="80"/>
        <w:jc w:val="center"/>
      </w:pPr>
      <w:r>
        <w:rPr>
          <w:rFonts w:ascii="Calibri" w:hAnsi="Calibri"/>
          <w:color w:val="1E293B"/>
          <w:sz w:val="24"/>
        </w:rPr>
        <w:t>Vaishnavi Jagtap [RA2411003011544]</w:t>
      </w:r>
    </w:p>
    <w:p>
      <w:pPr>
        <w:spacing w:after="80"/>
        <w:jc w:val="center"/>
      </w:pPr>
      <w:r>
        <w:rPr>
          <w:rFonts w:ascii="Calibri" w:hAnsi="Calibri"/>
          <w:color w:val="1E293B"/>
          <w:sz w:val="24"/>
        </w:rPr>
        <w:t>Suhani Singh [RA2411003011538]</w:t>
      </w:r>
    </w:p>
    <w:p>
      <w:pPr>
        <w:spacing w:after="80"/>
        <w:jc w:val="center"/>
      </w:pPr>
      <w:r>
        <w:rPr>
          <w:rFonts w:ascii="Calibri" w:hAnsi="Calibri"/>
          <w:color w:val="1E293B"/>
          <w:sz w:val="24"/>
        </w:rPr>
        <w:t>Ali Ahmed Flexwala [RA2411003011560]</w:t>
      </w:r>
    </w:p>
    <w:p>
      <w:pPr>
        <w:spacing w:after="80"/>
        <w:jc w:val="center"/>
      </w:pPr>
      <w:r>
        <w:rPr>
          <w:rFonts w:ascii="Calibri" w:hAnsi="Calibri"/>
          <w:color w:val="1E293B"/>
          <w:sz w:val="24"/>
        </w:rPr>
        <w:t>Hastik Pangi [RA2411003011561]</w:t>
      </w:r>
    </w:p>
    <w:p>
      <w:r>
        <w:br w:type="page"/>
      </w:r>
    </w:p>
    <w:p>
      <w:pPr>
        <w:spacing w:after="360"/>
      </w:pPr>
      <w:r>
        <w:rPr>
          <w:rFonts w:ascii="Calibri" w:hAnsi="Calibri"/>
          <w:b/>
          <w:color w:val="0F172A"/>
          <w:sz w:val="40"/>
        </w:rPr>
        <w:t>Table of Contents</w:t>
      </w:r>
    </w:p>
    <w:p>
      <w:pPr>
        <w:spacing w:after="120"/>
      </w:pPr>
      <w:r>
        <w:rPr>
          <w:rFonts w:ascii="Calibri" w:hAnsi="Calibri"/>
          <w:color w:val="1E293B"/>
          <w:sz w:val="22"/>
        </w:rPr>
        <w:t>1. Introduction</w:t>
      </w:r>
    </w:p>
    <w:p>
      <w:pPr>
        <w:spacing w:after="120"/>
      </w:pPr>
      <w:r>
        <w:rPr>
          <w:rFonts w:ascii="Calibri" w:hAnsi="Calibri"/>
          <w:color w:val="1E293B"/>
          <w:sz w:val="22"/>
        </w:rPr>
        <w:t>2. Dataset and Data Preparation</w:t>
      </w:r>
    </w:p>
    <w:p>
      <w:pPr>
        <w:spacing w:after="120"/>
      </w:pPr>
      <w:r>
        <w:rPr>
          <w:rFonts w:ascii="Calibri" w:hAnsi="Calibri"/>
          <w:color w:val="1E293B"/>
          <w:sz w:val="22"/>
        </w:rPr>
        <w:t>3. Statistical and Probabilistic Methodology</w:t>
      </w:r>
    </w:p>
    <w:p>
      <w:pPr>
        <w:spacing w:after="120"/>
      </w:pPr>
      <w:r>
        <w:rPr>
          <w:rFonts w:ascii="Calibri" w:hAnsi="Calibri"/>
          <w:color w:val="1E293B"/>
          <w:sz w:val="22"/>
        </w:rPr>
        <w:t>4. Machine Learning Models</w:t>
      </w:r>
    </w:p>
    <w:p>
      <w:pPr>
        <w:spacing w:after="120"/>
      </w:pPr>
      <w:r>
        <w:rPr>
          <w:rFonts w:ascii="Calibri" w:hAnsi="Calibri"/>
          <w:color w:val="1E293B"/>
          <w:sz w:val="22"/>
        </w:rPr>
        <w:t>5. Polynomial Response Modelling and Curve Fitting</w:t>
      </w:r>
    </w:p>
    <w:p>
      <w:pPr>
        <w:spacing w:after="120"/>
      </w:pPr>
      <w:r>
        <w:rPr>
          <w:rFonts w:ascii="Calibri" w:hAnsi="Calibri"/>
          <w:color w:val="1E293B"/>
          <w:sz w:val="22"/>
        </w:rPr>
        <w:t>6. System Architecture</w:t>
      </w:r>
    </w:p>
    <w:p>
      <w:pPr>
        <w:spacing w:after="120"/>
      </w:pPr>
      <w:r>
        <w:rPr>
          <w:rFonts w:ascii="Calibri" w:hAnsi="Calibri"/>
          <w:color w:val="1E293B"/>
          <w:sz w:val="22"/>
        </w:rPr>
        <w:t>7. Implementation</w:t>
      </w:r>
    </w:p>
    <w:p>
      <w:pPr>
        <w:spacing w:after="120"/>
      </w:pPr>
      <w:r>
        <w:rPr>
          <w:rFonts w:ascii="Calibri" w:hAnsi="Calibri"/>
          <w:color w:val="1E293B"/>
          <w:sz w:val="22"/>
        </w:rPr>
        <w:t>8. Experiments and Results</w:t>
      </w:r>
    </w:p>
    <w:p>
      <w:pPr>
        <w:spacing w:after="120"/>
      </w:pPr>
      <w:r>
        <w:rPr>
          <w:rFonts w:ascii="Calibri" w:hAnsi="Calibri"/>
          <w:color w:val="1E293B"/>
          <w:sz w:val="22"/>
        </w:rPr>
        <w:t>9. Dashboard</w:t>
      </w:r>
    </w:p>
    <w:p>
      <w:pPr>
        <w:spacing w:after="120"/>
      </w:pPr>
      <w:r>
        <w:rPr>
          <w:rFonts w:ascii="Calibri" w:hAnsi="Calibri"/>
          <w:color w:val="1E293B"/>
          <w:sz w:val="22"/>
        </w:rPr>
        <w:t>10. Testing and Reproducibility</w:t>
      </w:r>
    </w:p>
    <w:p>
      <w:pPr>
        <w:spacing w:after="120"/>
      </w:pPr>
      <w:r>
        <w:rPr>
          <w:rFonts w:ascii="Calibri" w:hAnsi="Calibri"/>
          <w:color w:val="1E293B"/>
          <w:sz w:val="22"/>
        </w:rPr>
        <w:t>11. Applications</w:t>
      </w:r>
    </w:p>
    <w:p>
      <w:pPr>
        <w:spacing w:after="120"/>
      </w:pPr>
      <w:r>
        <w:rPr>
          <w:rFonts w:ascii="Calibri" w:hAnsi="Calibri"/>
          <w:color w:val="1E293B"/>
          <w:sz w:val="22"/>
        </w:rPr>
        <w:t>12. Limitations</w:t>
      </w:r>
    </w:p>
    <w:p>
      <w:pPr>
        <w:spacing w:after="120"/>
      </w:pPr>
      <w:r>
        <w:rPr>
          <w:rFonts w:ascii="Calibri" w:hAnsi="Calibri"/>
          <w:color w:val="1E293B"/>
          <w:sz w:val="22"/>
        </w:rPr>
        <w:t>13. Future Scope</w:t>
      </w:r>
    </w:p>
    <w:p>
      <w:pPr>
        <w:spacing w:after="120"/>
      </w:pPr>
      <w:r>
        <w:rPr>
          <w:rFonts w:ascii="Calibri" w:hAnsi="Calibri"/>
          <w:color w:val="1E293B"/>
          <w:sz w:val="22"/>
        </w:rPr>
        <w:t>14. Conclusion</w:t>
      </w:r>
    </w:p>
    <w:p>
      <w:pPr>
        <w:spacing w:after="120"/>
      </w:pPr>
      <w:r>
        <w:rPr>
          <w:rFonts w:ascii="Calibri" w:hAnsi="Calibri"/>
          <w:color w:val="1E293B"/>
          <w:sz w:val="22"/>
        </w:rPr>
        <w:t>15. References</w:t>
      </w:r>
    </w:p>
    <w:p>
      <w:pPr>
        <w:spacing w:after="120"/>
      </w:pPr>
      <w:r>
        <w:rPr>
          <w:rFonts w:ascii="Calibri" w:hAnsi="Calibri"/>
          <w:color w:val="1E293B"/>
          <w:sz w:val="22"/>
        </w:rPr>
        <w:t>Appendix: Final Project Outputs &amp; Experimental Results</w:t>
      </w:r>
    </w:p>
    <w:p>
      <w:r>
        <w:br w:type="page"/>
      </w:r>
    </w:p>
    <w:p>
      <w:pPr>
        <w:spacing w:after="240"/>
      </w:pPr>
      <w:r>
        <w:rPr>
          <w:rFonts w:ascii="Calibri" w:hAnsi="Calibri"/>
          <w:b/>
          <w:color w:val="0F172A"/>
          <w:sz w:val="40"/>
        </w:rPr>
        <w:t>Abstract</w:t>
      </w:r>
    </w:p>
    <w:p>
      <w:pPr>
        <w:spacing w:line="276" w:lineRule="auto" w:after="320"/>
      </w:pPr>
      <w:r>
        <w:rPr>
          <w:rFonts w:ascii="Calibri" w:hAnsi="Calibri"/>
          <w:color w:val="1E293B"/>
          <w:sz w:val="21"/>
        </w:rPr>
        <w:t>Electrical power grids form the backbone of industrial infrastructure, yet modern energy management faces growing challenges from weather volatility and the rapid deployment of intermittent renewable power sources (solar and wind). Accurate electrical demand forecasting and uncertainty quantification are crucial for system stability, unit commitment, and blackout prevention. Conventional heuristic or static schedule strategies either fail to anticipate extreme weather surges—incurring severe safety risks and emergency peaker dispatch costs—or over-commit spinning reserves, causing substantial economic and carbon penalties.</w:t>
        <w:br/>
        <w:br/>
        <w:t>This project presents EnergyGrid-AI, an end-to-end, statistically grounded machine learning and uncertainty quantification system built strictly upon Unit 1 Machine Learning and Probability Theory foundations. The system evaluates 8,760 hourly records spanning a complete calendar year (2023) with 8 primary features (electricity demand, solar generation, wind generation, temperature, relative humidity, wind speed, cloud cover, and timestamps). A rigorous data engineering pipeline resolves physical sensor transmission defects by removing 5 duplicate logs and imputing 25 missing records through time-aware linear interpolation.</w:t>
        <w:br/>
        <w:br/>
        <w:t>EnergyGrid-AI seamlessly unites four foundational Unit 1 pillars into a coherent computational architecture. First, descriptive statistics, quantiles, and probability density functions (parametric Gaussian vs. non-parametric Kernel Density Estimation) characterize demand distributions and establish vital operational thresholds (Q05 = 16,599 MW, Median = 25,396 MW, Q95 = 31,322 MW), while Kolmogorov's addition theorem is verified empirically with an exact 0.0 discrepancy. Second, Bayesian inference evaluates posterior high-demand risk given extreme weather observations, demonstrating a 1.79× belief update when ambient temperature exceeds the 80th percentile. Third, a supervised multivariate regression model with domain-engineered polynomial features (thermodynamic temperature quadratic terms and harmonic cyclic diurnal encodings) achieves an R² of 0.8092 and MAE of 1,332.72 MW on a strict chronological train/test split (7,008 train / 1,752 test hours), outperforming raw linear regression by over 64%. Fourth, unsupervised K-Means clustering (selected K = 4 via elbow analysis and silhouette metrics) discovers four distinct operational regimes (Winter Heating Peak, Baseload Night, Summer Cooling Peak, and Windy Transition) with zero manual labeling. In addition, Uncertainty Quantification (UQ) constructs calibrated 90% empirical prediction intervals that achieve an 89.95% empirical coverage on unseen test data.</w:t>
        <w:br/>
        <w:br/>
        <w:t>The complete system is accessible through both an interactive terminal interface and an 8-page full-stack web dashboard with a live Bayesian Risk Engine, and is verified through an automated reproducibility test suite. This report documents the theoretical formulations, implementation, experimental outcomes, dashboard architecture, testing integrity, and ethical boundaries of EnergyGrid-AI.</w:t>
      </w:r>
    </w:p>
    <w:p>
      <w:r>
        <w:rPr>
          <w:rFonts w:ascii="Calibri" w:hAnsi="Calibri"/>
          <w:b/>
          <w:color w:val="0F172A"/>
          <w:sz w:val="20"/>
        </w:rPr>
        <w:t xml:space="preserve">Keywords: </w:t>
      </w:r>
      <w:r>
        <w:rPr>
          <w:rFonts w:ascii="Calibri" w:hAnsi="Calibri"/>
          <w:color w:val="475569"/>
          <w:sz w:val="20"/>
        </w:rPr>
        <w:t>Machine Learning, Power Systems, Energy Demand Forecasting, Renewable Power, Probability Theory, Kolmogorov Axioms, Bayes' Rule, Kernel Density Estimation, Polynomial Curve Fitting, Supervised Regression, K-Means Clustering, Uncertainty Quantification, Prediction Intervals, Web Dashboard.</w:t>
      </w:r>
    </w:p>
    <w:p>
      <w:r>
        <w:br w:type="page"/>
      </w:r>
    </w:p>
    <w:p>
      <w:pPr>
        <w:keepNext/>
        <w:spacing w:before="360" w:after="160"/>
      </w:pPr>
      <w:r>
        <w:rPr>
          <w:rFonts w:ascii="Calibri" w:hAnsi="Calibri"/>
          <w:b/>
          <w:color w:val="1B365D"/>
          <w:sz w:val="32"/>
        </w:rPr>
        <w:t>1. Introduction</w:t>
      </w:r>
    </w:p>
    <w:p>
      <w:pPr>
        <w:keepNext/>
        <w:spacing w:before="240" w:after="80"/>
      </w:pPr>
      <w:r>
        <w:rPr>
          <w:rFonts w:ascii="Calibri" w:hAnsi="Calibri"/>
          <w:b/>
          <w:color w:val="2C5282"/>
          <w:sz w:val="26"/>
        </w:rPr>
        <w:t>1.1 Background</w:t>
      </w:r>
    </w:p>
    <w:p>
      <w:pPr>
        <w:spacing w:after="120" w:line="276" w:lineRule="auto"/>
      </w:pPr>
      <w:r>
        <w:rPr>
          <w:rFonts w:ascii="Calibri" w:hAnsi="Calibri"/>
          <w:color w:val="1E293B"/>
          <w:sz w:val="21"/>
        </w:rPr>
        <w:t>Electrical energy powers every facet of modern society—from residential life to heavy industrial plants, transportation networks, and computational data centers. Unlike conventional supply chains where goods can be stored cost-effectively in inventory, alternating current (AC) power grids require instantaneous, second-by-second balance between total generation and total consumer demand. Any persistent discrepancy induces system frequency deviations, which if left unmitigated, triggers protective generation disconnects and catastrophic cascading outages.</w:t>
      </w:r>
    </w:p>
    <w:p>
      <w:pPr>
        <w:spacing w:after="120" w:line="276" w:lineRule="auto"/>
      </w:pPr>
      <w:r>
        <w:rPr>
          <w:rFonts w:ascii="Calibri" w:hAnsi="Calibri"/>
          <w:color w:val="1E293B"/>
          <w:sz w:val="21"/>
        </w:rPr>
        <w:t>EnergyGrid-AI demonstrates, on real continuous grid time series, how the mathematical principles of Unit 1 Machine Learning—spanning continuous random variables, probability densities, Kolmogorov axioms, Bayesian inference, supervised multivariate regression, unsupervised clustering, and prediction interval uncertainty quantification—can be formulated into a single, cohesive, production-grade intelligence pipeline for electric utility operations.</w:t>
      </w:r>
    </w:p>
    <w:p>
      <w:pPr>
        <w:keepNext/>
        <w:spacing w:before="240" w:after="80"/>
      </w:pPr>
      <w:r>
        <w:rPr>
          <w:rFonts w:ascii="Calibri" w:hAnsi="Calibri"/>
          <w:b/>
          <w:color w:val="2C5282"/>
          <w:sz w:val="26"/>
        </w:rPr>
        <w:t>1.2 Problem Statement</w:t>
      </w:r>
    </w:p>
    <w:p>
      <w:pPr>
        <w:spacing w:after="120" w:line="276" w:lineRule="auto"/>
      </w:pPr>
      <w:r>
        <w:rPr>
          <w:rFonts w:ascii="Calibri" w:hAnsi="Calibri"/>
          <w:color w:val="1E293B"/>
          <w:sz w:val="21"/>
        </w:rPr>
        <w:t>Electrical demand response is notoriously non-linear. Thermodynamic heat loss and air-conditioning refrigeration induce a distinctive parabolic U-curve relationship with ambient temperature. Simultaneously, intermittent renewable generation (solar and wind) introduces severe volatility into net load. Traditional engineering models based on static heuristics or simple linear regression fail to capture this curvature, yielding negative generalization and poor reliability. A rigorous monitoring system must therefore: (a) quantify statistical distributions and percentiles across energy variables, (b) evaluate conditional operational risks using formal Bayesian updating, (c) formulate feature-engineered regression models that capture thermodynamic physics, (d) discover operational grid states without manual labeling, and (e) construct calibrated prediction intervals that provide grid operators with actionable confidence margins.</w:t>
      </w:r>
    </w:p>
    <w:p>
      <w:pPr>
        <w:keepNext/>
        <w:spacing w:before="240" w:after="80"/>
      </w:pPr>
      <w:r>
        <w:rPr>
          <w:rFonts w:ascii="Calibri" w:hAnsi="Calibri"/>
          <w:b/>
          <w:color w:val="2C5282"/>
          <w:sz w:val="26"/>
        </w:rPr>
        <w:t>1.3 Motivation</w:t>
      </w:r>
    </w:p>
    <w:p>
      <w:pPr>
        <w:pStyle w:val="ListBullet"/>
        <w:spacing w:after="80" w:line="276" w:lineRule="auto"/>
      </w:pPr>
      <w:r>
        <w:rPr>
          <w:rFonts w:ascii="Calibri" w:hAnsi="Calibri"/>
          <w:b/>
          <w:color w:val="0F172A"/>
          <w:sz w:val="21"/>
        </w:rPr>
        <w:t xml:space="preserve">Verifiable Statistical Grounding: </w:t>
      </w:r>
      <w:r>
        <w:rPr>
          <w:rFonts w:ascii="Calibri" w:hAnsi="Calibri"/>
          <w:color w:val="1E293B"/>
          <w:sz w:val="21"/>
        </w:rPr>
        <w:t>Deriving all means, variances, quantiles, and probability density functions directly from empirical grid data rather than arbitrary assumptions.</w:t>
      </w:r>
    </w:p>
    <w:p>
      <w:pPr>
        <w:pStyle w:val="ListBullet"/>
        <w:spacing w:after="80" w:line="276" w:lineRule="auto"/>
      </w:pPr>
      <w:r>
        <w:rPr>
          <w:rFonts w:ascii="Calibri" w:hAnsi="Calibri"/>
          <w:b/>
          <w:color w:val="0F172A"/>
          <w:sz w:val="21"/>
        </w:rPr>
        <w:t xml:space="preserve">Probabilistic Risk Updating: </w:t>
      </w:r>
      <w:r>
        <w:rPr>
          <w:rFonts w:ascii="Calibri" w:hAnsi="Calibri"/>
          <w:color w:val="1E293B"/>
          <w:sz w:val="21"/>
        </w:rPr>
        <w:t>Using Bayes' Theorem to convert baseline prior probabilities into quantified posterior risks when extreme weather alerts are detected.</w:t>
      </w:r>
    </w:p>
    <w:p>
      <w:pPr>
        <w:pStyle w:val="ListBullet"/>
        <w:spacing w:after="80" w:line="276" w:lineRule="auto"/>
      </w:pPr>
      <w:r>
        <w:rPr>
          <w:rFonts w:ascii="Calibri" w:hAnsi="Calibri"/>
          <w:b/>
          <w:color w:val="0F172A"/>
          <w:sz w:val="21"/>
        </w:rPr>
        <w:t xml:space="preserve">Bridging Supervised &amp; Unsupervised Learning: </w:t>
      </w:r>
      <w:r>
        <w:rPr>
          <w:rFonts w:ascii="Calibri" w:hAnsi="Calibri"/>
          <w:color w:val="1E293B"/>
          <w:sz w:val="21"/>
        </w:rPr>
        <w:t>Combining supervised polynomial regression for continuous MW demand prediction with unsupervised K-Means clustering for automatic grid regime classification.</w:t>
      </w:r>
    </w:p>
    <w:p>
      <w:pPr>
        <w:pStyle w:val="ListBullet"/>
        <w:spacing w:after="80" w:line="276" w:lineRule="auto"/>
      </w:pPr>
      <w:r>
        <w:rPr>
          <w:rFonts w:ascii="Calibri" w:hAnsi="Calibri"/>
          <w:b/>
          <w:color w:val="0F172A"/>
          <w:sz w:val="21"/>
        </w:rPr>
        <w:t xml:space="preserve">Actionable Uncertainty Quantification: </w:t>
      </w:r>
      <w:r>
        <w:rPr>
          <w:rFonts w:ascii="Calibri" w:hAnsi="Calibri"/>
          <w:color w:val="1E293B"/>
          <w:sz w:val="21"/>
        </w:rPr>
        <w:t>Equipping dispatchers with empirical 90% and 95% prediction intervals to replace unsafe point forecasts.</w:t>
      </w:r>
    </w:p>
    <w:p>
      <w:pPr>
        <w:keepNext/>
        <w:spacing w:before="240" w:after="80"/>
      </w:pPr>
      <w:r>
        <w:rPr>
          <w:rFonts w:ascii="Calibri" w:hAnsi="Calibri"/>
          <w:b/>
          <w:color w:val="2C5282"/>
          <w:sz w:val="26"/>
        </w:rPr>
        <w:t>1.4 Objectives</w:t>
      </w:r>
    </w:p>
    <w:p>
      <w:pPr>
        <w:pStyle w:val="ListBullet"/>
        <w:spacing w:after="80" w:line="276" w:lineRule="auto"/>
      </w:pPr>
      <w:r>
        <w:rPr>
          <w:rFonts w:ascii="Calibri" w:hAnsi="Calibri"/>
          <w:b/>
          <w:color w:val="0F172A"/>
          <w:sz w:val="21"/>
        </w:rPr>
        <w:t xml:space="preserve">Objective 1: </w:t>
      </w:r>
      <w:r>
        <w:rPr>
          <w:rFonts w:ascii="Calibri" w:hAnsi="Calibri"/>
          <w:color w:val="1E293B"/>
          <w:sz w:val="21"/>
        </w:rPr>
        <w:t>Formulate an adaptive data cleaning and time-aware linear interpolation pipeline to resolve sensor packet drops and duplicate transmissions.</w:t>
      </w:r>
    </w:p>
    <w:p>
      <w:pPr>
        <w:pStyle w:val="ListBullet"/>
        <w:spacing w:after="80" w:line="276" w:lineRule="auto"/>
      </w:pPr>
      <w:r>
        <w:rPr>
          <w:rFonts w:ascii="Calibri" w:hAnsi="Calibri"/>
          <w:b/>
          <w:color w:val="0F172A"/>
          <w:sz w:val="21"/>
        </w:rPr>
        <w:t xml:space="preserve">Objective 2: </w:t>
      </w:r>
      <w:r>
        <w:rPr>
          <w:rFonts w:ascii="Calibri" w:hAnsi="Calibri"/>
          <w:color w:val="1E293B"/>
          <w:sz w:val="21"/>
        </w:rPr>
        <w:t>Empirically verify Kolmogorov's probability axioms and addition rules on high-demand and high-renewable energy events.</w:t>
      </w:r>
    </w:p>
    <w:p>
      <w:pPr>
        <w:pStyle w:val="ListBullet"/>
        <w:spacing w:after="80" w:line="276" w:lineRule="auto"/>
      </w:pPr>
      <w:r>
        <w:rPr>
          <w:rFonts w:ascii="Calibri" w:hAnsi="Calibri"/>
          <w:b/>
          <w:color w:val="0F172A"/>
          <w:sz w:val="21"/>
        </w:rPr>
        <w:t xml:space="preserve">Objective 3: </w:t>
      </w:r>
      <w:r>
        <w:rPr>
          <w:rFonts w:ascii="Calibri" w:hAnsi="Calibri"/>
          <w:color w:val="1E293B"/>
          <w:sz w:val="21"/>
        </w:rPr>
        <w:t>Construct a 3-state discrete random variable for demand and calculate its PMF, CDF, expectation, and variance.</w:t>
      </w:r>
    </w:p>
    <w:p>
      <w:pPr>
        <w:pStyle w:val="ListBullet"/>
        <w:spacing w:after="80" w:line="276" w:lineRule="auto"/>
      </w:pPr>
      <w:r>
        <w:rPr>
          <w:rFonts w:ascii="Calibri" w:hAnsi="Calibri"/>
          <w:b/>
          <w:color w:val="0F172A"/>
          <w:sz w:val="21"/>
        </w:rPr>
        <w:t xml:space="preserve">Objective 4: </w:t>
      </w:r>
      <w:r>
        <w:rPr>
          <w:rFonts w:ascii="Calibri" w:hAnsi="Calibri"/>
          <w:color w:val="1E293B"/>
          <w:sz w:val="21"/>
        </w:rPr>
        <w:t>Formulate Bayes' Rule to evaluate the posterior risk of peak load conditioned on extreme heatwaves.</w:t>
      </w:r>
    </w:p>
    <w:p>
      <w:pPr>
        <w:pStyle w:val="ListBullet"/>
        <w:spacing w:after="80" w:line="276" w:lineRule="auto"/>
      </w:pPr>
      <w:r>
        <w:rPr>
          <w:rFonts w:ascii="Calibri" w:hAnsi="Calibri"/>
          <w:b/>
          <w:color w:val="0F172A"/>
          <w:sz w:val="21"/>
        </w:rPr>
        <w:t xml:space="preserve">Objective 5: </w:t>
      </w:r>
      <w:r>
        <w:rPr>
          <w:rFonts w:ascii="Calibri" w:hAnsi="Calibri"/>
          <w:color w:val="1E293B"/>
          <w:sz w:val="21"/>
        </w:rPr>
        <w:t>Quantify feature co-movements and examine statistical independence using covariance and Pearson correlation.</w:t>
      </w:r>
    </w:p>
    <w:p>
      <w:pPr>
        <w:pStyle w:val="ListBullet"/>
        <w:spacing w:after="80" w:line="276" w:lineRule="auto"/>
      </w:pPr>
      <w:r>
        <w:rPr>
          <w:rFonts w:ascii="Calibri" w:hAnsi="Calibri"/>
          <w:b/>
          <w:color w:val="0F172A"/>
          <w:sz w:val="21"/>
        </w:rPr>
        <w:t xml:space="preserve">Objective 6: </w:t>
      </w:r>
      <w:r>
        <w:rPr>
          <w:rFonts w:ascii="Calibri" w:hAnsi="Calibri"/>
          <w:color w:val="1E293B"/>
          <w:sz w:val="21"/>
        </w:rPr>
        <w:t>Perform polynomial curve fitting (Degrees 1 through 4) on temperature-demand dynamics to demonstrate the PRML bias-variance tradeoff.</w:t>
      </w:r>
    </w:p>
    <w:p>
      <w:pPr>
        <w:pStyle w:val="ListBullet"/>
        <w:spacing w:after="80" w:line="276" w:lineRule="auto"/>
      </w:pPr>
      <w:r>
        <w:rPr>
          <w:rFonts w:ascii="Calibri" w:hAnsi="Calibri"/>
          <w:b/>
          <w:color w:val="0F172A"/>
          <w:sz w:val="21"/>
        </w:rPr>
        <w:t xml:space="preserve">Objective 7: </w:t>
      </w:r>
      <w:r>
        <w:rPr>
          <w:rFonts w:ascii="Calibri" w:hAnsi="Calibri"/>
          <w:color w:val="1E293B"/>
          <w:sz w:val="21"/>
        </w:rPr>
        <w:t>Train and evaluate a multivariate supervised regression model on a strict 80/20 chronological split, comparing raw features against engineered polynomial features.</w:t>
      </w:r>
    </w:p>
    <w:p>
      <w:pPr>
        <w:pStyle w:val="ListBullet"/>
        <w:spacing w:after="80" w:line="276" w:lineRule="auto"/>
      </w:pPr>
      <w:r>
        <w:rPr>
          <w:rFonts w:ascii="Calibri" w:hAnsi="Calibri"/>
          <w:b/>
          <w:color w:val="0F172A"/>
          <w:sz w:val="21"/>
        </w:rPr>
        <w:t xml:space="preserve">Objective 8: </w:t>
      </w:r>
      <w:r>
        <w:rPr>
          <w:rFonts w:ascii="Calibri" w:hAnsi="Calibri"/>
          <w:color w:val="1E293B"/>
          <w:sz w:val="21"/>
        </w:rPr>
        <w:t>Apply unsupervised K-Means clustering (K=4) to discover operational dispatch regimes without labels.</w:t>
      </w:r>
    </w:p>
    <w:p>
      <w:pPr>
        <w:pStyle w:val="ListBullet"/>
        <w:spacing w:after="80" w:line="276" w:lineRule="auto"/>
      </w:pPr>
      <w:r>
        <w:rPr>
          <w:rFonts w:ascii="Calibri" w:hAnsi="Calibri"/>
          <w:b/>
          <w:color w:val="0F172A"/>
          <w:sz w:val="21"/>
        </w:rPr>
        <w:t xml:space="preserve">Objective 9: </w:t>
      </w:r>
      <w:r>
        <w:rPr>
          <w:rFonts w:ascii="Calibri" w:hAnsi="Calibri"/>
          <w:color w:val="1E293B"/>
          <w:sz w:val="21"/>
        </w:rPr>
        <w:t>Formulate empirical quantile and Gaussian prediction intervals and evaluate empirical coverage probabilities.</w:t>
      </w:r>
    </w:p>
    <w:p>
      <w:pPr>
        <w:pStyle w:val="ListBullet"/>
        <w:spacing w:after="80" w:line="276" w:lineRule="auto"/>
      </w:pPr>
      <w:r>
        <w:rPr>
          <w:rFonts w:ascii="Calibri" w:hAnsi="Calibri"/>
          <w:b/>
          <w:color w:val="0F172A"/>
          <w:sz w:val="21"/>
        </w:rPr>
        <w:t xml:space="preserve">Objective 10: </w:t>
      </w:r>
      <w:r>
        <w:rPr>
          <w:rFonts w:ascii="Calibri" w:hAnsi="Calibri"/>
          <w:color w:val="1E293B"/>
          <w:sz w:val="21"/>
        </w:rPr>
        <w:t>Deploy the end-to-end system through an interactive terminal interface and an 8-page full-stack web dashboard.</w:t>
      </w:r>
    </w:p>
    <w:p>
      <w:pPr>
        <w:keepNext/>
        <w:spacing w:before="240" w:after="80"/>
      </w:pPr>
      <w:r>
        <w:rPr>
          <w:rFonts w:ascii="Calibri" w:hAnsi="Calibri"/>
          <w:b/>
          <w:color w:val="2C5282"/>
          <w:sz w:val="26"/>
        </w:rPr>
        <w:t>1.5 Scope</w:t>
      </w:r>
    </w:p>
    <w:p>
      <w:pPr>
        <w:spacing w:after="120" w:line="276" w:lineRule="auto"/>
      </w:pPr>
      <w:r>
        <w:rPr>
          <w:rFonts w:ascii="Calibri" w:hAnsi="Calibri"/>
          <w:color w:val="1E293B"/>
          <w:sz w:val="21"/>
        </w:rPr>
        <w:t>The scope of EnergyGrid-AI strictly encompasses the statistical, probabilistic, and machine learning foundations defined in Unit 1. Algorithmic methods are restricted to ordinary least squares, polynomial basis expansions, classical probability, and Lloyd's centroid clustering. Complex deep neural architectures (LSTM, GRU, Transformers) and autoregressive models (ARIMA) are explicitly outside the current implementation scope and reserved for future units.</w:t>
      </w:r>
    </w:p>
    <w:p>
      <w:pPr>
        <w:keepNext/>
        <w:spacing w:before="360" w:after="160"/>
      </w:pPr>
      <w:r>
        <w:rPr>
          <w:rFonts w:ascii="Calibri" w:hAnsi="Calibri"/>
          <w:b/>
          <w:color w:val="1B365D"/>
          <w:sz w:val="32"/>
        </w:rPr>
        <w:t>2. Dataset and Data Preparation</w:t>
      </w:r>
    </w:p>
    <w:p>
      <w:pPr>
        <w:keepNext/>
        <w:spacing w:before="240" w:after="80"/>
      </w:pPr>
      <w:r>
        <w:rPr>
          <w:rFonts w:ascii="Calibri" w:hAnsi="Calibri"/>
          <w:b/>
          <w:color w:val="2C5282"/>
          <w:sz w:val="26"/>
        </w:rPr>
        <w:t>2.1 Dataset Source and Composition</w:t>
      </w:r>
    </w:p>
    <w:p>
      <w:pPr>
        <w:spacing w:after="120" w:line="276" w:lineRule="auto"/>
      </w:pPr>
      <w:r>
        <w:rPr>
          <w:rFonts w:ascii="Calibri" w:hAnsi="Calibri"/>
          <w:color w:val="1E293B"/>
          <w:sz w:val="21"/>
        </w:rPr>
        <w:t>EnergyGrid-AI is built on an annual hourly grid dataset modeling physical power system dynamics across 8,760 chronological hours (January 1, 2023 to December 31, 2023). The dataset encompasses 8 primary features: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20" w:type="dxa"/>
              <w:bottom w:w="120" w:type="dxa"/>
              <w:left w:w="140" w:type="dxa"/>
              <w:right w:w="140" w:type="dxa"/>
            </w:tcMar>
            <w:shd w:fill="1B365D"/>
          </w:tcPr>
          <w:p>
            <w:pPr>
              <w:jc w:val="center"/>
            </w:pPr>
            <w:r>
              <w:rPr>
                <w:rFonts w:ascii="Calibri" w:hAnsi="Calibri"/>
                <w:b/>
                <w:color w:val="FFFFFF"/>
                <w:sz w:val="19"/>
              </w:rPr>
              <w:t>Variable</w:t>
            </w:r>
          </w:p>
        </w:tc>
        <w:tc>
          <w:tcPr>
            <w:tcW w:type="dxa" w:w="864"/>
            <w:vAlign w:val="center"/>
            <w:tcMar>
              <w:top w:w="120" w:type="dxa"/>
              <w:bottom w:w="120" w:type="dxa"/>
              <w:left w:w="140" w:type="dxa"/>
              <w:right w:w="140" w:type="dxa"/>
            </w:tcMar>
            <w:shd w:fill="1B365D"/>
          </w:tcPr>
          <w:p>
            <w:pPr>
              <w:jc w:val="center"/>
            </w:pPr>
            <w:r>
              <w:rPr>
                <w:rFonts w:ascii="Calibri" w:hAnsi="Calibri"/>
                <w:b/>
                <w:color w:val="FFFFFF"/>
                <w:sz w:val="19"/>
              </w:rPr>
              <w:t>Symbol</w:t>
            </w:r>
          </w:p>
        </w:tc>
        <w:tc>
          <w:tcPr>
            <w:tcW w:type="dxa" w:w="1728"/>
            <w:vAlign w:val="center"/>
            <w:tcMar>
              <w:top w:w="120" w:type="dxa"/>
              <w:bottom w:w="120" w:type="dxa"/>
              <w:left w:w="140" w:type="dxa"/>
              <w:right w:w="140" w:type="dxa"/>
            </w:tcMar>
            <w:shd w:fill="1B365D"/>
          </w:tcPr>
          <w:p>
            <w:pPr>
              <w:jc w:val="center"/>
            </w:pPr>
            <w:r>
              <w:rPr>
                <w:rFonts w:ascii="Calibri" w:hAnsi="Calibri"/>
                <w:b/>
                <w:color w:val="FFFFFF"/>
                <w:sz w:val="19"/>
              </w:rPr>
              <w:t>Unit</w:t>
            </w:r>
          </w:p>
        </w:tc>
        <w:tc>
          <w:tcPr>
            <w:tcW w:type="dxa" w:w="2016"/>
            <w:vAlign w:val="center"/>
            <w:tcMar>
              <w:top w:w="120" w:type="dxa"/>
              <w:bottom w:w="120" w:type="dxa"/>
              <w:left w:w="140" w:type="dxa"/>
              <w:right w:w="140" w:type="dxa"/>
            </w:tcMar>
            <w:shd w:fill="1B365D"/>
          </w:tcPr>
          <w:p>
            <w:pPr>
              <w:jc w:val="center"/>
            </w:pPr>
            <w:r>
              <w:rPr>
                <w:rFonts w:ascii="Calibri" w:hAnsi="Calibri"/>
                <w:b/>
                <w:color w:val="FFFFFF"/>
                <w:sz w:val="19"/>
              </w:rPr>
              <w:t>Physical Range</w:t>
            </w:r>
          </w:p>
        </w:tc>
        <w:tc>
          <w:tcPr>
            <w:tcW w:type="dxa" w:w="2880"/>
            <w:vAlign w:val="center"/>
            <w:tcMar>
              <w:top w:w="120" w:type="dxa"/>
              <w:bottom w:w="120" w:type="dxa"/>
              <w:left w:w="140" w:type="dxa"/>
              <w:right w:w="140" w:type="dxa"/>
            </w:tcMar>
            <w:shd w:fill="1B365D"/>
          </w:tcPr>
          <w:p>
            <w:pPr>
              <w:jc w:val="center"/>
            </w:pPr>
            <w:r>
              <w:rPr>
                <w:rFonts w:ascii="Calibri" w:hAnsi="Calibri"/>
                <w:b/>
                <w:color w:val="FFFFFF"/>
                <w:sz w:val="19"/>
              </w:rPr>
              <w:t>Description</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Timestamp</w:t>
            </w:r>
          </w:p>
        </w:tc>
        <w:tc>
          <w:tcPr>
            <w:tcW w:type="dxa" w:w="864"/>
            <w:vAlign w:val="center"/>
            <w:tcMar>
              <w:top w:w="120" w:type="dxa"/>
              <w:bottom w:w="120" w:type="dxa"/>
              <w:left w:w="140" w:type="dxa"/>
              <w:right w:w="140" w:type="dxa"/>
            </w:tcMar>
            <w:shd w:fill="FFFFFF"/>
          </w:tcPr>
          <w:p>
            <w:r>
              <w:rPr>
                <w:rFonts w:ascii="Calibri" w:hAnsi="Calibri"/>
                <w:color w:val="1E293B"/>
                <w:sz w:val="18"/>
              </w:rPr>
              <w:t>t</w:t>
            </w:r>
          </w:p>
        </w:tc>
        <w:tc>
          <w:tcPr>
            <w:tcW w:type="dxa" w:w="1728"/>
            <w:vAlign w:val="center"/>
            <w:tcMar>
              <w:top w:w="120" w:type="dxa"/>
              <w:bottom w:w="120" w:type="dxa"/>
              <w:left w:w="140" w:type="dxa"/>
              <w:right w:w="140" w:type="dxa"/>
            </w:tcMar>
            <w:shd w:fill="FFFFFF"/>
          </w:tcPr>
          <w:p>
            <w:r>
              <w:rPr>
                <w:rFonts w:ascii="Calibri" w:hAnsi="Calibri"/>
                <w:color w:val="1E293B"/>
                <w:sz w:val="18"/>
              </w:rPr>
              <w:t>YYYY-MM-DD HH:MM</w:t>
            </w:r>
          </w:p>
        </w:tc>
        <w:tc>
          <w:tcPr>
            <w:tcW w:type="dxa" w:w="2016"/>
            <w:vAlign w:val="center"/>
            <w:tcMar>
              <w:top w:w="120" w:type="dxa"/>
              <w:bottom w:w="120" w:type="dxa"/>
              <w:left w:w="140" w:type="dxa"/>
              <w:right w:w="140" w:type="dxa"/>
            </w:tcMar>
            <w:shd w:fill="FFFFFF"/>
          </w:tcPr>
          <w:p>
            <w:r>
              <w:rPr>
                <w:rFonts w:ascii="Calibri" w:hAnsi="Calibri"/>
                <w:color w:val="1E293B"/>
                <w:sz w:val="18"/>
              </w:rPr>
              <w:t>2023-01-01 to 2023-12-31</w:t>
            </w:r>
          </w:p>
        </w:tc>
        <w:tc>
          <w:tcPr>
            <w:tcW w:type="dxa" w:w="2880"/>
            <w:vAlign w:val="center"/>
            <w:tcMar>
              <w:top w:w="120" w:type="dxa"/>
              <w:bottom w:w="120" w:type="dxa"/>
              <w:left w:w="140" w:type="dxa"/>
              <w:right w:w="140" w:type="dxa"/>
            </w:tcMar>
            <w:shd w:fill="FFFFFF"/>
          </w:tcPr>
          <w:p>
            <w:r>
              <w:rPr>
                <w:rFonts w:ascii="Calibri" w:hAnsi="Calibri"/>
                <w:color w:val="1E293B"/>
                <w:sz w:val="18"/>
              </w:rPr>
              <w:t>Chronological hourly index</w:t>
            </w:r>
          </w:p>
        </w:tc>
      </w:tr>
      <w:tr>
        <w:trPr>
          <w:cantSplit/>
        </w:trPr>
        <w:tc>
          <w:tcPr>
            <w:tcW w:type="dxa" w:w="2160"/>
            <w:vAlign w:val="center"/>
            <w:tcMar>
              <w:top w:w="120" w:type="dxa"/>
              <w:bottom w:w="120" w:type="dxa"/>
              <w:left w:w="140" w:type="dxa"/>
              <w:right w:w="140" w:type="dxa"/>
            </w:tcMar>
            <w:shd w:fill="F7FAFC"/>
          </w:tcPr>
          <w:p>
            <w:r>
              <w:rPr>
                <w:rFonts w:ascii="Calibri" w:hAnsi="Calibri"/>
                <w:color w:val="1E293B"/>
                <w:sz w:val="18"/>
              </w:rPr>
              <w:t>Electricity Demand</w:t>
            </w:r>
          </w:p>
        </w:tc>
        <w:tc>
          <w:tcPr>
            <w:tcW w:type="dxa" w:w="864"/>
            <w:vAlign w:val="center"/>
            <w:tcMar>
              <w:top w:w="120" w:type="dxa"/>
              <w:bottom w:w="120" w:type="dxa"/>
              <w:left w:w="140" w:type="dxa"/>
              <w:right w:w="140" w:type="dxa"/>
            </w:tcMar>
            <w:shd w:fill="F7FAFC"/>
          </w:tcPr>
          <w:p>
            <w:r>
              <w:rPr>
                <w:rFonts w:ascii="Calibri" w:hAnsi="Calibri"/>
                <w:color w:val="1E293B"/>
                <w:sz w:val="18"/>
              </w:rPr>
              <w:t>Dt</w:t>
            </w:r>
          </w:p>
        </w:tc>
        <w:tc>
          <w:tcPr>
            <w:tcW w:type="dxa" w:w="1728"/>
            <w:vAlign w:val="center"/>
            <w:tcMar>
              <w:top w:w="120" w:type="dxa"/>
              <w:bottom w:w="120" w:type="dxa"/>
              <w:left w:w="140" w:type="dxa"/>
              <w:right w:w="140" w:type="dxa"/>
            </w:tcMar>
            <w:shd w:fill="F7FAFC"/>
          </w:tcPr>
          <w:p>
            <w:r>
              <w:rPr>
                <w:rFonts w:ascii="Calibri" w:hAnsi="Calibri"/>
                <w:color w:val="1E293B"/>
                <w:sz w:val="18"/>
              </w:rPr>
              <w:t>Megawatts (MW)</w:t>
            </w:r>
          </w:p>
        </w:tc>
        <w:tc>
          <w:tcPr>
            <w:tcW w:type="dxa" w:w="2016"/>
            <w:vAlign w:val="center"/>
            <w:tcMar>
              <w:top w:w="120" w:type="dxa"/>
              <w:bottom w:w="120" w:type="dxa"/>
              <w:left w:w="140" w:type="dxa"/>
              <w:right w:w="140" w:type="dxa"/>
            </w:tcMar>
            <w:shd w:fill="F7FAFC"/>
          </w:tcPr>
          <w:p>
            <w:r>
              <w:rPr>
                <w:rFonts w:ascii="Calibri" w:hAnsi="Calibri"/>
                <w:color w:val="1E293B"/>
                <w:sz w:val="18"/>
              </w:rPr>
              <w:t>12,330 – 40,031 MW</w:t>
            </w:r>
          </w:p>
        </w:tc>
        <w:tc>
          <w:tcPr>
            <w:tcW w:type="dxa" w:w="2880"/>
            <w:vAlign w:val="center"/>
            <w:tcMar>
              <w:top w:w="120" w:type="dxa"/>
              <w:bottom w:w="120" w:type="dxa"/>
              <w:left w:w="140" w:type="dxa"/>
              <w:right w:w="140" w:type="dxa"/>
            </w:tcMar>
            <w:shd w:fill="F7FAFC"/>
          </w:tcPr>
          <w:p>
            <w:r>
              <w:rPr>
                <w:rFonts w:ascii="Calibri" w:hAnsi="Calibri"/>
                <w:color w:val="1E293B"/>
                <w:sz w:val="18"/>
              </w:rPr>
              <w:t>Total electrical grid load (Target)</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Solar Generation</w:t>
            </w:r>
          </w:p>
        </w:tc>
        <w:tc>
          <w:tcPr>
            <w:tcW w:type="dxa" w:w="864"/>
            <w:vAlign w:val="center"/>
            <w:tcMar>
              <w:top w:w="120" w:type="dxa"/>
              <w:bottom w:w="120" w:type="dxa"/>
              <w:left w:w="140" w:type="dxa"/>
              <w:right w:w="140" w:type="dxa"/>
            </w:tcMar>
            <w:shd w:fill="FFFFFF"/>
          </w:tcPr>
          <w:p>
            <w:r>
              <w:rPr>
                <w:rFonts w:ascii="Calibri" w:hAnsi="Calibri"/>
                <w:color w:val="1E293B"/>
                <w:sz w:val="18"/>
              </w:rPr>
              <w:t>St</w:t>
            </w:r>
          </w:p>
        </w:tc>
        <w:tc>
          <w:tcPr>
            <w:tcW w:type="dxa" w:w="1728"/>
            <w:vAlign w:val="center"/>
            <w:tcMar>
              <w:top w:w="120" w:type="dxa"/>
              <w:bottom w:w="120" w:type="dxa"/>
              <w:left w:w="140" w:type="dxa"/>
              <w:right w:w="140" w:type="dxa"/>
            </w:tcMar>
            <w:shd w:fill="FFFFFF"/>
          </w:tcPr>
          <w:p>
            <w:r>
              <w:rPr>
                <w:rFonts w:ascii="Calibri" w:hAnsi="Calibri"/>
                <w:color w:val="1E293B"/>
                <w:sz w:val="18"/>
              </w:rPr>
              <w:t>Megawatts (MW)</w:t>
            </w:r>
          </w:p>
        </w:tc>
        <w:tc>
          <w:tcPr>
            <w:tcW w:type="dxa" w:w="2016"/>
            <w:vAlign w:val="center"/>
            <w:tcMar>
              <w:top w:w="120" w:type="dxa"/>
              <w:bottom w:w="120" w:type="dxa"/>
              <w:left w:w="140" w:type="dxa"/>
              <w:right w:w="140" w:type="dxa"/>
            </w:tcMar>
            <w:shd w:fill="FFFFFF"/>
          </w:tcPr>
          <w:p>
            <w:r>
              <w:rPr>
                <w:rFonts w:ascii="Calibri" w:hAnsi="Calibri"/>
                <w:color w:val="1E293B"/>
                <w:sz w:val="18"/>
              </w:rPr>
              <w:t>0 – 7,845 MW</w:t>
            </w:r>
          </w:p>
        </w:tc>
        <w:tc>
          <w:tcPr>
            <w:tcW w:type="dxa" w:w="2880"/>
            <w:vAlign w:val="center"/>
            <w:tcMar>
              <w:top w:w="120" w:type="dxa"/>
              <w:bottom w:w="120" w:type="dxa"/>
              <w:left w:w="140" w:type="dxa"/>
              <w:right w:w="140" w:type="dxa"/>
            </w:tcMar>
            <w:shd w:fill="FFFFFF"/>
          </w:tcPr>
          <w:p>
            <w:r>
              <w:rPr>
                <w:rFonts w:ascii="Calibri" w:hAnsi="Calibri"/>
                <w:color w:val="1E293B"/>
                <w:sz w:val="18"/>
              </w:rPr>
              <w:t>Solar PV farm output (diurnal)</w:t>
            </w:r>
          </w:p>
        </w:tc>
      </w:tr>
      <w:tr>
        <w:trPr>
          <w:cantSplit/>
        </w:trPr>
        <w:tc>
          <w:tcPr>
            <w:tcW w:type="dxa" w:w="2160"/>
            <w:vAlign w:val="center"/>
            <w:tcMar>
              <w:top w:w="120" w:type="dxa"/>
              <w:bottom w:w="120" w:type="dxa"/>
              <w:left w:w="140" w:type="dxa"/>
              <w:right w:w="140" w:type="dxa"/>
            </w:tcMar>
            <w:shd w:fill="F7FAFC"/>
          </w:tcPr>
          <w:p>
            <w:r>
              <w:rPr>
                <w:rFonts w:ascii="Calibri" w:hAnsi="Calibri"/>
                <w:color w:val="1E293B"/>
                <w:sz w:val="18"/>
              </w:rPr>
              <w:t>Wind Generation</w:t>
            </w:r>
          </w:p>
        </w:tc>
        <w:tc>
          <w:tcPr>
            <w:tcW w:type="dxa" w:w="864"/>
            <w:vAlign w:val="center"/>
            <w:tcMar>
              <w:top w:w="120" w:type="dxa"/>
              <w:bottom w:w="120" w:type="dxa"/>
              <w:left w:w="140" w:type="dxa"/>
              <w:right w:w="140" w:type="dxa"/>
            </w:tcMar>
            <w:shd w:fill="F7FAFC"/>
          </w:tcPr>
          <w:p>
            <w:r>
              <w:rPr>
                <w:rFonts w:ascii="Calibri" w:hAnsi="Calibri"/>
                <w:color w:val="1E293B"/>
                <w:sz w:val="18"/>
              </w:rPr>
              <w:t>Wt</w:t>
            </w:r>
          </w:p>
        </w:tc>
        <w:tc>
          <w:tcPr>
            <w:tcW w:type="dxa" w:w="1728"/>
            <w:vAlign w:val="center"/>
            <w:tcMar>
              <w:top w:w="120" w:type="dxa"/>
              <w:bottom w:w="120" w:type="dxa"/>
              <w:left w:w="140" w:type="dxa"/>
              <w:right w:w="140" w:type="dxa"/>
            </w:tcMar>
            <w:shd w:fill="F7FAFC"/>
          </w:tcPr>
          <w:p>
            <w:r>
              <w:rPr>
                <w:rFonts w:ascii="Calibri" w:hAnsi="Calibri"/>
                <w:color w:val="1E293B"/>
                <w:sz w:val="18"/>
              </w:rPr>
              <w:t>Megawatts (MW)</w:t>
            </w:r>
          </w:p>
        </w:tc>
        <w:tc>
          <w:tcPr>
            <w:tcW w:type="dxa" w:w="2016"/>
            <w:vAlign w:val="center"/>
            <w:tcMar>
              <w:top w:w="120" w:type="dxa"/>
              <w:bottom w:w="120" w:type="dxa"/>
              <w:left w:w="140" w:type="dxa"/>
              <w:right w:w="140" w:type="dxa"/>
            </w:tcMar>
            <w:shd w:fill="F7FAFC"/>
          </w:tcPr>
          <w:p>
            <w:r>
              <w:rPr>
                <w:rFonts w:ascii="Calibri" w:hAnsi="Calibri"/>
                <w:color w:val="1E293B"/>
                <w:sz w:val="18"/>
              </w:rPr>
              <w:t>0 – 10,000 MW</w:t>
            </w:r>
          </w:p>
        </w:tc>
        <w:tc>
          <w:tcPr>
            <w:tcW w:type="dxa" w:w="2880"/>
            <w:vAlign w:val="center"/>
            <w:tcMar>
              <w:top w:w="120" w:type="dxa"/>
              <w:bottom w:w="120" w:type="dxa"/>
              <w:left w:w="140" w:type="dxa"/>
              <w:right w:w="140" w:type="dxa"/>
            </w:tcMar>
            <w:shd w:fill="F7FAFC"/>
          </w:tcPr>
          <w:p>
            <w:r>
              <w:rPr>
                <w:rFonts w:ascii="Calibri" w:hAnsi="Calibri"/>
                <w:color w:val="1E293B"/>
                <w:sz w:val="18"/>
              </w:rPr>
              <w:t>Wind turbine farm output (Weibull)</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Ambient Temperature</w:t>
            </w:r>
          </w:p>
        </w:tc>
        <w:tc>
          <w:tcPr>
            <w:tcW w:type="dxa" w:w="864"/>
            <w:vAlign w:val="center"/>
            <w:tcMar>
              <w:top w:w="120" w:type="dxa"/>
              <w:bottom w:w="120" w:type="dxa"/>
              <w:left w:w="140" w:type="dxa"/>
              <w:right w:w="140" w:type="dxa"/>
            </w:tcMar>
            <w:shd w:fill="FFFFFF"/>
          </w:tcPr>
          <w:p>
            <w:r>
              <w:rPr>
                <w:rFonts w:ascii="Calibri" w:hAnsi="Calibri"/>
                <w:color w:val="1E293B"/>
                <w:sz w:val="18"/>
              </w:rPr>
              <w:t>Tt</w:t>
            </w:r>
          </w:p>
        </w:tc>
        <w:tc>
          <w:tcPr>
            <w:tcW w:type="dxa" w:w="1728"/>
            <w:vAlign w:val="center"/>
            <w:tcMar>
              <w:top w:w="120" w:type="dxa"/>
              <w:bottom w:w="120" w:type="dxa"/>
              <w:left w:w="140" w:type="dxa"/>
              <w:right w:w="140" w:type="dxa"/>
            </w:tcMar>
            <w:shd w:fill="FFFFFF"/>
          </w:tcPr>
          <w:p>
            <w:r>
              <w:rPr>
                <w:rFonts w:ascii="Calibri" w:hAnsi="Calibri"/>
                <w:color w:val="1E293B"/>
                <w:sz w:val="18"/>
              </w:rPr>
              <w:t>Celsius (°C)</w:t>
            </w:r>
          </w:p>
        </w:tc>
        <w:tc>
          <w:tcPr>
            <w:tcW w:type="dxa" w:w="2016"/>
            <w:vAlign w:val="center"/>
            <w:tcMar>
              <w:top w:w="120" w:type="dxa"/>
              <w:bottom w:w="120" w:type="dxa"/>
              <w:left w:w="140" w:type="dxa"/>
              <w:right w:w="140" w:type="dxa"/>
            </w:tcMar>
            <w:shd w:fill="FFFFFF"/>
          </w:tcPr>
          <w:p>
            <w:r>
              <w:rPr>
                <w:rFonts w:ascii="Calibri" w:hAnsi="Calibri"/>
                <w:color w:val="1E293B"/>
                <w:sz w:val="18"/>
              </w:rPr>
              <w:t>-7.56 – 39.15 °C</w:t>
            </w:r>
          </w:p>
        </w:tc>
        <w:tc>
          <w:tcPr>
            <w:tcW w:type="dxa" w:w="2880"/>
            <w:vAlign w:val="center"/>
            <w:tcMar>
              <w:top w:w="120" w:type="dxa"/>
              <w:bottom w:w="120" w:type="dxa"/>
              <w:left w:w="140" w:type="dxa"/>
              <w:right w:w="140" w:type="dxa"/>
            </w:tcMar>
            <w:shd w:fill="FFFFFF"/>
          </w:tcPr>
          <w:p>
            <w:r>
              <w:rPr>
                <w:rFonts w:ascii="Calibri" w:hAnsi="Calibri"/>
                <w:color w:val="1E293B"/>
                <w:sz w:val="18"/>
              </w:rPr>
              <w:t>Meteorological station surface temp</w:t>
            </w:r>
          </w:p>
        </w:tc>
      </w:tr>
      <w:tr>
        <w:trPr>
          <w:cantSplit/>
        </w:trPr>
        <w:tc>
          <w:tcPr>
            <w:tcW w:type="dxa" w:w="2160"/>
            <w:vAlign w:val="center"/>
            <w:tcMar>
              <w:top w:w="120" w:type="dxa"/>
              <w:bottom w:w="120" w:type="dxa"/>
              <w:left w:w="140" w:type="dxa"/>
              <w:right w:w="140" w:type="dxa"/>
            </w:tcMar>
            <w:shd w:fill="F7FAFC"/>
          </w:tcPr>
          <w:p>
            <w:r>
              <w:rPr>
                <w:rFonts w:ascii="Calibri" w:hAnsi="Calibri"/>
                <w:color w:val="1E293B"/>
                <w:sz w:val="18"/>
              </w:rPr>
              <w:t>Relative Humidity</w:t>
            </w:r>
          </w:p>
        </w:tc>
        <w:tc>
          <w:tcPr>
            <w:tcW w:type="dxa" w:w="864"/>
            <w:vAlign w:val="center"/>
            <w:tcMar>
              <w:top w:w="120" w:type="dxa"/>
              <w:bottom w:w="120" w:type="dxa"/>
              <w:left w:w="140" w:type="dxa"/>
              <w:right w:w="140" w:type="dxa"/>
            </w:tcMar>
            <w:shd w:fill="F7FAFC"/>
          </w:tcPr>
          <w:p>
            <w:r>
              <w:rPr>
                <w:rFonts w:ascii="Calibri" w:hAnsi="Calibri"/>
                <w:color w:val="1E293B"/>
                <w:sz w:val="18"/>
              </w:rPr>
              <w:t>Ht</w:t>
            </w:r>
          </w:p>
        </w:tc>
        <w:tc>
          <w:tcPr>
            <w:tcW w:type="dxa" w:w="1728"/>
            <w:vAlign w:val="center"/>
            <w:tcMar>
              <w:top w:w="120" w:type="dxa"/>
              <w:bottom w:w="120" w:type="dxa"/>
              <w:left w:w="140" w:type="dxa"/>
              <w:right w:w="140" w:type="dxa"/>
            </w:tcMar>
            <w:shd w:fill="F7FAFC"/>
          </w:tcPr>
          <w:p>
            <w:r>
              <w:rPr>
                <w:rFonts w:ascii="Calibri" w:hAnsi="Calibri"/>
                <w:color w:val="1E293B"/>
                <w:sz w:val="18"/>
              </w:rPr>
              <w:t>Percentage (%)</w:t>
            </w:r>
          </w:p>
        </w:tc>
        <w:tc>
          <w:tcPr>
            <w:tcW w:type="dxa" w:w="2016"/>
            <w:vAlign w:val="center"/>
            <w:tcMar>
              <w:top w:w="120" w:type="dxa"/>
              <w:bottom w:w="120" w:type="dxa"/>
              <w:left w:w="140" w:type="dxa"/>
              <w:right w:w="140" w:type="dxa"/>
            </w:tcMar>
            <w:shd w:fill="F7FAFC"/>
          </w:tcPr>
          <w:p>
            <w:r>
              <w:rPr>
                <w:rFonts w:ascii="Calibri" w:hAnsi="Calibri"/>
                <w:color w:val="1E293B"/>
                <w:sz w:val="18"/>
              </w:rPr>
              <w:t>15.0 – 99.0 %</w:t>
            </w:r>
          </w:p>
        </w:tc>
        <w:tc>
          <w:tcPr>
            <w:tcW w:type="dxa" w:w="2880"/>
            <w:vAlign w:val="center"/>
            <w:tcMar>
              <w:top w:w="120" w:type="dxa"/>
              <w:bottom w:w="120" w:type="dxa"/>
              <w:left w:w="140" w:type="dxa"/>
              <w:right w:w="140" w:type="dxa"/>
            </w:tcMar>
            <w:shd w:fill="F7FAFC"/>
          </w:tcPr>
          <w:p>
            <w:r>
              <w:rPr>
                <w:rFonts w:ascii="Calibri" w:hAnsi="Calibri"/>
                <w:color w:val="1E293B"/>
                <w:sz w:val="18"/>
              </w:rPr>
              <w:t>Atmospheric water saturation</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Wind Speed</w:t>
            </w:r>
          </w:p>
        </w:tc>
        <w:tc>
          <w:tcPr>
            <w:tcW w:type="dxa" w:w="864"/>
            <w:vAlign w:val="center"/>
            <w:tcMar>
              <w:top w:w="120" w:type="dxa"/>
              <w:bottom w:w="120" w:type="dxa"/>
              <w:left w:w="140" w:type="dxa"/>
              <w:right w:w="140" w:type="dxa"/>
            </w:tcMar>
            <w:shd w:fill="FFFFFF"/>
          </w:tcPr>
          <w:p>
            <w:r>
              <w:rPr>
                <w:rFonts w:ascii="Calibri" w:hAnsi="Calibri"/>
                <w:color w:val="1E293B"/>
                <w:sz w:val="18"/>
              </w:rPr>
              <w:t>vt</w:t>
            </w:r>
          </w:p>
        </w:tc>
        <w:tc>
          <w:tcPr>
            <w:tcW w:type="dxa" w:w="1728"/>
            <w:vAlign w:val="center"/>
            <w:tcMar>
              <w:top w:w="120" w:type="dxa"/>
              <w:bottom w:w="120" w:type="dxa"/>
              <w:left w:w="140" w:type="dxa"/>
              <w:right w:w="140" w:type="dxa"/>
            </w:tcMar>
            <w:shd w:fill="FFFFFF"/>
          </w:tcPr>
          <w:p>
            <w:r>
              <w:rPr>
                <w:rFonts w:ascii="Calibri" w:hAnsi="Calibri"/>
                <w:color w:val="1E293B"/>
                <w:sz w:val="18"/>
              </w:rPr>
              <w:t>Meters/sec (m/s)</w:t>
            </w:r>
          </w:p>
        </w:tc>
        <w:tc>
          <w:tcPr>
            <w:tcW w:type="dxa" w:w="2016"/>
            <w:vAlign w:val="center"/>
            <w:tcMar>
              <w:top w:w="120" w:type="dxa"/>
              <w:bottom w:w="120" w:type="dxa"/>
              <w:left w:w="140" w:type="dxa"/>
              <w:right w:w="140" w:type="dxa"/>
            </w:tcMar>
            <w:shd w:fill="FFFFFF"/>
          </w:tcPr>
          <w:p>
            <w:r>
              <w:rPr>
                <w:rFonts w:ascii="Calibri" w:hAnsi="Calibri"/>
                <w:color w:val="1E293B"/>
                <w:sz w:val="18"/>
              </w:rPr>
              <w:t>0.5 – 26.0 m/s</w:t>
            </w:r>
          </w:p>
        </w:tc>
        <w:tc>
          <w:tcPr>
            <w:tcW w:type="dxa" w:w="2880"/>
            <w:vAlign w:val="center"/>
            <w:tcMar>
              <w:top w:w="120" w:type="dxa"/>
              <w:bottom w:w="120" w:type="dxa"/>
              <w:left w:w="140" w:type="dxa"/>
              <w:right w:w="140" w:type="dxa"/>
            </w:tcMar>
            <w:shd w:fill="FFFFFF"/>
          </w:tcPr>
          <w:p>
            <w:r>
              <w:rPr>
                <w:rFonts w:ascii="Calibri" w:hAnsi="Calibri"/>
                <w:color w:val="1E293B"/>
                <w:sz w:val="18"/>
              </w:rPr>
              <w:t>Anemometer speed at hub height (80m)</w:t>
            </w:r>
          </w:p>
        </w:tc>
      </w:tr>
      <w:tr>
        <w:trPr>
          <w:cantSplit/>
        </w:trPr>
        <w:tc>
          <w:tcPr>
            <w:tcW w:type="dxa" w:w="2160"/>
            <w:vAlign w:val="center"/>
            <w:tcMar>
              <w:top w:w="120" w:type="dxa"/>
              <w:bottom w:w="120" w:type="dxa"/>
              <w:left w:w="140" w:type="dxa"/>
              <w:right w:w="140" w:type="dxa"/>
            </w:tcMar>
            <w:shd w:fill="F7FAFC"/>
          </w:tcPr>
          <w:p>
            <w:r>
              <w:rPr>
                <w:rFonts w:ascii="Calibri" w:hAnsi="Calibri"/>
                <w:color w:val="1E293B"/>
                <w:sz w:val="18"/>
              </w:rPr>
              <w:t>Cloud Cover</w:t>
            </w:r>
          </w:p>
        </w:tc>
        <w:tc>
          <w:tcPr>
            <w:tcW w:type="dxa" w:w="864"/>
            <w:vAlign w:val="center"/>
            <w:tcMar>
              <w:top w:w="120" w:type="dxa"/>
              <w:bottom w:w="120" w:type="dxa"/>
              <w:left w:w="140" w:type="dxa"/>
              <w:right w:w="140" w:type="dxa"/>
            </w:tcMar>
            <w:shd w:fill="F7FAFC"/>
          </w:tcPr>
          <w:p>
            <w:r>
              <w:rPr>
                <w:rFonts w:ascii="Calibri" w:hAnsi="Calibri"/>
                <w:color w:val="1E293B"/>
                <w:sz w:val="18"/>
              </w:rPr>
              <w:t>Ct</w:t>
            </w:r>
          </w:p>
        </w:tc>
        <w:tc>
          <w:tcPr>
            <w:tcW w:type="dxa" w:w="1728"/>
            <w:vAlign w:val="center"/>
            <w:tcMar>
              <w:top w:w="120" w:type="dxa"/>
              <w:bottom w:w="120" w:type="dxa"/>
              <w:left w:w="140" w:type="dxa"/>
              <w:right w:w="140" w:type="dxa"/>
            </w:tcMar>
            <w:shd w:fill="F7FAFC"/>
          </w:tcPr>
          <w:p>
            <w:r>
              <w:rPr>
                <w:rFonts w:ascii="Calibri" w:hAnsi="Calibri"/>
                <w:color w:val="1E293B"/>
                <w:sz w:val="18"/>
              </w:rPr>
              <w:t>Percentage (%)</w:t>
            </w:r>
          </w:p>
        </w:tc>
        <w:tc>
          <w:tcPr>
            <w:tcW w:type="dxa" w:w="2016"/>
            <w:vAlign w:val="center"/>
            <w:tcMar>
              <w:top w:w="120" w:type="dxa"/>
              <w:bottom w:w="120" w:type="dxa"/>
              <w:left w:w="140" w:type="dxa"/>
              <w:right w:w="140" w:type="dxa"/>
            </w:tcMar>
            <w:shd w:fill="F7FAFC"/>
          </w:tcPr>
          <w:p>
            <w:r>
              <w:rPr>
                <w:rFonts w:ascii="Calibri" w:hAnsi="Calibri"/>
                <w:color w:val="1E293B"/>
                <w:sz w:val="18"/>
              </w:rPr>
              <w:t>0.0 – 100.0 %</w:t>
            </w:r>
          </w:p>
        </w:tc>
        <w:tc>
          <w:tcPr>
            <w:tcW w:type="dxa" w:w="2880"/>
            <w:vAlign w:val="center"/>
            <w:tcMar>
              <w:top w:w="120" w:type="dxa"/>
              <w:bottom w:w="120" w:type="dxa"/>
              <w:left w:w="140" w:type="dxa"/>
              <w:right w:w="140" w:type="dxa"/>
            </w:tcMar>
            <w:shd w:fill="F7FAFC"/>
          </w:tcPr>
          <w:p>
            <w:r>
              <w:rPr>
                <w:rFonts w:ascii="Calibri" w:hAnsi="Calibri"/>
                <w:color w:val="1E293B"/>
                <w:sz w:val="18"/>
              </w:rPr>
              <w:t>Sky cloud fraction (Beer-Lambert)</w:t>
            </w:r>
          </w:p>
        </w:tc>
      </w:tr>
    </w:tbl>
    <w:p>
      <w:pPr>
        <w:spacing w:after="240"/>
        <w:jc w:val="center"/>
      </w:pPr>
      <w:r>
        <w:rPr>
          <w:i/>
          <w:sz w:val="17"/>
        </w:rPr>
        <w:t>Table 2.1 — Dataset feature attributes and physical boundaries</w:t>
      </w:r>
    </w:p>
    <w:p>
      <w:pPr>
        <w:keepNext/>
        <w:spacing w:before="240" w:after="80"/>
      </w:pPr>
      <w:r>
        <w:rPr>
          <w:rFonts w:ascii="Calibri" w:hAnsi="Calibri"/>
          <w:b/>
          <w:color w:val="2C5282"/>
          <w:sz w:val="26"/>
        </w:rPr>
        <w:t>2.2 Time-Aware Imputation and Preprocessing</w:t>
      </w:r>
    </w:p>
    <w:p>
      <w:pPr>
        <w:spacing w:after="120" w:line="276" w:lineRule="auto"/>
      </w:pPr>
      <w:r>
        <w:rPr>
          <w:rFonts w:ascii="Calibri" w:hAnsi="Calibri"/>
          <w:color w:val="1E293B"/>
          <w:sz w:val="21"/>
        </w:rPr>
        <w:t>Sensor network artifacts—namely duplicate packets and intermittent data dropouts—were identified and resolved:</w:t>
        <w:br/>
        <w:t>1. Duplicate Records: 5 duplicate timestamps were removed, restoring the canonical shape to 8,760 hours.</w:t>
        <w:br/>
        <w:t>2. Missing Values: 25 missing values distributed across columns were imputed using time-aware linear interpolation:</w:t>
        <w:br/>
        <w:t xml:space="preserve">   xt = xt0 + ((xt1 - xt0) / (t1 - t0)) * (t - t0)</w:t>
        <w:br/>
        <w:t>Linear interpolation preserves local physical continuity in time series, whereas naive mean imputation introduces unnatural step discontinuities.</w:t>
      </w:r>
    </w:p>
    <w:p>
      <w:pPr>
        <w:keepNext/>
        <w:spacing w:before="240" w:after="80"/>
      </w:pPr>
      <w:r>
        <w:rPr>
          <w:rFonts w:ascii="Calibri" w:hAnsi="Calibri"/>
          <w:b/>
          <w:color w:val="2C5282"/>
          <w:sz w:val="26"/>
        </w:rPr>
        <w:t>2.3 State of Demand Categories</w:t>
      </w:r>
    </w:p>
    <w:p>
      <w:pPr>
        <w:spacing w:after="120" w:line="276" w:lineRule="auto"/>
      </w:pPr>
      <w:r>
        <w:rPr>
          <w:rFonts w:ascii="Calibri" w:hAnsi="Calibri"/>
          <w:color w:val="1E293B"/>
          <w:sz w:val="21"/>
        </w:rPr>
        <w:t>Continuous electrical demand is discretized into three operating condition classes based on empirical tertile quantiles (Q0.333 = 23,061.40 MW and Q0.667 = 26,866.90 MW):</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vAlign w:val="center"/>
            <w:tcMar>
              <w:top w:w="120" w:type="dxa"/>
              <w:bottom w:w="120" w:type="dxa"/>
              <w:left w:w="140" w:type="dxa"/>
              <w:right w:w="140" w:type="dxa"/>
            </w:tcMar>
            <w:shd w:fill="1B365D"/>
          </w:tcPr>
          <w:p>
            <w:pPr>
              <w:jc w:val="center"/>
            </w:pPr>
            <w:r>
              <w:rPr>
                <w:rFonts w:ascii="Calibri" w:hAnsi="Calibri"/>
                <w:b/>
                <w:color w:val="FFFFFF"/>
                <w:sz w:val="19"/>
              </w:rPr>
              <w:t>Condition Class</w:t>
            </w:r>
          </w:p>
        </w:tc>
        <w:tc>
          <w:tcPr>
            <w:tcW w:type="dxa" w:w="2880"/>
            <w:vAlign w:val="center"/>
            <w:tcMar>
              <w:top w:w="120" w:type="dxa"/>
              <w:bottom w:w="120" w:type="dxa"/>
              <w:left w:w="140" w:type="dxa"/>
              <w:right w:w="140" w:type="dxa"/>
            </w:tcMar>
            <w:shd w:fill="1B365D"/>
          </w:tcPr>
          <w:p>
            <w:pPr>
              <w:jc w:val="center"/>
            </w:pPr>
            <w:r>
              <w:rPr>
                <w:rFonts w:ascii="Calibri" w:hAnsi="Calibri"/>
                <w:b/>
                <w:color w:val="FFFFFF"/>
                <w:sz w:val="19"/>
              </w:rPr>
              <w:t>Demand Range (MW)</w:t>
            </w:r>
          </w:p>
        </w:tc>
        <w:tc>
          <w:tcPr>
            <w:tcW w:type="dxa" w:w="3888"/>
            <w:vAlign w:val="center"/>
            <w:tcMar>
              <w:top w:w="120" w:type="dxa"/>
              <w:bottom w:w="120" w:type="dxa"/>
              <w:left w:w="140" w:type="dxa"/>
              <w:right w:w="140" w:type="dxa"/>
            </w:tcMar>
            <w:shd w:fill="1B365D"/>
          </w:tcPr>
          <w:p>
            <w:pPr>
              <w:jc w:val="center"/>
            </w:pPr>
            <w:r>
              <w:rPr>
                <w:rFonts w:ascii="Calibri" w:hAnsi="Calibri"/>
                <w:b/>
                <w:color w:val="FFFFFF"/>
                <w:sz w:val="19"/>
              </w:rPr>
              <w:t>Operational Interpretation</w:t>
            </w:r>
          </w:p>
        </w:tc>
      </w:tr>
      <w:tr>
        <w:trPr>
          <w:cantSplit/>
        </w:trPr>
        <w:tc>
          <w:tcPr>
            <w:tcW w:type="dxa" w:w="2880"/>
            <w:vAlign w:val="center"/>
            <w:tcMar>
              <w:top w:w="120" w:type="dxa"/>
              <w:bottom w:w="120" w:type="dxa"/>
              <w:left w:w="140" w:type="dxa"/>
              <w:right w:w="140" w:type="dxa"/>
            </w:tcMar>
            <w:shd w:fill="FFFFFF"/>
          </w:tcPr>
          <w:p>
            <w:r>
              <w:rPr>
                <w:rFonts w:ascii="Calibri" w:hAnsi="Calibri"/>
                <w:color w:val="1E293B"/>
                <w:sz w:val="18"/>
              </w:rPr>
              <w:t>Low Demand (State 0)</w:t>
            </w:r>
          </w:p>
        </w:tc>
        <w:tc>
          <w:tcPr>
            <w:tcW w:type="dxa" w:w="2880"/>
            <w:vAlign w:val="center"/>
            <w:tcMar>
              <w:top w:w="120" w:type="dxa"/>
              <w:bottom w:w="120" w:type="dxa"/>
              <w:left w:w="140" w:type="dxa"/>
              <w:right w:w="140" w:type="dxa"/>
            </w:tcMar>
            <w:shd w:fill="FFFFFF"/>
          </w:tcPr>
          <w:p>
            <w:r>
              <w:rPr>
                <w:rFonts w:ascii="Calibri" w:hAnsi="Calibri"/>
                <w:color w:val="1E293B"/>
                <w:sz w:val="18"/>
              </w:rPr>
              <w:t>&lt; 23,061.40 MW</w:t>
            </w:r>
          </w:p>
        </w:tc>
        <w:tc>
          <w:tcPr>
            <w:tcW w:type="dxa" w:w="3888"/>
            <w:vAlign w:val="center"/>
            <w:tcMar>
              <w:top w:w="120" w:type="dxa"/>
              <w:bottom w:w="120" w:type="dxa"/>
              <w:left w:w="140" w:type="dxa"/>
              <w:right w:w="140" w:type="dxa"/>
            </w:tcMar>
            <w:shd w:fill="FFFFFF"/>
          </w:tcPr>
          <w:p>
            <w:r>
              <w:rPr>
                <w:rFonts w:ascii="Calibri" w:hAnsi="Calibri"/>
                <w:color w:val="1E293B"/>
                <w:sz w:val="18"/>
              </w:rPr>
              <w:t>Off-peak nocturnal baseload; low grid stress</w:t>
            </w:r>
          </w:p>
        </w:tc>
      </w:tr>
      <w:tr>
        <w:trPr>
          <w:cantSplit/>
        </w:trPr>
        <w:tc>
          <w:tcPr>
            <w:tcW w:type="dxa" w:w="2880"/>
            <w:vAlign w:val="center"/>
            <w:tcMar>
              <w:top w:w="120" w:type="dxa"/>
              <w:bottom w:w="120" w:type="dxa"/>
              <w:left w:w="140" w:type="dxa"/>
              <w:right w:w="140" w:type="dxa"/>
            </w:tcMar>
            <w:shd w:fill="F7FAFC"/>
          </w:tcPr>
          <w:p>
            <w:r>
              <w:rPr>
                <w:rFonts w:ascii="Calibri" w:hAnsi="Calibri"/>
                <w:color w:val="1E293B"/>
                <w:sz w:val="18"/>
              </w:rPr>
              <w:t>Normal Demand (State 1)</w:t>
            </w:r>
          </w:p>
        </w:tc>
        <w:tc>
          <w:tcPr>
            <w:tcW w:type="dxa" w:w="2880"/>
            <w:vAlign w:val="center"/>
            <w:tcMar>
              <w:top w:w="120" w:type="dxa"/>
              <w:bottom w:w="120" w:type="dxa"/>
              <w:left w:w="140" w:type="dxa"/>
              <w:right w:w="140" w:type="dxa"/>
            </w:tcMar>
            <w:shd w:fill="F7FAFC"/>
          </w:tcPr>
          <w:p>
            <w:r>
              <w:rPr>
                <w:rFonts w:ascii="Calibri" w:hAnsi="Calibri"/>
                <w:color w:val="1E293B"/>
                <w:sz w:val="18"/>
              </w:rPr>
              <w:t>23,061.40 – 26,866.90 MW</w:t>
            </w:r>
          </w:p>
        </w:tc>
        <w:tc>
          <w:tcPr>
            <w:tcW w:type="dxa" w:w="3888"/>
            <w:vAlign w:val="center"/>
            <w:tcMar>
              <w:top w:w="120" w:type="dxa"/>
              <w:bottom w:w="120" w:type="dxa"/>
              <w:left w:w="140" w:type="dxa"/>
              <w:right w:w="140" w:type="dxa"/>
            </w:tcMar>
            <w:shd w:fill="F7FAFC"/>
          </w:tcPr>
          <w:p>
            <w:r>
              <w:rPr>
                <w:rFonts w:ascii="Calibri" w:hAnsi="Calibri"/>
                <w:color w:val="1E293B"/>
                <w:sz w:val="18"/>
              </w:rPr>
              <w:t>Typical daytime residential and commercial activity</w:t>
            </w:r>
          </w:p>
        </w:tc>
      </w:tr>
      <w:tr>
        <w:trPr>
          <w:cantSplit/>
        </w:trPr>
        <w:tc>
          <w:tcPr>
            <w:tcW w:type="dxa" w:w="2880"/>
            <w:vAlign w:val="center"/>
            <w:tcMar>
              <w:top w:w="120" w:type="dxa"/>
              <w:bottom w:w="120" w:type="dxa"/>
              <w:left w:w="140" w:type="dxa"/>
              <w:right w:w="140" w:type="dxa"/>
            </w:tcMar>
            <w:shd w:fill="FFFFFF"/>
          </w:tcPr>
          <w:p>
            <w:r>
              <w:rPr>
                <w:rFonts w:ascii="Calibri" w:hAnsi="Calibri"/>
                <w:color w:val="1E293B"/>
                <w:sz w:val="18"/>
              </w:rPr>
              <w:t>High Demand (State 2)</w:t>
            </w:r>
          </w:p>
        </w:tc>
        <w:tc>
          <w:tcPr>
            <w:tcW w:type="dxa" w:w="2880"/>
            <w:vAlign w:val="center"/>
            <w:tcMar>
              <w:top w:w="120" w:type="dxa"/>
              <w:bottom w:w="120" w:type="dxa"/>
              <w:left w:w="140" w:type="dxa"/>
              <w:right w:w="140" w:type="dxa"/>
            </w:tcMar>
            <w:shd w:fill="FFFFFF"/>
          </w:tcPr>
          <w:p>
            <w:r>
              <w:rPr>
                <w:rFonts w:ascii="Calibri" w:hAnsi="Calibri"/>
                <w:color w:val="1E293B"/>
                <w:sz w:val="18"/>
              </w:rPr>
              <w:t>&gt; 26,866.90 MW</w:t>
            </w:r>
          </w:p>
        </w:tc>
        <w:tc>
          <w:tcPr>
            <w:tcW w:type="dxa" w:w="3888"/>
            <w:vAlign w:val="center"/>
            <w:tcMar>
              <w:top w:w="120" w:type="dxa"/>
              <w:bottom w:w="120" w:type="dxa"/>
              <w:left w:w="140" w:type="dxa"/>
              <w:right w:w="140" w:type="dxa"/>
            </w:tcMar>
            <w:shd w:fill="FFFFFF"/>
          </w:tcPr>
          <w:p>
            <w:r>
              <w:rPr>
                <w:rFonts w:ascii="Calibri" w:hAnsi="Calibri"/>
                <w:color w:val="1E293B"/>
                <w:sz w:val="18"/>
              </w:rPr>
              <w:t>Peak grid stress; triggers spinning reserve and peaker dispatch</w:t>
            </w:r>
          </w:p>
        </w:tc>
      </w:tr>
    </w:tbl>
    <w:p>
      <w:pPr>
        <w:spacing w:after="240"/>
        <w:jc w:val="center"/>
      </w:pPr>
      <w:r>
        <w:rPr>
          <w:i/>
          <w:sz w:val="17"/>
        </w:rPr>
        <w:t>Table 2.2 — Discretized demand condition classes</w:t>
      </w:r>
    </w:p>
    <w:p>
      <w:pPr>
        <w:keepNext/>
        <w:spacing w:before="240" w:after="80"/>
      </w:pPr>
      <w:r>
        <w:rPr>
          <w:rFonts w:ascii="Calibri" w:hAnsi="Calibri"/>
          <w:b/>
          <w:color w:val="2C5282"/>
          <w:sz w:val="26"/>
        </w:rPr>
        <w:t>2.4 Mapping of Unit 1 Concepts to EnergyGrid-AI</w:t>
      </w:r>
    </w:p>
    <w:p>
      <w:pPr>
        <w:spacing w:after="120" w:line="276" w:lineRule="auto"/>
      </w:pPr>
      <w:r>
        <w:rPr>
          <w:rFonts w:ascii="Calibri" w:hAnsi="Calibri"/>
          <w:color w:val="1E293B"/>
          <w:sz w:val="21"/>
        </w:rPr>
        <w:t>Every concept in the Unit 1 syllabus is directly manifested in the codebase:</w:t>
      </w:r>
    </w:p>
    <w:tbl>
      <w:tblPr>
        <w:tblW w:type="auto" w:w="0"/>
        <w:jc w:val="center"/>
        <w:tblLook w:firstColumn="1" w:firstRow="1" w:lastColumn="0" w:lastRow="0" w:noHBand="0" w:noVBand="1" w:val="04A0"/>
      </w:tblPr>
      <w:tblGrid>
        <w:gridCol w:w="4680"/>
        <w:gridCol w:w="4680"/>
      </w:tblGrid>
      <w:tr>
        <w:trPr>
          <w:cantSplit/>
          <w:tblHeader/>
        </w:trPr>
        <w:tc>
          <w:tcPr>
            <w:tcW w:type="dxa" w:w="4032"/>
            <w:vAlign w:val="center"/>
            <w:tcMar>
              <w:top w:w="120" w:type="dxa"/>
              <w:bottom w:w="120" w:type="dxa"/>
              <w:left w:w="140" w:type="dxa"/>
              <w:right w:w="140" w:type="dxa"/>
            </w:tcMar>
            <w:shd w:fill="1B365D"/>
          </w:tcPr>
          <w:p>
            <w:pPr>
              <w:jc w:val="center"/>
            </w:pPr>
            <w:r>
              <w:rPr>
                <w:rFonts w:ascii="Calibri" w:hAnsi="Calibri"/>
                <w:b/>
                <w:color w:val="FFFFFF"/>
                <w:sz w:val="19"/>
              </w:rPr>
              <w:t>Unit 1 Academic Concept</w:t>
            </w:r>
          </w:p>
        </w:tc>
        <w:tc>
          <w:tcPr>
            <w:tcW w:type="dxa" w:w="5616"/>
            <w:vAlign w:val="center"/>
            <w:tcMar>
              <w:top w:w="120" w:type="dxa"/>
              <w:bottom w:w="120" w:type="dxa"/>
              <w:left w:w="140" w:type="dxa"/>
              <w:right w:w="140" w:type="dxa"/>
            </w:tcMar>
            <w:shd w:fill="1B365D"/>
          </w:tcPr>
          <w:p>
            <w:pPr>
              <w:jc w:val="center"/>
            </w:pPr>
            <w:r>
              <w:rPr>
                <w:rFonts w:ascii="Calibri" w:hAnsi="Calibri"/>
                <w:b/>
                <w:color w:val="FFFFFF"/>
                <w:sz w:val="19"/>
              </w:rPr>
              <w:t>EnergyGrid-AI System Implementation</w:t>
            </w:r>
          </w:p>
        </w:tc>
      </w:tr>
      <w:tr>
        <w:trPr>
          <w:cantSplit/>
        </w:trPr>
        <w:tc>
          <w:tcPr>
            <w:tcW w:type="dxa" w:w="4032"/>
            <w:vAlign w:val="center"/>
            <w:tcMar>
              <w:top w:w="120" w:type="dxa"/>
              <w:bottom w:w="120" w:type="dxa"/>
              <w:left w:w="140" w:type="dxa"/>
              <w:right w:w="140" w:type="dxa"/>
            </w:tcMar>
            <w:shd w:fill="FFFFFF"/>
          </w:tcPr>
          <w:p>
            <w:r>
              <w:rPr>
                <w:rFonts w:ascii="Calibri" w:hAnsi="Calibri"/>
                <w:color w:val="1E293B"/>
                <w:sz w:val="18"/>
              </w:rPr>
              <w:t>What is Machine Learning</w:t>
            </w:r>
          </w:p>
        </w:tc>
        <w:tc>
          <w:tcPr>
            <w:tcW w:type="dxa" w:w="5616"/>
            <w:vAlign w:val="center"/>
            <w:tcMar>
              <w:top w:w="120" w:type="dxa"/>
              <w:bottom w:w="120" w:type="dxa"/>
              <w:left w:w="140" w:type="dxa"/>
              <w:right w:w="140" w:type="dxa"/>
            </w:tcMar>
            <w:shd w:fill="FFFFFF"/>
          </w:tcPr>
          <w:p>
            <w:r>
              <w:rPr>
                <w:rFonts w:ascii="Calibri" w:hAnsi="Calibri"/>
                <w:color w:val="1E293B"/>
                <w:sz w:val="18"/>
              </w:rPr>
              <w:t>End-to-end task, experience, and performance formulation</w:t>
            </w:r>
          </w:p>
        </w:tc>
      </w:tr>
      <w:tr>
        <w:trPr>
          <w:cantSplit/>
        </w:trPr>
        <w:tc>
          <w:tcPr>
            <w:tcW w:type="dxa" w:w="4032"/>
            <w:vAlign w:val="center"/>
            <w:tcMar>
              <w:top w:w="120" w:type="dxa"/>
              <w:bottom w:w="120" w:type="dxa"/>
              <w:left w:w="140" w:type="dxa"/>
              <w:right w:w="140" w:type="dxa"/>
            </w:tcMar>
            <w:shd w:fill="F7FAFC"/>
          </w:tcPr>
          <w:p>
            <w:r>
              <w:rPr>
                <w:rFonts w:ascii="Calibri" w:hAnsi="Calibri"/>
                <w:color w:val="1E293B"/>
                <w:sz w:val="18"/>
              </w:rPr>
              <w:t>Supervised Learning</w:t>
            </w:r>
          </w:p>
        </w:tc>
        <w:tc>
          <w:tcPr>
            <w:tcW w:type="dxa" w:w="5616"/>
            <w:vAlign w:val="center"/>
            <w:tcMar>
              <w:top w:w="120" w:type="dxa"/>
              <w:bottom w:w="120" w:type="dxa"/>
              <w:left w:w="140" w:type="dxa"/>
              <w:right w:w="140" w:type="dxa"/>
            </w:tcMar>
            <w:shd w:fill="F7FAFC"/>
          </w:tcPr>
          <w:p>
            <w:r>
              <w:rPr>
                <w:rFonts w:ascii="Calibri" w:hAnsi="Calibri"/>
                <w:color w:val="1E293B"/>
                <w:sz w:val="18"/>
              </w:rPr>
              <w:t>Multivariate regression predicting continuous MW demand</w:t>
            </w:r>
          </w:p>
        </w:tc>
      </w:tr>
      <w:tr>
        <w:trPr>
          <w:cantSplit/>
        </w:trPr>
        <w:tc>
          <w:tcPr>
            <w:tcW w:type="dxa" w:w="4032"/>
            <w:vAlign w:val="center"/>
            <w:tcMar>
              <w:top w:w="120" w:type="dxa"/>
              <w:bottom w:w="120" w:type="dxa"/>
              <w:left w:w="140" w:type="dxa"/>
              <w:right w:w="140" w:type="dxa"/>
            </w:tcMar>
            <w:shd w:fill="FFFFFF"/>
          </w:tcPr>
          <w:p>
            <w:r>
              <w:rPr>
                <w:rFonts w:ascii="Calibri" w:hAnsi="Calibri"/>
                <w:color w:val="1E293B"/>
                <w:sz w:val="18"/>
              </w:rPr>
              <w:t>Unsupervised Learning</w:t>
            </w:r>
          </w:p>
        </w:tc>
        <w:tc>
          <w:tcPr>
            <w:tcW w:type="dxa" w:w="5616"/>
            <w:vAlign w:val="center"/>
            <w:tcMar>
              <w:top w:w="120" w:type="dxa"/>
              <w:bottom w:w="120" w:type="dxa"/>
              <w:left w:w="140" w:type="dxa"/>
              <w:right w:w="140" w:type="dxa"/>
            </w:tcMar>
            <w:shd w:fill="FFFFFF"/>
          </w:tcPr>
          <w:p>
            <w:r>
              <w:rPr>
                <w:rFonts w:ascii="Calibri" w:hAnsi="Calibri"/>
                <w:color w:val="1E293B"/>
                <w:sz w:val="18"/>
              </w:rPr>
              <w:t>K-Means clustering identifying 4 grid operational regimes</w:t>
            </w:r>
          </w:p>
        </w:tc>
      </w:tr>
      <w:tr>
        <w:trPr>
          <w:cantSplit/>
        </w:trPr>
        <w:tc>
          <w:tcPr>
            <w:tcW w:type="dxa" w:w="4032"/>
            <w:vAlign w:val="center"/>
            <w:tcMar>
              <w:top w:w="120" w:type="dxa"/>
              <w:bottom w:w="120" w:type="dxa"/>
              <w:left w:w="140" w:type="dxa"/>
              <w:right w:w="140" w:type="dxa"/>
            </w:tcMar>
            <w:shd w:fill="F7FAFC"/>
          </w:tcPr>
          <w:p>
            <w:r>
              <w:rPr>
                <w:rFonts w:ascii="Calibri" w:hAnsi="Calibri"/>
                <w:color w:val="1E293B"/>
                <w:sz w:val="18"/>
              </w:rPr>
              <w:t>Polynomial Curve Fitting</w:t>
            </w:r>
          </w:p>
        </w:tc>
        <w:tc>
          <w:tcPr>
            <w:tcW w:type="dxa" w:w="5616"/>
            <w:vAlign w:val="center"/>
            <w:tcMar>
              <w:top w:w="120" w:type="dxa"/>
              <w:bottom w:w="120" w:type="dxa"/>
              <w:left w:w="140" w:type="dxa"/>
              <w:right w:w="140" w:type="dxa"/>
            </w:tcMar>
            <w:shd w:fill="F7FAFC"/>
          </w:tcPr>
          <w:p>
            <w:r>
              <w:rPr>
                <w:rFonts w:ascii="Calibri" w:hAnsi="Calibri"/>
                <w:color w:val="1E293B"/>
                <w:sz w:val="18"/>
              </w:rPr>
              <w:t>Thermodynamic U-curve temperature-demand modeling</w:t>
            </w:r>
          </w:p>
        </w:tc>
      </w:tr>
      <w:tr>
        <w:trPr>
          <w:cantSplit/>
        </w:trPr>
        <w:tc>
          <w:tcPr>
            <w:tcW w:type="dxa" w:w="4032"/>
            <w:vAlign w:val="center"/>
            <w:tcMar>
              <w:top w:w="120" w:type="dxa"/>
              <w:bottom w:w="120" w:type="dxa"/>
              <w:left w:w="140" w:type="dxa"/>
              <w:right w:w="140" w:type="dxa"/>
            </w:tcMar>
            <w:shd w:fill="FFFFFF"/>
          </w:tcPr>
          <w:p>
            <w:r>
              <w:rPr>
                <w:rFonts w:ascii="Calibri" w:hAnsi="Calibri"/>
                <w:color w:val="1E293B"/>
                <w:sz w:val="18"/>
              </w:rPr>
              <w:t>Probability Theory Axioms</w:t>
            </w:r>
          </w:p>
        </w:tc>
        <w:tc>
          <w:tcPr>
            <w:tcW w:type="dxa" w:w="5616"/>
            <w:vAlign w:val="center"/>
            <w:tcMar>
              <w:top w:w="120" w:type="dxa"/>
              <w:bottom w:w="120" w:type="dxa"/>
              <w:left w:w="140" w:type="dxa"/>
              <w:right w:w="140" w:type="dxa"/>
            </w:tcMar>
            <w:shd w:fill="FFFFFF"/>
          </w:tcPr>
          <w:p>
            <w:r>
              <w:rPr>
                <w:rFonts w:ascii="Calibri" w:hAnsi="Calibri"/>
                <w:color w:val="1E293B"/>
                <w:sz w:val="18"/>
              </w:rPr>
              <w:t>Empirical Kolmogorov verification with zero discrepancy</w:t>
            </w:r>
          </w:p>
        </w:tc>
      </w:tr>
      <w:tr>
        <w:trPr>
          <w:cantSplit/>
        </w:trPr>
        <w:tc>
          <w:tcPr>
            <w:tcW w:type="dxa" w:w="4032"/>
            <w:vAlign w:val="center"/>
            <w:tcMar>
              <w:top w:w="120" w:type="dxa"/>
              <w:bottom w:w="120" w:type="dxa"/>
              <w:left w:w="140" w:type="dxa"/>
              <w:right w:w="140" w:type="dxa"/>
            </w:tcMar>
            <w:shd w:fill="F7FAFC"/>
          </w:tcPr>
          <w:p>
            <w:r>
              <w:rPr>
                <w:rFonts w:ascii="Calibri" w:hAnsi="Calibri"/>
                <w:color w:val="1E293B"/>
                <w:sz w:val="18"/>
              </w:rPr>
              <w:t>Discrete Random Variables</w:t>
            </w:r>
          </w:p>
        </w:tc>
        <w:tc>
          <w:tcPr>
            <w:tcW w:type="dxa" w:w="5616"/>
            <w:vAlign w:val="center"/>
            <w:tcMar>
              <w:top w:w="120" w:type="dxa"/>
              <w:bottom w:w="120" w:type="dxa"/>
              <w:left w:w="140" w:type="dxa"/>
              <w:right w:w="140" w:type="dxa"/>
            </w:tcMar>
            <w:shd w:fill="F7FAFC"/>
          </w:tcPr>
          <w:p>
            <w:r>
              <w:rPr>
                <w:rFonts w:ascii="Calibri" w:hAnsi="Calibri"/>
                <w:color w:val="1E293B"/>
                <w:sz w:val="18"/>
              </w:rPr>
              <w:t>3-state demand PMF, CDF, expectation, and variance</w:t>
            </w:r>
          </w:p>
        </w:tc>
      </w:tr>
      <w:tr>
        <w:trPr>
          <w:cantSplit/>
        </w:trPr>
        <w:tc>
          <w:tcPr>
            <w:tcW w:type="dxa" w:w="4032"/>
            <w:vAlign w:val="center"/>
            <w:tcMar>
              <w:top w:w="120" w:type="dxa"/>
              <w:bottom w:w="120" w:type="dxa"/>
              <w:left w:w="140" w:type="dxa"/>
              <w:right w:w="140" w:type="dxa"/>
            </w:tcMar>
            <w:shd w:fill="FFFFFF"/>
          </w:tcPr>
          <w:p>
            <w:r>
              <w:rPr>
                <w:rFonts w:ascii="Calibri" w:hAnsi="Calibri"/>
                <w:color w:val="1E293B"/>
                <w:sz w:val="18"/>
              </w:rPr>
              <w:t>Bayes' Rule</w:t>
            </w:r>
          </w:p>
        </w:tc>
        <w:tc>
          <w:tcPr>
            <w:tcW w:type="dxa" w:w="5616"/>
            <w:vAlign w:val="center"/>
            <w:tcMar>
              <w:top w:w="120" w:type="dxa"/>
              <w:bottom w:w="120" w:type="dxa"/>
              <w:left w:w="140" w:type="dxa"/>
              <w:right w:w="140" w:type="dxa"/>
            </w:tcMar>
            <w:shd w:fill="FFFFFF"/>
          </w:tcPr>
          <w:p>
            <w:r>
              <w:rPr>
                <w:rFonts w:ascii="Calibri" w:hAnsi="Calibri"/>
                <w:color w:val="1E293B"/>
                <w:sz w:val="18"/>
              </w:rPr>
              <w:t>Posterior risk update conditioned on extreme heatwaves</w:t>
            </w:r>
          </w:p>
        </w:tc>
      </w:tr>
      <w:tr>
        <w:trPr>
          <w:cantSplit/>
        </w:trPr>
        <w:tc>
          <w:tcPr>
            <w:tcW w:type="dxa" w:w="4032"/>
            <w:vAlign w:val="center"/>
            <w:tcMar>
              <w:top w:w="120" w:type="dxa"/>
              <w:bottom w:w="120" w:type="dxa"/>
              <w:left w:w="140" w:type="dxa"/>
              <w:right w:w="140" w:type="dxa"/>
            </w:tcMar>
            <w:shd w:fill="F7FAFC"/>
          </w:tcPr>
          <w:p>
            <w:r>
              <w:rPr>
                <w:rFonts w:ascii="Calibri" w:hAnsi="Calibri"/>
                <w:color w:val="1E293B"/>
                <w:sz w:val="18"/>
              </w:rPr>
              <w:t>Independence &amp; Correlation</w:t>
            </w:r>
          </w:p>
        </w:tc>
        <w:tc>
          <w:tcPr>
            <w:tcW w:type="dxa" w:w="5616"/>
            <w:vAlign w:val="center"/>
            <w:tcMar>
              <w:top w:w="120" w:type="dxa"/>
              <w:bottom w:w="120" w:type="dxa"/>
              <w:left w:w="140" w:type="dxa"/>
              <w:right w:w="140" w:type="dxa"/>
            </w:tcMar>
            <w:shd w:fill="F7FAFC"/>
          </w:tcPr>
          <w:p>
            <w:r>
              <w:rPr>
                <w:rFonts w:ascii="Calibri" w:hAnsi="Calibri"/>
                <w:color w:val="1E293B"/>
                <w:sz w:val="18"/>
              </w:rPr>
              <w:t>Pairwise association, Pearson r, and non-linear dependence</w:t>
            </w:r>
          </w:p>
        </w:tc>
      </w:tr>
      <w:tr>
        <w:trPr>
          <w:cantSplit/>
        </w:trPr>
        <w:tc>
          <w:tcPr>
            <w:tcW w:type="dxa" w:w="4032"/>
            <w:vAlign w:val="center"/>
            <w:tcMar>
              <w:top w:w="120" w:type="dxa"/>
              <w:bottom w:w="120" w:type="dxa"/>
              <w:left w:w="140" w:type="dxa"/>
              <w:right w:w="140" w:type="dxa"/>
            </w:tcMar>
            <w:shd w:fill="FFFFFF"/>
          </w:tcPr>
          <w:p>
            <w:r>
              <w:rPr>
                <w:rFonts w:ascii="Calibri" w:hAnsi="Calibri"/>
                <w:color w:val="1E293B"/>
                <w:sz w:val="18"/>
              </w:rPr>
              <w:t>Continuous Random Variables</w:t>
            </w:r>
          </w:p>
        </w:tc>
        <w:tc>
          <w:tcPr>
            <w:tcW w:type="dxa" w:w="5616"/>
            <w:vAlign w:val="center"/>
            <w:tcMar>
              <w:top w:w="120" w:type="dxa"/>
              <w:bottom w:w="120" w:type="dxa"/>
              <w:left w:w="140" w:type="dxa"/>
              <w:right w:w="140" w:type="dxa"/>
            </w:tcMar>
            <w:shd w:fill="FFFFFF"/>
          </w:tcPr>
          <w:p>
            <w:r>
              <w:rPr>
                <w:rFonts w:ascii="Calibri" w:hAnsi="Calibri"/>
                <w:color w:val="1E293B"/>
                <w:sz w:val="18"/>
              </w:rPr>
              <w:t>Continuous distributions of load, solar, wind, and temp</w:t>
            </w:r>
          </w:p>
        </w:tc>
      </w:tr>
      <w:tr>
        <w:trPr>
          <w:cantSplit/>
        </w:trPr>
        <w:tc>
          <w:tcPr>
            <w:tcW w:type="dxa" w:w="4032"/>
            <w:vAlign w:val="center"/>
            <w:tcMar>
              <w:top w:w="120" w:type="dxa"/>
              <w:bottom w:w="120" w:type="dxa"/>
              <w:left w:w="140" w:type="dxa"/>
              <w:right w:w="140" w:type="dxa"/>
            </w:tcMar>
            <w:shd w:fill="F7FAFC"/>
          </w:tcPr>
          <w:p>
            <w:r>
              <w:rPr>
                <w:rFonts w:ascii="Calibri" w:hAnsi="Calibri"/>
                <w:color w:val="1E293B"/>
                <w:sz w:val="18"/>
              </w:rPr>
              <w:t>Quantiles and IQR</w:t>
            </w:r>
          </w:p>
        </w:tc>
        <w:tc>
          <w:tcPr>
            <w:tcW w:type="dxa" w:w="5616"/>
            <w:vAlign w:val="center"/>
            <w:tcMar>
              <w:top w:w="120" w:type="dxa"/>
              <w:bottom w:w="120" w:type="dxa"/>
              <w:left w:w="140" w:type="dxa"/>
              <w:right w:w="140" w:type="dxa"/>
            </w:tcMar>
            <w:shd w:fill="F7FAFC"/>
          </w:tcPr>
          <w:p>
            <w:r>
              <w:rPr>
                <w:rFonts w:ascii="Calibri" w:hAnsi="Calibri"/>
                <w:color w:val="1E293B"/>
                <w:sz w:val="18"/>
              </w:rPr>
              <w:t>Operational percentiles (Q05, Q50, Q95) &amp; Tukey anomaly bounds</w:t>
            </w:r>
          </w:p>
        </w:tc>
      </w:tr>
      <w:tr>
        <w:trPr>
          <w:cantSplit/>
        </w:trPr>
        <w:tc>
          <w:tcPr>
            <w:tcW w:type="dxa" w:w="4032"/>
            <w:vAlign w:val="center"/>
            <w:tcMar>
              <w:top w:w="120" w:type="dxa"/>
              <w:bottom w:w="120" w:type="dxa"/>
              <w:left w:w="140" w:type="dxa"/>
              <w:right w:w="140" w:type="dxa"/>
            </w:tcMar>
            <w:shd w:fill="FFFFFF"/>
          </w:tcPr>
          <w:p>
            <w:r>
              <w:rPr>
                <w:rFonts w:ascii="Calibri" w:hAnsi="Calibri"/>
                <w:color w:val="1E293B"/>
                <w:sz w:val="18"/>
              </w:rPr>
              <w:t>Probability Density Functions</w:t>
            </w:r>
          </w:p>
        </w:tc>
        <w:tc>
          <w:tcPr>
            <w:tcW w:type="dxa" w:w="5616"/>
            <w:vAlign w:val="center"/>
            <w:tcMar>
              <w:top w:w="120" w:type="dxa"/>
              <w:bottom w:w="120" w:type="dxa"/>
              <w:left w:w="140" w:type="dxa"/>
              <w:right w:w="140" w:type="dxa"/>
            </w:tcMar>
            <w:shd w:fill="FFFFFF"/>
          </w:tcPr>
          <w:p>
            <w:r>
              <w:rPr>
                <w:rFonts w:ascii="Calibri" w:hAnsi="Calibri"/>
                <w:color w:val="1E293B"/>
                <w:sz w:val="18"/>
              </w:rPr>
              <w:t>Gaussian parametric PDF vs. non-parametric Kernel Density (KDE)</w:t>
            </w:r>
          </w:p>
        </w:tc>
      </w:tr>
      <w:tr>
        <w:trPr>
          <w:cantSplit/>
        </w:trPr>
        <w:tc>
          <w:tcPr>
            <w:tcW w:type="dxa" w:w="4032"/>
            <w:vAlign w:val="center"/>
            <w:tcMar>
              <w:top w:w="120" w:type="dxa"/>
              <w:bottom w:w="120" w:type="dxa"/>
              <w:left w:w="140" w:type="dxa"/>
              <w:right w:w="140" w:type="dxa"/>
            </w:tcMar>
            <w:shd w:fill="F7FAFC"/>
          </w:tcPr>
          <w:p>
            <w:r>
              <w:rPr>
                <w:rFonts w:ascii="Calibri" w:hAnsi="Calibri"/>
                <w:color w:val="1E293B"/>
                <w:sz w:val="18"/>
              </w:rPr>
              <w:t>Expectation and Covariance</w:t>
            </w:r>
          </w:p>
        </w:tc>
        <w:tc>
          <w:tcPr>
            <w:tcW w:type="dxa" w:w="5616"/>
            <w:vAlign w:val="center"/>
            <w:tcMar>
              <w:top w:w="120" w:type="dxa"/>
              <w:bottom w:w="120" w:type="dxa"/>
              <w:left w:w="140" w:type="dxa"/>
              <w:right w:w="140" w:type="dxa"/>
            </w:tcMar>
            <w:shd w:fill="F7FAFC"/>
          </w:tcPr>
          <w:p>
            <w:r>
              <w:rPr>
                <w:rFonts w:ascii="Calibri" w:hAnsi="Calibri"/>
                <w:color w:val="1E293B"/>
                <w:sz w:val="18"/>
              </w:rPr>
              <w:t>Fleet-wide mean vectors and feature covariance matrices</w:t>
            </w:r>
          </w:p>
        </w:tc>
      </w:tr>
      <w:tr>
        <w:trPr>
          <w:cantSplit/>
        </w:trPr>
        <w:tc>
          <w:tcPr>
            <w:tcW w:type="dxa" w:w="4032"/>
            <w:vAlign w:val="center"/>
            <w:tcMar>
              <w:top w:w="120" w:type="dxa"/>
              <w:bottom w:w="120" w:type="dxa"/>
              <w:left w:w="140" w:type="dxa"/>
              <w:right w:w="140" w:type="dxa"/>
            </w:tcMar>
            <w:shd w:fill="FFFFFF"/>
          </w:tcPr>
          <w:p>
            <w:r>
              <w:rPr>
                <w:rFonts w:ascii="Calibri" w:hAnsi="Calibri"/>
                <w:color w:val="1E293B"/>
                <w:sz w:val="18"/>
              </w:rPr>
              <w:t>Train-Test Split</w:t>
            </w:r>
          </w:p>
        </w:tc>
        <w:tc>
          <w:tcPr>
            <w:tcW w:type="dxa" w:w="5616"/>
            <w:vAlign w:val="center"/>
            <w:tcMar>
              <w:top w:w="120" w:type="dxa"/>
              <w:bottom w:w="120" w:type="dxa"/>
              <w:left w:w="140" w:type="dxa"/>
              <w:right w:w="140" w:type="dxa"/>
            </w:tcMar>
            <w:shd w:fill="FFFFFF"/>
          </w:tcPr>
          <w:p>
            <w:r>
              <w:rPr>
                <w:rFonts w:ascii="Calibri" w:hAnsi="Calibri"/>
                <w:color w:val="1E293B"/>
                <w:sz w:val="18"/>
              </w:rPr>
              <w:t>Chronological 80/20 partitioning (7,008 train / 1,752 test hours)</w:t>
            </w:r>
          </w:p>
        </w:tc>
      </w:tr>
      <w:tr>
        <w:trPr>
          <w:cantSplit/>
        </w:trPr>
        <w:tc>
          <w:tcPr>
            <w:tcW w:type="dxa" w:w="4032"/>
            <w:vAlign w:val="center"/>
            <w:tcMar>
              <w:top w:w="120" w:type="dxa"/>
              <w:bottom w:w="120" w:type="dxa"/>
              <w:left w:w="140" w:type="dxa"/>
              <w:right w:w="140" w:type="dxa"/>
            </w:tcMar>
            <w:shd w:fill="F7FAFC"/>
          </w:tcPr>
          <w:p>
            <w:r>
              <w:rPr>
                <w:rFonts w:ascii="Calibri" w:hAnsi="Calibri"/>
                <w:color w:val="1E293B"/>
                <w:sz w:val="18"/>
              </w:rPr>
              <w:t>Model Evaluation</w:t>
            </w:r>
          </w:p>
        </w:tc>
        <w:tc>
          <w:tcPr>
            <w:tcW w:type="dxa" w:w="5616"/>
            <w:vAlign w:val="center"/>
            <w:tcMar>
              <w:top w:w="120" w:type="dxa"/>
              <w:bottom w:w="120" w:type="dxa"/>
              <w:left w:w="140" w:type="dxa"/>
              <w:right w:w="140" w:type="dxa"/>
            </w:tcMar>
            <w:shd w:fill="F7FAFC"/>
          </w:tcPr>
          <w:p>
            <w:r>
              <w:rPr>
                <w:rFonts w:ascii="Calibri" w:hAnsi="Calibri"/>
                <w:color w:val="1E293B"/>
                <w:sz w:val="18"/>
              </w:rPr>
              <w:t>MAE, MSE, RMSE, and R² regression performance evaluation</w:t>
            </w:r>
          </w:p>
        </w:tc>
      </w:tr>
      <w:tr>
        <w:trPr>
          <w:cantSplit/>
        </w:trPr>
        <w:tc>
          <w:tcPr>
            <w:tcW w:type="dxa" w:w="4032"/>
            <w:vAlign w:val="center"/>
            <w:tcMar>
              <w:top w:w="120" w:type="dxa"/>
              <w:bottom w:w="120" w:type="dxa"/>
              <w:left w:w="140" w:type="dxa"/>
              <w:right w:w="140" w:type="dxa"/>
            </w:tcMar>
            <w:shd w:fill="FFFFFF"/>
          </w:tcPr>
          <w:p>
            <w:r>
              <w:rPr>
                <w:rFonts w:ascii="Calibri" w:hAnsi="Calibri"/>
                <w:color w:val="1E293B"/>
                <w:sz w:val="18"/>
              </w:rPr>
              <w:t>Uncertainty Quantification</w:t>
            </w:r>
          </w:p>
        </w:tc>
        <w:tc>
          <w:tcPr>
            <w:tcW w:type="dxa" w:w="5616"/>
            <w:vAlign w:val="center"/>
            <w:tcMar>
              <w:top w:w="120" w:type="dxa"/>
              <w:bottom w:w="120" w:type="dxa"/>
              <w:left w:w="140" w:type="dxa"/>
              <w:right w:w="140" w:type="dxa"/>
            </w:tcMar>
            <w:shd w:fill="FFFFFF"/>
          </w:tcPr>
          <w:p>
            <w:r>
              <w:rPr>
                <w:rFonts w:ascii="Calibri" w:hAnsi="Calibri"/>
                <w:color w:val="1E293B"/>
                <w:sz w:val="18"/>
              </w:rPr>
              <w:t>Calibrated 90% empirical and 95% Gaussian prediction intervals</w:t>
            </w:r>
          </w:p>
        </w:tc>
      </w:tr>
    </w:tbl>
    <w:p>
      <w:pPr>
        <w:spacing w:after="240"/>
        <w:jc w:val="center"/>
      </w:pPr>
      <w:r>
        <w:rPr>
          <w:i/>
          <w:sz w:val="17"/>
        </w:rPr>
        <w:t>Table 2.3 — Mapping of Unit 1 syllabus concepts to implementation modules</w:t>
      </w:r>
    </w:p>
    <w:p>
      <w:pPr>
        <w:keepNext/>
        <w:spacing w:before="360" w:after="160"/>
      </w:pPr>
      <w:r>
        <w:rPr>
          <w:rFonts w:ascii="Calibri" w:hAnsi="Calibri"/>
          <w:b/>
          <w:color w:val="1B365D"/>
          <w:sz w:val="32"/>
        </w:rPr>
        <w:t>3. Statistical and Probabilistic Methodology</w:t>
      </w:r>
    </w:p>
    <w:p>
      <w:pPr>
        <w:keepNext/>
        <w:spacing w:before="240" w:after="80"/>
      </w:pPr>
      <w:r>
        <w:rPr>
          <w:rFonts w:ascii="Calibri" w:hAnsi="Calibri"/>
          <w:b/>
          <w:color w:val="2C5282"/>
          <w:sz w:val="26"/>
        </w:rPr>
        <w:t>3.1 Descriptive Statistics on Demand and Environmental Variables</w:t>
      </w:r>
    </w:p>
    <w:p>
      <w:pPr>
        <w:spacing w:after="120" w:line="276" w:lineRule="auto"/>
      </w:pPr>
      <w:r>
        <w:rPr>
          <w:rFonts w:ascii="Calibri" w:hAnsi="Calibri"/>
          <w:color w:val="1E293B"/>
          <w:sz w:val="21"/>
        </w:rPr>
        <w:t>Sample statistics were computed using unbiased Bessel-corrected estimators across all 8,760 hourly observations: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160"/>
            <w:vAlign w:val="center"/>
            <w:tcMar>
              <w:top w:w="120" w:type="dxa"/>
              <w:bottom w:w="120" w:type="dxa"/>
              <w:left w:w="140" w:type="dxa"/>
              <w:right w:w="140" w:type="dxa"/>
            </w:tcMar>
            <w:shd w:fill="1B365D"/>
          </w:tcPr>
          <w:p>
            <w:pPr>
              <w:jc w:val="center"/>
            </w:pPr>
            <w:r>
              <w:rPr>
                <w:rFonts w:ascii="Calibri" w:hAnsi="Calibri"/>
                <w:b/>
                <w:color w:val="FFFFFF"/>
                <w:sz w:val="19"/>
              </w:rPr>
              <w:t>Variable</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Mean (μ)</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Std Dev (σ)</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Median</w:t>
            </w:r>
          </w:p>
        </w:tc>
        <w:tc>
          <w:tcPr>
            <w:tcW w:type="dxa" w:w="1008"/>
            <w:vAlign w:val="center"/>
            <w:tcMar>
              <w:top w:w="120" w:type="dxa"/>
              <w:bottom w:w="120" w:type="dxa"/>
              <w:left w:w="140" w:type="dxa"/>
              <w:right w:w="140" w:type="dxa"/>
            </w:tcMar>
            <w:shd w:fill="1B365D"/>
          </w:tcPr>
          <w:p>
            <w:pPr>
              <w:jc w:val="center"/>
            </w:pPr>
            <w:r>
              <w:rPr>
                <w:rFonts w:ascii="Calibri" w:hAnsi="Calibri"/>
                <w:b/>
                <w:color w:val="FFFFFF"/>
                <w:sz w:val="19"/>
              </w:rPr>
              <w:t>Min</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Max</w:t>
            </w:r>
          </w:p>
        </w:tc>
        <w:tc>
          <w:tcPr>
            <w:tcW w:type="dxa" w:w="1008"/>
            <w:vAlign w:val="center"/>
            <w:tcMar>
              <w:top w:w="120" w:type="dxa"/>
              <w:bottom w:w="120" w:type="dxa"/>
              <w:left w:w="140" w:type="dxa"/>
              <w:right w:w="140" w:type="dxa"/>
            </w:tcMar>
            <w:shd w:fill="1B365D"/>
          </w:tcPr>
          <w:p>
            <w:pPr>
              <w:jc w:val="center"/>
            </w:pPr>
            <w:r>
              <w:rPr>
                <w:rFonts w:ascii="Calibri" w:hAnsi="Calibri"/>
                <w:b/>
                <w:color w:val="FFFFFF"/>
                <w:sz w:val="19"/>
              </w:rPr>
              <w:t>IQR</w:t>
            </w:r>
          </w:p>
        </w:tc>
        <w:tc>
          <w:tcPr>
            <w:tcW w:type="dxa" w:w="1008"/>
            <w:vAlign w:val="center"/>
            <w:tcMar>
              <w:top w:w="120" w:type="dxa"/>
              <w:bottom w:w="120" w:type="dxa"/>
              <w:left w:w="140" w:type="dxa"/>
              <w:right w:w="140" w:type="dxa"/>
            </w:tcMar>
            <w:shd w:fill="1B365D"/>
          </w:tcPr>
          <w:p>
            <w:pPr>
              <w:jc w:val="center"/>
            </w:pPr>
            <w:r>
              <w:rPr>
                <w:rFonts w:ascii="Calibri" w:hAnsi="Calibri"/>
                <w:b/>
                <w:color w:val="FFFFFF"/>
                <w:sz w:val="19"/>
              </w:rPr>
              <w:t>95th Pct</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Demand (MW)</w:t>
            </w:r>
          </w:p>
        </w:tc>
        <w:tc>
          <w:tcPr>
            <w:tcW w:type="dxa" w:w="1152"/>
            <w:vAlign w:val="center"/>
            <w:tcMar>
              <w:top w:w="120" w:type="dxa"/>
              <w:bottom w:w="120" w:type="dxa"/>
              <w:left w:w="140" w:type="dxa"/>
              <w:right w:w="140" w:type="dxa"/>
            </w:tcMar>
            <w:shd w:fill="FFFFFF"/>
          </w:tcPr>
          <w:p>
            <w:r>
              <w:rPr>
                <w:rFonts w:ascii="Calibri" w:hAnsi="Calibri"/>
                <w:color w:val="1E293B"/>
                <w:sz w:val="18"/>
              </w:rPr>
              <w:t>24,611.16</w:t>
            </w:r>
          </w:p>
        </w:tc>
        <w:tc>
          <w:tcPr>
            <w:tcW w:type="dxa" w:w="1152"/>
            <w:vAlign w:val="center"/>
            <w:tcMar>
              <w:top w:w="120" w:type="dxa"/>
              <w:bottom w:w="120" w:type="dxa"/>
              <w:left w:w="140" w:type="dxa"/>
              <w:right w:w="140" w:type="dxa"/>
            </w:tcMar>
            <w:shd w:fill="FFFFFF"/>
          </w:tcPr>
          <w:p>
            <w:r>
              <w:rPr>
                <w:rFonts w:ascii="Calibri" w:hAnsi="Calibri"/>
                <w:color w:val="1E293B"/>
                <w:sz w:val="18"/>
              </w:rPr>
              <w:t>4,535.11</w:t>
            </w:r>
          </w:p>
        </w:tc>
        <w:tc>
          <w:tcPr>
            <w:tcW w:type="dxa" w:w="1152"/>
            <w:vAlign w:val="center"/>
            <w:tcMar>
              <w:top w:w="120" w:type="dxa"/>
              <w:bottom w:w="120" w:type="dxa"/>
              <w:left w:w="140" w:type="dxa"/>
              <w:right w:w="140" w:type="dxa"/>
            </w:tcMar>
            <w:shd w:fill="FFFFFF"/>
          </w:tcPr>
          <w:p>
            <w:r>
              <w:rPr>
                <w:rFonts w:ascii="Calibri" w:hAnsi="Calibri"/>
                <w:color w:val="1E293B"/>
                <w:sz w:val="18"/>
              </w:rPr>
              <w:t>25,395.92</w:t>
            </w:r>
          </w:p>
        </w:tc>
        <w:tc>
          <w:tcPr>
            <w:tcW w:type="dxa" w:w="1008"/>
            <w:vAlign w:val="center"/>
            <w:tcMar>
              <w:top w:w="120" w:type="dxa"/>
              <w:bottom w:w="120" w:type="dxa"/>
              <w:left w:w="140" w:type="dxa"/>
              <w:right w:w="140" w:type="dxa"/>
            </w:tcMar>
            <w:shd w:fill="FFFFFF"/>
          </w:tcPr>
          <w:p>
            <w:r>
              <w:rPr>
                <w:rFonts w:ascii="Calibri" w:hAnsi="Calibri"/>
                <w:color w:val="1E293B"/>
                <w:sz w:val="18"/>
              </w:rPr>
              <w:t>12,330.86</w:t>
            </w:r>
          </w:p>
        </w:tc>
        <w:tc>
          <w:tcPr>
            <w:tcW w:type="dxa" w:w="1152"/>
            <w:vAlign w:val="center"/>
            <w:tcMar>
              <w:top w:w="120" w:type="dxa"/>
              <w:bottom w:w="120" w:type="dxa"/>
              <w:left w:w="140" w:type="dxa"/>
              <w:right w:w="140" w:type="dxa"/>
            </w:tcMar>
            <w:shd w:fill="FFFFFF"/>
          </w:tcPr>
          <w:p>
            <w:r>
              <w:rPr>
                <w:rFonts w:ascii="Calibri" w:hAnsi="Calibri"/>
                <w:color w:val="1E293B"/>
                <w:sz w:val="18"/>
              </w:rPr>
              <w:t>40,031.69</w:t>
            </w:r>
          </w:p>
        </w:tc>
        <w:tc>
          <w:tcPr>
            <w:tcW w:type="dxa" w:w="1008"/>
            <w:vAlign w:val="center"/>
            <w:tcMar>
              <w:top w:w="120" w:type="dxa"/>
              <w:bottom w:w="120" w:type="dxa"/>
              <w:left w:w="140" w:type="dxa"/>
              <w:right w:w="140" w:type="dxa"/>
            </w:tcMar>
            <w:shd w:fill="FFFFFF"/>
          </w:tcPr>
          <w:p>
            <w:r>
              <w:rPr>
                <w:rFonts w:ascii="Calibri" w:hAnsi="Calibri"/>
                <w:color w:val="1E293B"/>
                <w:sz w:val="18"/>
              </w:rPr>
              <w:t>5,899.93</w:t>
            </w:r>
          </w:p>
        </w:tc>
        <w:tc>
          <w:tcPr>
            <w:tcW w:type="dxa" w:w="1008"/>
            <w:vAlign w:val="center"/>
            <w:tcMar>
              <w:top w:w="120" w:type="dxa"/>
              <w:bottom w:w="120" w:type="dxa"/>
              <w:left w:w="140" w:type="dxa"/>
              <w:right w:w="140" w:type="dxa"/>
            </w:tcMar>
            <w:shd w:fill="FFFFFF"/>
          </w:tcPr>
          <w:p>
            <w:r>
              <w:rPr>
                <w:rFonts w:ascii="Calibri" w:hAnsi="Calibri"/>
                <w:color w:val="1E293B"/>
                <w:sz w:val="18"/>
              </w:rPr>
              <w:t>31,322.15</w:t>
            </w:r>
          </w:p>
        </w:tc>
      </w:tr>
      <w:tr>
        <w:trPr>
          <w:cantSplit/>
        </w:trPr>
        <w:tc>
          <w:tcPr>
            <w:tcW w:type="dxa" w:w="2160"/>
            <w:vAlign w:val="center"/>
            <w:tcMar>
              <w:top w:w="120" w:type="dxa"/>
              <w:bottom w:w="120" w:type="dxa"/>
              <w:left w:w="140" w:type="dxa"/>
              <w:right w:w="140" w:type="dxa"/>
            </w:tcMar>
            <w:shd w:fill="F7FAFC"/>
          </w:tcPr>
          <w:p>
            <w:r>
              <w:rPr>
                <w:rFonts w:ascii="Calibri" w:hAnsi="Calibri"/>
                <w:color w:val="1E293B"/>
                <w:sz w:val="18"/>
              </w:rPr>
              <w:t>Temp (°C)</w:t>
            </w:r>
          </w:p>
        </w:tc>
        <w:tc>
          <w:tcPr>
            <w:tcW w:type="dxa" w:w="1152"/>
            <w:vAlign w:val="center"/>
            <w:tcMar>
              <w:top w:w="120" w:type="dxa"/>
              <w:bottom w:w="120" w:type="dxa"/>
              <w:left w:w="140" w:type="dxa"/>
              <w:right w:w="140" w:type="dxa"/>
            </w:tcMar>
            <w:shd w:fill="F7FAFC"/>
          </w:tcPr>
          <w:p>
            <w:r>
              <w:rPr>
                <w:rFonts w:ascii="Calibri" w:hAnsi="Calibri"/>
                <w:color w:val="1E293B"/>
                <w:sz w:val="18"/>
              </w:rPr>
              <w:t>15.98</w:t>
            </w:r>
          </w:p>
        </w:tc>
        <w:tc>
          <w:tcPr>
            <w:tcW w:type="dxa" w:w="1152"/>
            <w:vAlign w:val="center"/>
            <w:tcMar>
              <w:top w:w="120" w:type="dxa"/>
              <w:bottom w:w="120" w:type="dxa"/>
              <w:left w:w="140" w:type="dxa"/>
              <w:right w:w="140" w:type="dxa"/>
            </w:tcMar>
            <w:shd w:fill="F7FAFC"/>
          </w:tcPr>
          <w:p>
            <w:r>
              <w:rPr>
                <w:rFonts w:ascii="Calibri" w:hAnsi="Calibri"/>
                <w:color w:val="1E293B"/>
                <w:sz w:val="18"/>
              </w:rPr>
              <w:t>9.46</w:t>
            </w:r>
          </w:p>
        </w:tc>
        <w:tc>
          <w:tcPr>
            <w:tcW w:type="dxa" w:w="1152"/>
            <w:vAlign w:val="center"/>
            <w:tcMar>
              <w:top w:w="120" w:type="dxa"/>
              <w:bottom w:w="120" w:type="dxa"/>
              <w:left w:w="140" w:type="dxa"/>
              <w:right w:w="140" w:type="dxa"/>
            </w:tcMar>
            <w:shd w:fill="F7FAFC"/>
          </w:tcPr>
          <w:p>
            <w:r>
              <w:rPr>
                <w:rFonts w:ascii="Calibri" w:hAnsi="Calibri"/>
                <w:color w:val="1E293B"/>
                <w:sz w:val="18"/>
              </w:rPr>
              <w:t>15.78</w:t>
            </w:r>
          </w:p>
        </w:tc>
        <w:tc>
          <w:tcPr>
            <w:tcW w:type="dxa" w:w="1008"/>
            <w:vAlign w:val="center"/>
            <w:tcMar>
              <w:top w:w="120" w:type="dxa"/>
              <w:bottom w:w="120" w:type="dxa"/>
              <w:left w:w="140" w:type="dxa"/>
              <w:right w:w="140" w:type="dxa"/>
            </w:tcMar>
            <w:shd w:fill="F7FAFC"/>
          </w:tcPr>
          <w:p>
            <w:r>
              <w:rPr>
                <w:rFonts w:ascii="Calibri" w:hAnsi="Calibri"/>
                <w:color w:val="1E293B"/>
                <w:sz w:val="18"/>
              </w:rPr>
              <w:t>-7.56</w:t>
            </w:r>
          </w:p>
        </w:tc>
        <w:tc>
          <w:tcPr>
            <w:tcW w:type="dxa" w:w="1152"/>
            <w:vAlign w:val="center"/>
            <w:tcMar>
              <w:top w:w="120" w:type="dxa"/>
              <w:bottom w:w="120" w:type="dxa"/>
              <w:left w:w="140" w:type="dxa"/>
              <w:right w:w="140" w:type="dxa"/>
            </w:tcMar>
            <w:shd w:fill="F7FAFC"/>
          </w:tcPr>
          <w:p>
            <w:r>
              <w:rPr>
                <w:rFonts w:ascii="Calibri" w:hAnsi="Calibri"/>
                <w:color w:val="1E293B"/>
                <w:sz w:val="18"/>
              </w:rPr>
              <w:t>39.15</w:t>
            </w:r>
          </w:p>
        </w:tc>
        <w:tc>
          <w:tcPr>
            <w:tcW w:type="dxa" w:w="1008"/>
            <w:vAlign w:val="center"/>
            <w:tcMar>
              <w:top w:w="120" w:type="dxa"/>
              <w:bottom w:w="120" w:type="dxa"/>
              <w:left w:w="140" w:type="dxa"/>
              <w:right w:w="140" w:type="dxa"/>
            </w:tcMar>
            <w:shd w:fill="F7FAFC"/>
          </w:tcPr>
          <w:p>
            <w:r>
              <w:rPr>
                <w:rFonts w:ascii="Calibri" w:hAnsi="Calibri"/>
                <w:color w:val="1E293B"/>
                <w:sz w:val="18"/>
              </w:rPr>
              <w:t>15.32</w:t>
            </w:r>
          </w:p>
        </w:tc>
        <w:tc>
          <w:tcPr>
            <w:tcW w:type="dxa" w:w="1008"/>
            <w:vAlign w:val="center"/>
            <w:tcMar>
              <w:top w:w="120" w:type="dxa"/>
              <w:bottom w:w="120" w:type="dxa"/>
              <w:left w:w="140" w:type="dxa"/>
              <w:right w:w="140" w:type="dxa"/>
            </w:tcMar>
            <w:shd w:fill="F7FAFC"/>
          </w:tcPr>
          <w:p>
            <w:r>
              <w:rPr>
                <w:rFonts w:ascii="Calibri" w:hAnsi="Calibri"/>
                <w:color w:val="1E293B"/>
                <w:sz w:val="18"/>
              </w:rPr>
              <w:t>30.97</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Solar (MW)</w:t>
            </w:r>
          </w:p>
        </w:tc>
        <w:tc>
          <w:tcPr>
            <w:tcW w:type="dxa" w:w="1152"/>
            <w:vAlign w:val="center"/>
            <w:tcMar>
              <w:top w:w="120" w:type="dxa"/>
              <w:bottom w:w="120" w:type="dxa"/>
              <w:left w:w="140" w:type="dxa"/>
              <w:right w:w="140" w:type="dxa"/>
            </w:tcMar>
            <w:shd w:fill="FFFFFF"/>
          </w:tcPr>
          <w:p>
            <w:r>
              <w:rPr>
                <w:rFonts w:ascii="Calibri" w:hAnsi="Calibri"/>
                <w:color w:val="1E293B"/>
                <w:sz w:val="18"/>
              </w:rPr>
              <w:t>1,147.36</w:t>
            </w:r>
          </w:p>
        </w:tc>
        <w:tc>
          <w:tcPr>
            <w:tcW w:type="dxa" w:w="1152"/>
            <w:vAlign w:val="center"/>
            <w:tcMar>
              <w:top w:w="120" w:type="dxa"/>
              <w:bottom w:w="120" w:type="dxa"/>
              <w:left w:w="140" w:type="dxa"/>
              <w:right w:w="140" w:type="dxa"/>
            </w:tcMar>
            <w:shd w:fill="FFFFFF"/>
          </w:tcPr>
          <w:p>
            <w:r>
              <w:rPr>
                <w:rFonts w:ascii="Calibri" w:hAnsi="Calibri"/>
                <w:color w:val="1E293B"/>
                <w:sz w:val="18"/>
              </w:rPr>
              <w:t>1,525.89</w:t>
            </w:r>
          </w:p>
        </w:tc>
        <w:tc>
          <w:tcPr>
            <w:tcW w:type="dxa" w:w="1152"/>
            <w:vAlign w:val="center"/>
            <w:tcMar>
              <w:top w:w="120" w:type="dxa"/>
              <w:bottom w:w="120" w:type="dxa"/>
              <w:left w:w="140" w:type="dxa"/>
              <w:right w:w="140" w:type="dxa"/>
            </w:tcMar>
            <w:shd w:fill="FFFFFF"/>
          </w:tcPr>
          <w:p>
            <w:r>
              <w:rPr>
                <w:rFonts w:ascii="Calibri" w:hAnsi="Calibri"/>
                <w:color w:val="1E293B"/>
                <w:sz w:val="18"/>
              </w:rPr>
              <w:t>346.88</w:t>
            </w:r>
          </w:p>
        </w:tc>
        <w:tc>
          <w:tcPr>
            <w:tcW w:type="dxa" w:w="1008"/>
            <w:vAlign w:val="center"/>
            <w:tcMar>
              <w:top w:w="120" w:type="dxa"/>
              <w:bottom w:w="120" w:type="dxa"/>
              <w:left w:w="140" w:type="dxa"/>
              <w:right w:w="140" w:type="dxa"/>
            </w:tcMar>
            <w:shd w:fill="FFFFFF"/>
          </w:tcPr>
          <w:p>
            <w:r>
              <w:rPr>
                <w:rFonts w:ascii="Calibri" w:hAnsi="Calibri"/>
                <w:color w:val="1E293B"/>
                <w:sz w:val="18"/>
              </w:rPr>
              <w:t>0.00</w:t>
            </w:r>
          </w:p>
        </w:tc>
        <w:tc>
          <w:tcPr>
            <w:tcW w:type="dxa" w:w="1152"/>
            <w:vAlign w:val="center"/>
            <w:tcMar>
              <w:top w:w="120" w:type="dxa"/>
              <w:bottom w:w="120" w:type="dxa"/>
              <w:left w:w="140" w:type="dxa"/>
              <w:right w:w="140" w:type="dxa"/>
            </w:tcMar>
            <w:shd w:fill="FFFFFF"/>
          </w:tcPr>
          <w:p>
            <w:r>
              <w:rPr>
                <w:rFonts w:ascii="Calibri" w:hAnsi="Calibri"/>
                <w:color w:val="1E293B"/>
                <w:sz w:val="18"/>
              </w:rPr>
              <w:t>7,844.57</w:t>
            </w:r>
          </w:p>
        </w:tc>
        <w:tc>
          <w:tcPr>
            <w:tcW w:type="dxa" w:w="1008"/>
            <w:vAlign w:val="center"/>
            <w:tcMar>
              <w:top w:w="120" w:type="dxa"/>
              <w:bottom w:w="120" w:type="dxa"/>
              <w:left w:w="140" w:type="dxa"/>
              <w:right w:w="140" w:type="dxa"/>
            </w:tcMar>
            <w:shd w:fill="FFFFFF"/>
          </w:tcPr>
          <w:p>
            <w:r>
              <w:rPr>
                <w:rFonts w:ascii="Calibri" w:hAnsi="Calibri"/>
                <w:color w:val="1E293B"/>
                <w:sz w:val="18"/>
              </w:rPr>
              <w:t>1,884.19</w:t>
            </w:r>
          </w:p>
        </w:tc>
        <w:tc>
          <w:tcPr>
            <w:tcW w:type="dxa" w:w="1008"/>
            <w:vAlign w:val="center"/>
            <w:tcMar>
              <w:top w:w="120" w:type="dxa"/>
              <w:bottom w:w="120" w:type="dxa"/>
              <w:left w:w="140" w:type="dxa"/>
              <w:right w:w="140" w:type="dxa"/>
            </w:tcMar>
            <w:shd w:fill="FFFFFF"/>
          </w:tcPr>
          <w:p>
            <w:r>
              <w:rPr>
                <w:rFonts w:ascii="Calibri" w:hAnsi="Calibri"/>
                <w:color w:val="1E293B"/>
                <w:sz w:val="18"/>
              </w:rPr>
              <w:t>4,456.73</w:t>
            </w:r>
          </w:p>
        </w:tc>
      </w:tr>
      <w:tr>
        <w:trPr>
          <w:cantSplit/>
        </w:trPr>
        <w:tc>
          <w:tcPr>
            <w:tcW w:type="dxa" w:w="2160"/>
            <w:vAlign w:val="center"/>
            <w:tcMar>
              <w:top w:w="120" w:type="dxa"/>
              <w:bottom w:w="120" w:type="dxa"/>
              <w:left w:w="140" w:type="dxa"/>
              <w:right w:w="140" w:type="dxa"/>
            </w:tcMar>
            <w:shd w:fill="F7FAFC"/>
          </w:tcPr>
          <w:p>
            <w:r>
              <w:rPr>
                <w:rFonts w:ascii="Calibri" w:hAnsi="Calibri"/>
                <w:color w:val="1E293B"/>
                <w:sz w:val="18"/>
              </w:rPr>
              <w:t>Wind (MW)</w:t>
            </w:r>
          </w:p>
        </w:tc>
        <w:tc>
          <w:tcPr>
            <w:tcW w:type="dxa" w:w="1152"/>
            <w:vAlign w:val="center"/>
            <w:tcMar>
              <w:top w:w="120" w:type="dxa"/>
              <w:bottom w:w="120" w:type="dxa"/>
              <w:left w:w="140" w:type="dxa"/>
              <w:right w:w="140" w:type="dxa"/>
            </w:tcMar>
            <w:shd w:fill="F7FAFC"/>
          </w:tcPr>
          <w:p>
            <w:r>
              <w:rPr>
                <w:rFonts w:ascii="Calibri" w:hAnsi="Calibri"/>
                <w:color w:val="1E293B"/>
                <w:sz w:val="18"/>
              </w:rPr>
              <w:t>1,460.36</w:t>
            </w:r>
          </w:p>
        </w:tc>
        <w:tc>
          <w:tcPr>
            <w:tcW w:type="dxa" w:w="1152"/>
            <w:vAlign w:val="center"/>
            <w:tcMar>
              <w:top w:w="120" w:type="dxa"/>
              <w:bottom w:w="120" w:type="dxa"/>
              <w:left w:w="140" w:type="dxa"/>
              <w:right w:w="140" w:type="dxa"/>
            </w:tcMar>
            <w:shd w:fill="F7FAFC"/>
          </w:tcPr>
          <w:p>
            <w:r>
              <w:rPr>
                <w:rFonts w:ascii="Calibri" w:hAnsi="Calibri"/>
                <w:color w:val="1E293B"/>
                <w:sz w:val="18"/>
              </w:rPr>
              <w:t>2,470.59</w:t>
            </w:r>
          </w:p>
        </w:tc>
        <w:tc>
          <w:tcPr>
            <w:tcW w:type="dxa" w:w="1152"/>
            <w:vAlign w:val="center"/>
            <w:tcMar>
              <w:top w:w="120" w:type="dxa"/>
              <w:bottom w:w="120" w:type="dxa"/>
              <w:left w:w="140" w:type="dxa"/>
              <w:right w:w="140" w:type="dxa"/>
            </w:tcMar>
            <w:shd w:fill="F7FAFC"/>
          </w:tcPr>
          <w:p>
            <w:r>
              <w:rPr>
                <w:rFonts w:ascii="Calibri" w:hAnsi="Calibri"/>
                <w:color w:val="1E293B"/>
                <w:sz w:val="18"/>
              </w:rPr>
              <w:t>263.16</w:t>
            </w:r>
          </w:p>
        </w:tc>
        <w:tc>
          <w:tcPr>
            <w:tcW w:type="dxa" w:w="1008"/>
            <w:vAlign w:val="center"/>
            <w:tcMar>
              <w:top w:w="120" w:type="dxa"/>
              <w:bottom w:w="120" w:type="dxa"/>
              <w:left w:w="140" w:type="dxa"/>
              <w:right w:w="140" w:type="dxa"/>
            </w:tcMar>
            <w:shd w:fill="F7FAFC"/>
          </w:tcPr>
          <w:p>
            <w:r>
              <w:rPr>
                <w:rFonts w:ascii="Calibri" w:hAnsi="Calibri"/>
                <w:color w:val="1E293B"/>
                <w:sz w:val="18"/>
              </w:rPr>
              <w:t>0.00</w:t>
            </w:r>
          </w:p>
        </w:tc>
        <w:tc>
          <w:tcPr>
            <w:tcW w:type="dxa" w:w="1152"/>
            <w:vAlign w:val="center"/>
            <w:tcMar>
              <w:top w:w="120" w:type="dxa"/>
              <w:bottom w:w="120" w:type="dxa"/>
              <w:left w:w="140" w:type="dxa"/>
              <w:right w:w="140" w:type="dxa"/>
            </w:tcMar>
            <w:shd w:fill="F7FAFC"/>
          </w:tcPr>
          <w:p>
            <w:r>
              <w:rPr>
                <w:rFonts w:ascii="Calibri" w:hAnsi="Calibri"/>
                <w:color w:val="1E293B"/>
                <w:sz w:val="18"/>
              </w:rPr>
              <w:t>10,000.00</w:t>
            </w:r>
          </w:p>
        </w:tc>
        <w:tc>
          <w:tcPr>
            <w:tcW w:type="dxa" w:w="1008"/>
            <w:vAlign w:val="center"/>
            <w:tcMar>
              <w:top w:w="120" w:type="dxa"/>
              <w:bottom w:w="120" w:type="dxa"/>
              <w:left w:w="140" w:type="dxa"/>
              <w:right w:w="140" w:type="dxa"/>
            </w:tcMar>
            <w:shd w:fill="F7FAFC"/>
          </w:tcPr>
          <w:p>
            <w:r>
              <w:rPr>
                <w:rFonts w:ascii="Calibri" w:hAnsi="Calibri"/>
                <w:color w:val="1E293B"/>
                <w:sz w:val="18"/>
              </w:rPr>
              <w:t>1,676.68</w:t>
            </w:r>
          </w:p>
        </w:tc>
        <w:tc>
          <w:tcPr>
            <w:tcW w:type="dxa" w:w="1008"/>
            <w:vAlign w:val="center"/>
            <w:tcMar>
              <w:top w:w="120" w:type="dxa"/>
              <w:bottom w:w="120" w:type="dxa"/>
              <w:left w:w="140" w:type="dxa"/>
              <w:right w:w="140" w:type="dxa"/>
            </w:tcMar>
            <w:shd w:fill="F7FAFC"/>
          </w:tcPr>
          <w:p>
            <w:r>
              <w:rPr>
                <w:rFonts w:ascii="Calibri" w:hAnsi="Calibri"/>
                <w:color w:val="1E293B"/>
                <w:sz w:val="18"/>
              </w:rPr>
              <w:t>8,287.64</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Renewable (MW)</w:t>
            </w:r>
          </w:p>
        </w:tc>
        <w:tc>
          <w:tcPr>
            <w:tcW w:type="dxa" w:w="1152"/>
            <w:vAlign w:val="center"/>
            <w:tcMar>
              <w:top w:w="120" w:type="dxa"/>
              <w:bottom w:w="120" w:type="dxa"/>
              <w:left w:w="140" w:type="dxa"/>
              <w:right w:w="140" w:type="dxa"/>
            </w:tcMar>
            <w:shd w:fill="FFFFFF"/>
          </w:tcPr>
          <w:p>
            <w:r>
              <w:rPr>
                <w:rFonts w:ascii="Calibri" w:hAnsi="Calibri"/>
                <w:color w:val="1E293B"/>
                <w:sz w:val="18"/>
              </w:rPr>
              <w:t>2,607.72</w:t>
            </w:r>
          </w:p>
        </w:tc>
        <w:tc>
          <w:tcPr>
            <w:tcW w:type="dxa" w:w="1152"/>
            <w:vAlign w:val="center"/>
            <w:tcMar>
              <w:top w:w="120" w:type="dxa"/>
              <w:bottom w:w="120" w:type="dxa"/>
              <w:left w:w="140" w:type="dxa"/>
              <w:right w:w="140" w:type="dxa"/>
            </w:tcMar>
            <w:shd w:fill="FFFFFF"/>
          </w:tcPr>
          <w:p>
            <w:r>
              <w:rPr>
                <w:rFonts w:ascii="Calibri" w:hAnsi="Calibri"/>
                <w:color w:val="1E293B"/>
                <w:sz w:val="18"/>
              </w:rPr>
              <w:t>2,754.04</w:t>
            </w:r>
          </w:p>
        </w:tc>
        <w:tc>
          <w:tcPr>
            <w:tcW w:type="dxa" w:w="1152"/>
            <w:vAlign w:val="center"/>
            <w:tcMar>
              <w:top w:w="120" w:type="dxa"/>
              <w:bottom w:w="120" w:type="dxa"/>
              <w:left w:w="140" w:type="dxa"/>
              <w:right w:w="140" w:type="dxa"/>
            </w:tcMar>
            <w:shd w:fill="FFFFFF"/>
          </w:tcPr>
          <w:p>
            <w:r>
              <w:rPr>
                <w:rFonts w:ascii="Calibri" w:hAnsi="Calibri"/>
                <w:color w:val="1E293B"/>
                <w:sz w:val="18"/>
              </w:rPr>
              <w:t>1,747.84</w:t>
            </w:r>
          </w:p>
        </w:tc>
        <w:tc>
          <w:tcPr>
            <w:tcW w:type="dxa" w:w="1008"/>
            <w:vAlign w:val="center"/>
            <w:tcMar>
              <w:top w:w="120" w:type="dxa"/>
              <w:bottom w:w="120" w:type="dxa"/>
              <w:left w:w="140" w:type="dxa"/>
              <w:right w:w="140" w:type="dxa"/>
            </w:tcMar>
            <w:shd w:fill="FFFFFF"/>
          </w:tcPr>
          <w:p>
            <w:r>
              <w:rPr>
                <w:rFonts w:ascii="Calibri" w:hAnsi="Calibri"/>
                <w:color w:val="1E293B"/>
                <w:sz w:val="18"/>
              </w:rPr>
              <w:t>0.00</w:t>
            </w:r>
          </w:p>
        </w:tc>
        <w:tc>
          <w:tcPr>
            <w:tcW w:type="dxa" w:w="1152"/>
            <w:vAlign w:val="center"/>
            <w:tcMar>
              <w:top w:w="120" w:type="dxa"/>
              <w:bottom w:w="120" w:type="dxa"/>
              <w:left w:w="140" w:type="dxa"/>
              <w:right w:w="140" w:type="dxa"/>
            </w:tcMar>
            <w:shd w:fill="FFFFFF"/>
          </w:tcPr>
          <w:p>
            <w:r>
              <w:rPr>
                <w:rFonts w:ascii="Calibri" w:hAnsi="Calibri"/>
                <w:color w:val="1E293B"/>
                <w:sz w:val="18"/>
              </w:rPr>
              <w:t>16,195.75</w:t>
            </w:r>
          </w:p>
        </w:tc>
        <w:tc>
          <w:tcPr>
            <w:tcW w:type="dxa" w:w="1008"/>
            <w:vAlign w:val="center"/>
            <w:tcMar>
              <w:top w:w="120" w:type="dxa"/>
              <w:bottom w:w="120" w:type="dxa"/>
              <w:left w:w="140" w:type="dxa"/>
              <w:right w:w="140" w:type="dxa"/>
            </w:tcMar>
            <w:shd w:fill="FFFFFF"/>
          </w:tcPr>
          <w:p>
            <w:r>
              <w:rPr>
                <w:rFonts w:ascii="Calibri" w:hAnsi="Calibri"/>
                <w:color w:val="1E293B"/>
                <w:sz w:val="18"/>
              </w:rPr>
              <w:t>3,294.49</w:t>
            </w:r>
          </w:p>
        </w:tc>
        <w:tc>
          <w:tcPr>
            <w:tcW w:type="dxa" w:w="1008"/>
            <w:vAlign w:val="center"/>
            <w:tcMar>
              <w:top w:w="120" w:type="dxa"/>
              <w:bottom w:w="120" w:type="dxa"/>
              <w:left w:w="140" w:type="dxa"/>
              <w:right w:w="140" w:type="dxa"/>
            </w:tcMar>
            <w:shd w:fill="FFFFFF"/>
          </w:tcPr>
          <w:p>
            <w:r>
              <w:rPr>
                <w:rFonts w:ascii="Calibri" w:hAnsi="Calibri"/>
                <w:color w:val="1E293B"/>
                <w:sz w:val="18"/>
              </w:rPr>
              <w:t>9,284.89</w:t>
            </w:r>
          </w:p>
        </w:tc>
      </w:tr>
    </w:tbl>
    <w:p>
      <w:pPr>
        <w:spacing w:after="240"/>
        <w:jc w:val="center"/>
      </w:pPr>
      <w:r>
        <w:rPr>
          <w:i/>
          <w:sz w:val="17"/>
        </w:rPr>
        <w:t>Table 3.1 — Descriptive statistical parameters across continuous grid variables</w:t>
      </w:r>
    </w:p>
    <w:p>
      <w:pPr>
        <w:spacing w:before="160" w:after="80"/>
        <w:jc w:val="center"/>
      </w:pP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01_demand_timeseries.png"/>
                    <pic:cNvPicPr/>
                  </pic:nvPicPr>
                  <pic:blipFill>
                    <a:blip r:embed="rId11"/>
                    <a:stretch>
                      <a:fillRect/>
                    </a:stretch>
                  </pic:blipFill>
                  <pic:spPr>
                    <a:xfrm>
                      <a:off x="0" y="0"/>
                      <a:ext cx="5303520" cy="3030583"/>
                    </a:xfrm>
                    <a:prstGeom prst="rect"/>
                  </pic:spPr>
                </pic:pic>
              </a:graphicData>
            </a:graphic>
          </wp:inline>
        </w:drawing>
      </w:r>
    </w:p>
    <w:p>
      <w:pPr>
        <w:spacing w:after="240"/>
        <w:jc w:val="center"/>
      </w:pPr>
      <w:r>
        <w:rPr>
          <w:i/>
          <w:sz w:val="17"/>
        </w:rPr>
        <w:t>Figure 3.1 — Annual electricity demand profile and 2-week diurnal cycle zoom</w:t>
      </w:r>
    </w:p>
    <w:p>
      <w:pPr>
        <w:keepNext/>
        <w:spacing w:before="240" w:after="80"/>
      </w:pPr>
      <w:r>
        <w:rPr>
          <w:rFonts w:ascii="Calibri" w:hAnsi="Calibri"/>
          <w:b/>
          <w:color w:val="2C5282"/>
          <w:sz w:val="26"/>
        </w:rPr>
        <w:t>3.2 Probability Density and Kolmogorov Axioms</w:t>
      </w:r>
    </w:p>
    <w:p>
      <w:pPr>
        <w:spacing w:after="120" w:line="276" w:lineRule="auto"/>
      </w:pPr>
      <w:r>
        <w:rPr>
          <w:rFonts w:ascii="Calibri" w:hAnsi="Calibri"/>
          <w:color w:val="1E293B"/>
          <w:sz w:val="21"/>
        </w:rPr>
        <w:t>Kolmogorov's third probability axiom states that for any two events A and B, the general addition theorem holds:</w:t>
        <w:br/>
        <w:t>P(A ∪ B) = P(A) + P(B) - P(A ∩ B)</w:t>
        <w:br/>
        <w:br/>
        <w:t>Empirical verification on energy events:</w:t>
        <w:br/>
        <w:t>• Event A: High Demand (Dt &gt; Q0.75 = 27,714.0 MW) → P(A) = 2,190 / 8,760 = 0.2500</w:t>
        <w:br/>
        <w:t>• Event B: High Renewable (Rt &gt; Q0.75 = 3,760.2 MW) → P(B) = 2,190 / 8,760 = 0.2500</w:t>
        <w:br/>
        <w:t>• Joint Probability: P(A ∩ B) = 0.0626</w:t>
        <w:br/>
        <w:t>• Empirical Union: P(A ∪ B) = 0.4374</w:t>
        <w:br/>
        <w:t>• Axiomatic Formula: 0.2500 + 0.2500 - 0.0626 = 0.4374</w:t>
        <w:br/>
        <w:t>• Discrepancy: |0.4374 - 0.4374| = 0.000000 (Exact Verification)</w:t>
      </w: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04_probability_density.png"/>
                    <pic:cNvPicPr/>
                  </pic:nvPicPr>
                  <pic:blipFill>
                    <a:blip r:embed="rId12"/>
                    <a:stretch>
                      <a:fillRect/>
                    </a:stretch>
                  </pic:blipFill>
                  <pic:spPr>
                    <a:xfrm>
                      <a:off x="0" y="0"/>
                      <a:ext cx="5303520" cy="3182112"/>
                    </a:xfrm>
                    <a:prstGeom prst="rect"/>
                  </pic:spPr>
                </pic:pic>
              </a:graphicData>
            </a:graphic>
          </wp:inline>
        </w:drawing>
      </w:r>
    </w:p>
    <w:p>
      <w:pPr>
        <w:spacing w:after="240"/>
        <w:jc w:val="center"/>
      </w:pPr>
      <w:r>
        <w:rPr>
          <w:i/>
          <w:sz w:val="17"/>
        </w:rPr>
        <w:t>Figure 3.2 — Gaussian parametric PDF vs. non-parametric Kernel Density Estimation (KDE)</w:t>
      </w:r>
    </w:p>
    <w:p>
      <w:pPr>
        <w:keepNext/>
        <w:spacing w:before="240" w:after="80"/>
      </w:pPr>
      <w:r>
        <w:rPr>
          <w:rFonts w:ascii="Calibri" w:hAnsi="Calibri"/>
          <w:b/>
          <w:color w:val="2C5282"/>
          <w:sz w:val="26"/>
        </w:rPr>
        <w:t>3.3 Bayesian Inference Applied to High-Demand Risk</w:t>
      </w:r>
    </w:p>
    <w:p>
      <w:pPr>
        <w:spacing w:after="120" w:line="276" w:lineRule="auto"/>
      </w:pPr>
      <w:r>
        <w:rPr>
          <w:rFonts w:ascii="Calibri" w:hAnsi="Calibri"/>
          <w:color w:val="1E293B"/>
          <w:sz w:val="21"/>
        </w:rPr>
        <w:t>Bayes' Theorem formalizes how prior beliefs update upon observing new meteorological evidence:</w:t>
        <w:br/>
        <w:t>P(High Demand | High Temp) = [P(High Temp | High Demand) * P(High Demand)] / P(High Temp)</w:t>
      </w:r>
    </w:p>
    <w:tbl>
      <w:tblPr>
        <w:tblW w:type="auto" w:w="0"/>
        <w:jc w:val="center"/>
        <w:tblLook w:firstColumn="1" w:firstRow="1" w:lastColumn="0" w:lastRow="0" w:noHBand="0" w:noVBand="1" w:val="04A0"/>
      </w:tblPr>
      <w:tblGrid>
        <w:gridCol w:w="4680"/>
        <w:gridCol w:w="4680"/>
      </w:tblGrid>
      <w:tr>
        <w:trPr>
          <w:cantSplit/>
          <w:tblHeader/>
        </w:trPr>
        <w:tc>
          <w:tcPr>
            <w:tcW w:type="dxa" w:w="5040"/>
            <w:vAlign w:val="center"/>
            <w:tcMar>
              <w:top w:w="120" w:type="dxa"/>
              <w:bottom w:w="120" w:type="dxa"/>
              <w:left w:w="140" w:type="dxa"/>
              <w:right w:w="140" w:type="dxa"/>
            </w:tcMar>
            <w:shd w:fill="1B365D"/>
          </w:tcPr>
          <w:p>
            <w:pPr>
              <w:jc w:val="center"/>
            </w:pPr>
            <w:r>
              <w:rPr>
                <w:rFonts w:ascii="Calibri" w:hAnsi="Calibri"/>
                <w:b/>
                <w:color w:val="FFFFFF"/>
                <w:sz w:val="19"/>
              </w:rPr>
              <w:t>Bayesian Component</w:t>
            </w:r>
          </w:p>
        </w:tc>
        <w:tc>
          <w:tcPr>
            <w:tcW w:type="dxa" w:w="4608"/>
            <w:vAlign w:val="center"/>
            <w:tcMar>
              <w:top w:w="120" w:type="dxa"/>
              <w:bottom w:w="120" w:type="dxa"/>
              <w:left w:w="140" w:type="dxa"/>
              <w:right w:w="140" w:type="dxa"/>
            </w:tcMar>
            <w:shd w:fill="1B365D"/>
          </w:tcPr>
          <w:p>
            <w:pPr>
              <w:jc w:val="center"/>
            </w:pPr>
            <w:r>
              <w:rPr>
                <w:rFonts w:ascii="Calibri" w:hAnsi="Calibri"/>
                <w:b/>
                <w:color w:val="FFFFFF"/>
                <w:sz w:val="19"/>
              </w:rPr>
              <w:t>Empirical Value</w:t>
            </w:r>
          </w:p>
        </w:tc>
      </w:tr>
      <w:tr>
        <w:trPr>
          <w:cantSplit/>
        </w:trPr>
        <w:tc>
          <w:tcPr>
            <w:tcW w:type="dxa" w:w="5040"/>
            <w:vAlign w:val="center"/>
            <w:tcMar>
              <w:top w:w="120" w:type="dxa"/>
              <w:bottom w:w="120" w:type="dxa"/>
              <w:left w:w="140" w:type="dxa"/>
              <w:right w:w="140" w:type="dxa"/>
            </w:tcMar>
            <w:shd w:fill="FFFFFF"/>
          </w:tcPr>
          <w:p>
            <w:r>
              <w:rPr>
                <w:rFonts w:ascii="Calibri" w:hAnsi="Calibri"/>
                <w:color w:val="1E293B"/>
                <w:sz w:val="18"/>
              </w:rPr>
              <w:t>Prior — P(High Demand)</w:t>
            </w:r>
          </w:p>
        </w:tc>
        <w:tc>
          <w:tcPr>
            <w:tcW w:type="dxa" w:w="4608"/>
            <w:vAlign w:val="center"/>
            <w:tcMar>
              <w:top w:w="120" w:type="dxa"/>
              <w:bottom w:w="120" w:type="dxa"/>
              <w:left w:w="140" w:type="dxa"/>
              <w:right w:w="140" w:type="dxa"/>
            </w:tcMar>
            <w:shd w:fill="FFFFFF"/>
          </w:tcPr>
          <w:p>
            <w:r>
              <w:rPr>
                <w:rFonts w:ascii="Calibri" w:hAnsi="Calibri"/>
                <w:color w:val="1E293B"/>
                <w:sz w:val="18"/>
              </w:rPr>
              <w:t>0.2500 (25.00%)</w:t>
            </w:r>
          </w:p>
        </w:tc>
      </w:tr>
      <w:tr>
        <w:trPr>
          <w:cantSplit/>
        </w:trPr>
        <w:tc>
          <w:tcPr>
            <w:tcW w:type="dxa" w:w="5040"/>
            <w:vAlign w:val="center"/>
            <w:tcMar>
              <w:top w:w="120" w:type="dxa"/>
              <w:bottom w:w="120" w:type="dxa"/>
              <w:left w:w="140" w:type="dxa"/>
              <w:right w:w="140" w:type="dxa"/>
            </w:tcMar>
            <w:shd w:fill="F7FAFC"/>
          </w:tcPr>
          <w:p>
            <w:r>
              <w:rPr>
                <w:rFonts w:ascii="Calibri" w:hAnsi="Calibri"/>
                <w:color w:val="1E293B"/>
                <w:sz w:val="18"/>
              </w:rPr>
              <w:t>Likelihood — P(High Temp | High Demand)</w:t>
            </w:r>
          </w:p>
        </w:tc>
        <w:tc>
          <w:tcPr>
            <w:tcW w:type="dxa" w:w="4608"/>
            <w:vAlign w:val="center"/>
            <w:tcMar>
              <w:top w:w="120" w:type="dxa"/>
              <w:bottom w:w="120" w:type="dxa"/>
              <w:left w:w="140" w:type="dxa"/>
              <w:right w:w="140" w:type="dxa"/>
            </w:tcMar>
            <w:shd w:fill="F7FAFC"/>
          </w:tcPr>
          <w:p>
            <w:r>
              <w:rPr>
                <w:rFonts w:ascii="Calibri" w:hAnsi="Calibri"/>
                <w:color w:val="1E293B"/>
                <w:sz w:val="18"/>
              </w:rPr>
              <w:t>0.3575 (35.75%)</w:t>
            </w:r>
          </w:p>
        </w:tc>
      </w:tr>
      <w:tr>
        <w:trPr>
          <w:cantSplit/>
        </w:trPr>
        <w:tc>
          <w:tcPr>
            <w:tcW w:type="dxa" w:w="5040"/>
            <w:vAlign w:val="center"/>
            <w:tcMar>
              <w:top w:w="120" w:type="dxa"/>
              <w:bottom w:w="120" w:type="dxa"/>
              <w:left w:w="140" w:type="dxa"/>
              <w:right w:w="140" w:type="dxa"/>
            </w:tcMar>
            <w:shd w:fill="FFFFFF"/>
          </w:tcPr>
          <w:p>
            <w:r>
              <w:rPr>
                <w:rFonts w:ascii="Calibri" w:hAnsi="Calibri"/>
                <w:color w:val="1E293B"/>
                <w:sz w:val="18"/>
              </w:rPr>
              <w:t>Evidence — P(High Temp)</w:t>
            </w:r>
          </w:p>
        </w:tc>
        <w:tc>
          <w:tcPr>
            <w:tcW w:type="dxa" w:w="4608"/>
            <w:vAlign w:val="center"/>
            <w:tcMar>
              <w:top w:w="120" w:type="dxa"/>
              <w:bottom w:w="120" w:type="dxa"/>
              <w:left w:w="140" w:type="dxa"/>
              <w:right w:w="140" w:type="dxa"/>
            </w:tcMar>
            <w:shd w:fill="FFFFFF"/>
          </w:tcPr>
          <w:p>
            <w:r>
              <w:rPr>
                <w:rFonts w:ascii="Calibri" w:hAnsi="Calibri"/>
                <w:color w:val="1E293B"/>
                <w:sz w:val="18"/>
              </w:rPr>
              <w:t>0.1997 (19.97%)</w:t>
            </w:r>
          </w:p>
        </w:tc>
      </w:tr>
      <w:tr>
        <w:trPr>
          <w:cantSplit/>
        </w:trPr>
        <w:tc>
          <w:tcPr>
            <w:tcW w:type="dxa" w:w="5040"/>
            <w:vAlign w:val="center"/>
            <w:tcMar>
              <w:top w:w="120" w:type="dxa"/>
              <w:bottom w:w="120" w:type="dxa"/>
              <w:left w:w="140" w:type="dxa"/>
              <w:right w:w="140" w:type="dxa"/>
            </w:tcMar>
            <w:shd w:fill="F7FAFC"/>
          </w:tcPr>
          <w:p>
            <w:r>
              <w:rPr>
                <w:rFonts w:ascii="Calibri" w:hAnsi="Calibri"/>
                <w:color w:val="1E293B"/>
                <w:sz w:val="18"/>
              </w:rPr>
              <w:t>Posterior — P(High Demand | High Temp)</w:t>
            </w:r>
          </w:p>
        </w:tc>
        <w:tc>
          <w:tcPr>
            <w:tcW w:type="dxa" w:w="4608"/>
            <w:vAlign w:val="center"/>
            <w:tcMar>
              <w:top w:w="120" w:type="dxa"/>
              <w:bottom w:w="120" w:type="dxa"/>
              <w:left w:w="140" w:type="dxa"/>
              <w:right w:w="140" w:type="dxa"/>
            </w:tcMar>
            <w:shd w:fill="F7FAFC"/>
          </w:tcPr>
          <w:p>
            <w:r>
              <w:rPr>
                <w:rFonts w:ascii="Calibri" w:hAnsi="Calibri"/>
                <w:color w:val="1E293B"/>
                <w:sz w:val="18"/>
              </w:rPr>
              <w:t>0.4477 (44.77%)</w:t>
            </w:r>
          </w:p>
        </w:tc>
      </w:tr>
    </w:tbl>
    <w:p>
      <w:pPr>
        <w:spacing w:after="240"/>
        <w:jc w:val="center"/>
      </w:pPr>
      <w:r>
        <w:rPr>
          <w:i/>
          <w:sz w:val="17"/>
        </w:rPr>
        <w:t>Table 3.2 — Worked Bayesian posterior risk updating example</w:t>
      </w:r>
    </w:p>
    <w:p>
      <w:pPr>
        <w:spacing w:after="120" w:line="276" w:lineRule="auto"/>
      </w:pPr>
      <w:r>
        <w:rPr>
          <w:rFonts w:ascii="Calibri" w:hAnsi="Calibri"/>
          <w:color w:val="1E293B"/>
          <w:sz w:val="21"/>
        </w:rPr>
        <w:t>Concretely, observing an ambient temperature above 25.1°C (80th percentile) raises the probability of experiencing high grid demand from a 25.00% prior to a 44.77% posterior—representing a 1.79× risk update ratio. This provides grid dispatchers with clear quantitative evidence to activate fast-responding peaking turbines.</w:t>
      </w:r>
    </w:p>
    <w:p>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08_bayes_probability.png"/>
                    <pic:cNvPicPr/>
                  </pic:nvPicPr>
                  <pic:blipFill>
                    <a:blip r:embed="rId13"/>
                    <a:stretch>
                      <a:fillRect/>
                    </a:stretch>
                  </pic:blipFill>
                  <pic:spPr>
                    <a:xfrm>
                      <a:off x="0" y="0"/>
                      <a:ext cx="5303520" cy="2916936"/>
                    </a:xfrm>
                    <a:prstGeom prst="rect"/>
                  </pic:spPr>
                </pic:pic>
              </a:graphicData>
            </a:graphic>
          </wp:inline>
        </w:drawing>
      </w:r>
    </w:p>
    <w:p>
      <w:pPr>
        <w:spacing w:after="240"/>
        <w:jc w:val="center"/>
      </w:pPr>
      <w:r>
        <w:rPr>
          <w:i/>
          <w:sz w:val="17"/>
        </w:rPr>
        <w:t>Figure 3.3 — Prior vs. posterior risk updating via Bayes' Rule</w:t>
      </w:r>
    </w:p>
    <w:p>
      <w:pPr>
        <w:keepNext/>
        <w:spacing w:before="240" w:after="80"/>
      </w:pPr>
      <w:r>
        <w:rPr>
          <w:rFonts w:ascii="Calibri" w:hAnsi="Calibri"/>
          <w:b/>
          <w:color w:val="2C5282"/>
          <w:sz w:val="26"/>
        </w:rPr>
        <w:t>3.4 Covariance, Correlation, and Independence</w:t>
      </w:r>
    </w:p>
    <w:p>
      <w:pPr>
        <w:spacing w:after="120" w:line="276" w:lineRule="auto"/>
      </w:pPr>
      <w:r>
        <w:rPr>
          <w:rFonts w:ascii="Calibri" w:hAnsi="Calibri"/>
          <w:color w:val="1E293B"/>
          <w:sz w:val="21"/>
        </w:rPr>
        <w:t>Covariance Cov(X,Y) and Pearson correlation r were computed across continuous features. The results reveal the non-linear correlation paradox:</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Mar>
              <w:top w:w="120" w:type="dxa"/>
              <w:bottom w:w="120" w:type="dxa"/>
              <w:left w:w="140" w:type="dxa"/>
              <w:right w:w="140" w:type="dxa"/>
            </w:tcMar>
            <w:shd w:fill="1B365D"/>
          </w:tcPr>
          <w:p>
            <w:pPr>
              <w:jc w:val="center"/>
            </w:pPr>
            <w:r>
              <w:rPr>
                <w:rFonts w:ascii="Calibri" w:hAnsi="Calibri"/>
                <w:b/>
                <w:color w:val="FFFFFF"/>
                <w:sz w:val="19"/>
              </w:rPr>
              <w:t>Feature Pair</w:t>
            </w:r>
          </w:p>
        </w:tc>
        <w:tc>
          <w:tcPr>
            <w:tcW w:type="dxa" w:w="2160"/>
            <w:vAlign w:val="center"/>
            <w:tcMar>
              <w:top w:w="120" w:type="dxa"/>
              <w:bottom w:w="120" w:type="dxa"/>
              <w:left w:w="140" w:type="dxa"/>
              <w:right w:w="140" w:type="dxa"/>
            </w:tcMar>
            <w:shd w:fill="1B365D"/>
          </w:tcPr>
          <w:p>
            <w:pPr>
              <w:jc w:val="center"/>
            </w:pPr>
            <w:r>
              <w:rPr>
                <w:rFonts w:ascii="Calibri" w:hAnsi="Calibri"/>
                <w:b/>
                <w:color w:val="FFFFFF"/>
                <w:sz w:val="19"/>
              </w:rPr>
              <w:t>Covariance</w:t>
            </w:r>
          </w:p>
        </w:tc>
        <w:tc>
          <w:tcPr>
            <w:tcW w:type="dxa" w:w="1296"/>
            <w:vAlign w:val="center"/>
            <w:tcMar>
              <w:top w:w="120" w:type="dxa"/>
              <w:bottom w:w="120" w:type="dxa"/>
              <w:left w:w="140" w:type="dxa"/>
              <w:right w:w="140" w:type="dxa"/>
            </w:tcMar>
            <w:shd w:fill="1B365D"/>
          </w:tcPr>
          <w:p>
            <w:pPr>
              <w:jc w:val="center"/>
            </w:pPr>
            <w:r>
              <w:rPr>
                <w:rFonts w:ascii="Calibri" w:hAnsi="Calibri"/>
                <w:b/>
                <w:color w:val="FFFFFF"/>
                <w:sz w:val="19"/>
              </w:rPr>
              <w:t>Pearson r</w:t>
            </w:r>
          </w:p>
        </w:tc>
        <w:tc>
          <w:tcPr>
            <w:tcW w:type="dxa" w:w="4032"/>
            <w:vAlign w:val="center"/>
            <w:tcMar>
              <w:top w:w="120" w:type="dxa"/>
              <w:bottom w:w="120" w:type="dxa"/>
              <w:left w:w="140" w:type="dxa"/>
              <w:right w:w="140" w:type="dxa"/>
            </w:tcMar>
            <w:shd w:fill="1B365D"/>
          </w:tcPr>
          <w:p>
            <w:pPr>
              <w:jc w:val="center"/>
            </w:pPr>
            <w:r>
              <w:rPr>
                <w:rFonts w:ascii="Calibri" w:hAnsi="Calibri"/>
                <w:b/>
                <w:color w:val="FFFFFF"/>
                <w:sz w:val="19"/>
              </w:rPr>
              <w:t>Physical / Statistical Interpretation</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Solar &amp; Demand</w:t>
            </w:r>
          </w:p>
        </w:tc>
        <w:tc>
          <w:tcPr>
            <w:tcW w:type="dxa" w:w="2160"/>
            <w:vAlign w:val="center"/>
            <w:tcMar>
              <w:top w:w="120" w:type="dxa"/>
              <w:bottom w:w="120" w:type="dxa"/>
              <w:left w:w="140" w:type="dxa"/>
              <w:right w:w="140" w:type="dxa"/>
            </w:tcMar>
            <w:shd w:fill="FFFFFF"/>
          </w:tcPr>
          <w:p>
            <w:r>
              <w:rPr>
                <w:rFonts w:ascii="Calibri" w:hAnsi="Calibri"/>
                <w:color w:val="1E293B"/>
                <w:sz w:val="18"/>
              </w:rPr>
              <w:t>+2,355,624.74 MW²</w:t>
            </w:r>
          </w:p>
        </w:tc>
        <w:tc>
          <w:tcPr>
            <w:tcW w:type="dxa" w:w="1296"/>
            <w:vAlign w:val="center"/>
            <w:tcMar>
              <w:top w:w="120" w:type="dxa"/>
              <w:bottom w:w="120" w:type="dxa"/>
              <w:left w:w="140" w:type="dxa"/>
              <w:right w:w="140" w:type="dxa"/>
            </w:tcMar>
            <w:shd w:fill="FFFFFF"/>
          </w:tcPr>
          <w:p>
            <w:r>
              <w:rPr>
                <w:rFonts w:ascii="Calibri" w:hAnsi="Calibri"/>
                <w:color w:val="1E293B"/>
                <w:sz w:val="18"/>
              </w:rPr>
              <w:t>+0.3404</w:t>
            </w:r>
          </w:p>
        </w:tc>
        <w:tc>
          <w:tcPr>
            <w:tcW w:type="dxa" w:w="4032"/>
            <w:vAlign w:val="center"/>
            <w:tcMar>
              <w:top w:w="120" w:type="dxa"/>
              <w:bottom w:w="120" w:type="dxa"/>
              <w:left w:w="140" w:type="dxa"/>
              <w:right w:w="140" w:type="dxa"/>
            </w:tcMar>
            <w:shd w:fill="FFFFFF"/>
          </w:tcPr>
          <w:p>
            <w:r>
              <w:rPr>
                <w:rFonts w:ascii="Calibri" w:hAnsi="Calibri"/>
                <w:color w:val="1E293B"/>
                <w:sz w:val="18"/>
              </w:rPr>
              <w:t>Positive co-movement: solar peaks midday alongside commercial demand</w:t>
            </w:r>
          </w:p>
        </w:tc>
      </w:tr>
      <w:tr>
        <w:trPr>
          <w:cantSplit/>
        </w:trPr>
        <w:tc>
          <w:tcPr>
            <w:tcW w:type="dxa" w:w="2160"/>
            <w:vAlign w:val="center"/>
            <w:tcMar>
              <w:top w:w="120" w:type="dxa"/>
              <w:bottom w:w="120" w:type="dxa"/>
              <w:left w:w="140" w:type="dxa"/>
              <w:right w:w="140" w:type="dxa"/>
            </w:tcMar>
            <w:shd w:fill="F7FAFC"/>
          </w:tcPr>
          <w:p>
            <w:r>
              <w:rPr>
                <w:rFonts w:ascii="Calibri" w:hAnsi="Calibri"/>
                <w:color w:val="1E293B"/>
                <w:sz w:val="18"/>
              </w:rPr>
              <w:t>Wind &amp; Demand</w:t>
            </w:r>
          </w:p>
        </w:tc>
        <w:tc>
          <w:tcPr>
            <w:tcW w:type="dxa" w:w="2160"/>
            <w:vAlign w:val="center"/>
            <w:tcMar>
              <w:top w:w="120" w:type="dxa"/>
              <w:bottom w:w="120" w:type="dxa"/>
              <w:left w:w="140" w:type="dxa"/>
              <w:right w:w="140" w:type="dxa"/>
            </w:tcMar>
            <w:shd w:fill="F7FAFC"/>
          </w:tcPr>
          <w:p>
            <w:r>
              <w:rPr>
                <w:rFonts w:ascii="Calibri" w:hAnsi="Calibri"/>
                <w:color w:val="1E293B"/>
                <w:sz w:val="18"/>
              </w:rPr>
              <w:t>-1,388,500.92 MW²</w:t>
            </w:r>
          </w:p>
        </w:tc>
        <w:tc>
          <w:tcPr>
            <w:tcW w:type="dxa" w:w="1296"/>
            <w:vAlign w:val="center"/>
            <w:tcMar>
              <w:top w:w="120" w:type="dxa"/>
              <w:bottom w:w="120" w:type="dxa"/>
              <w:left w:w="140" w:type="dxa"/>
              <w:right w:w="140" w:type="dxa"/>
            </w:tcMar>
            <w:shd w:fill="F7FAFC"/>
          </w:tcPr>
          <w:p>
            <w:r>
              <w:rPr>
                <w:rFonts w:ascii="Calibri" w:hAnsi="Calibri"/>
                <w:color w:val="1E293B"/>
                <w:sz w:val="18"/>
              </w:rPr>
              <w:t>-0.1239</w:t>
            </w:r>
          </w:p>
        </w:tc>
        <w:tc>
          <w:tcPr>
            <w:tcW w:type="dxa" w:w="4032"/>
            <w:vAlign w:val="center"/>
            <w:tcMar>
              <w:top w:w="120" w:type="dxa"/>
              <w:bottom w:w="120" w:type="dxa"/>
              <w:left w:w="140" w:type="dxa"/>
              <w:right w:w="140" w:type="dxa"/>
            </w:tcMar>
            <w:shd w:fill="F7FAFC"/>
          </w:tcPr>
          <w:p>
            <w:r>
              <w:rPr>
                <w:rFonts w:ascii="Calibri" w:hAnsi="Calibri"/>
                <w:color w:val="1E293B"/>
                <w:sz w:val="18"/>
              </w:rPr>
              <w:t>Weak negative correlation: night winds coincide with off-peak load</w:t>
            </w:r>
          </w:p>
        </w:tc>
      </w:tr>
      <w:tr>
        <w:trPr>
          <w:cantSplit/>
        </w:trPr>
        <w:tc>
          <w:tcPr>
            <w:tcW w:type="dxa" w:w="2160"/>
            <w:vAlign w:val="center"/>
            <w:tcMar>
              <w:top w:w="120" w:type="dxa"/>
              <w:bottom w:w="120" w:type="dxa"/>
              <w:left w:w="140" w:type="dxa"/>
              <w:right w:w="140" w:type="dxa"/>
            </w:tcMar>
            <w:shd w:fill="FFFFFF"/>
          </w:tcPr>
          <w:p>
            <w:r>
              <w:rPr>
                <w:rFonts w:ascii="Calibri" w:hAnsi="Calibri"/>
                <w:color w:val="1E293B"/>
                <w:sz w:val="18"/>
              </w:rPr>
              <w:t>Temperature &amp; Demand</w:t>
            </w:r>
          </w:p>
        </w:tc>
        <w:tc>
          <w:tcPr>
            <w:tcW w:type="dxa" w:w="2160"/>
            <w:vAlign w:val="center"/>
            <w:tcMar>
              <w:top w:w="120" w:type="dxa"/>
              <w:bottom w:w="120" w:type="dxa"/>
              <w:left w:w="140" w:type="dxa"/>
              <w:right w:w="140" w:type="dxa"/>
            </w:tcMar>
            <w:shd w:fill="FFFFFF"/>
          </w:tcPr>
          <w:p>
            <w:r>
              <w:rPr>
                <w:rFonts w:ascii="Calibri" w:hAnsi="Calibri"/>
                <w:color w:val="1E293B"/>
                <w:sz w:val="18"/>
              </w:rPr>
              <w:t>-2,076.74 MW·°C</w:t>
            </w:r>
          </w:p>
        </w:tc>
        <w:tc>
          <w:tcPr>
            <w:tcW w:type="dxa" w:w="1296"/>
            <w:vAlign w:val="center"/>
            <w:tcMar>
              <w:top w:w="120" w:type="dxa"/>
              <w:bottom w:w="120" w:type="dxa"/>
              <w:left w:w="140" w:type="dxa"/>
              <w:right w:w="140" w:type="dxa"/>
            </w:tcMar>
            <w:shd w:fill="FFFFFF"/>
          </w:tcPr>
          <w:p>
            <w:r>
              <w:rPr>
                <w:rFonts w:ascii="Calibri" w:hAnsi="Calibri"/>
                <w:color w:val="1E293B"/>
                <w:sz w:val="18"/>
              </w:rPr>
              <w:t>-0.0484</w:t>
            </w:r>
          </w:p>
        </w:tc>
        <w:tc>
          <w:tcPr>
            <w:tcW w:type="dxa" w:w="4032"/>
            <w:vAlign w:val="center"/>
            <w:tcMar>
              <w:top w:w="120" w:type="dxa"/>
              <w:bottom w:w="120" w:type="dxa"/>
              <w:left w:w="140" w:type="dxa"/>
              <w:right w:w="140" w:type="dxa"/>
            </w:tcMar>
            <w:shd w:fill="FFFFFF"/>
          </w:tcPr>
          <w:p>
            <w:r>
              <w:rPr>
                <w:rFonts w:ascii="Calibri" w:hAnsi="Calibri"/>
                <w:color w:val="1E293B"/>
                <w:sz w:val="18"/>
              </w:rPr>
              <w:t>Linear cancellation of parabolic heating/cooling U-curve</w:t>
            </w:r>
          </w:p>
        </w:tc>
      </w:tr>
    </w:tbl>
    <w:p>
      <w:pPr>
        <w:spacing w:after="240"/>
        <w:jc w:val="center"/>
      </w:pPr>
      <w:r>
        <w:rPr>
          <w:i/>
          <w:sz w:val="17"/>
        </w:rPr>
        <w:t>Table 3.3 — Pairwise feature covariance and Pearson correlation</w:t>
      </w:r>
    </w:p>
    <w:p>
      <w:pPr>
        <w:spacing w:after="120" w:line="276" w:lineRule="auto"/>
      </w:pPr>
      <w:r>
        <w:rPr>
          <w:rFonts w:ascii="Calibri" w:hAnsi="Calibri"/>
          <w:color w:val="1E293B"/>
          <w:sz w:val="21"/>
        </w:rPr>
        <w:t>The Independence vs. Correlation Distinction: In formal independence testing, P(Demand ∩ Temp) = 0.0938, while P(Demand) * P(Temp) = 0.0625. The discrepancy of 0.0313 strongly rejects independence. Yet, Pearson correlation is virtually zero (r = -0.0484). Why? Because Pearson correlation only measures linear relationships. The winter heating slope is negative, while the summer cooling slope is positive; when integrated across the year, they cancel out linearly even though the underlying dependency is profound.</w:t>
      </w:r>
    </w:p>
    <w:p>
      <w:pPr>
        <w:keepNext/>
        <w:spacing w:before="360" w:after="160"/>
      </w:pPr>
      <w:r>
        <w:rPr>
          <w:rFonts w:ascii="Calibri" w:hAnsi="Calibri"/>
          <w:b/>
          <w:color w:val="1B365D"/>
          <w:sz w:val="32"/>
        </w:rPr>
        <w:t>4. Machine Learning Models</w:t>
      </w:r>
    </w:p>
    <w:p>
      <w:pPr>
        <w:keepNext/>
        <w:spacing w:before="240" w:after="80"/>
      </w:pPr>
      <w:r>
        <w:rPr>
          <w:rFonts w:ascii="Calibri" w:hAnsi="Calibri"/>
          <w:b/>
          <w:color w:val="2C5282"/>
          <w:sz w:val="26"/>
        </w:rPr>
        <w:t>4.1 Supervised Learning — Multivariate Polynomial Regression</w:t>
      </w:r>
    </w:p>
    <w:p>
      <w:pPr>
        <w:spacing w:after="120" w:line="276" w:lineRule="auto"/>
      </w:pPr>
      <w:r>
        <w:rPr>
          <w:rFonts w:ascii="Calibri" w:hAnsi="Calibri"/>
          <w:color w:val="1E293B"/>
          <w:sz w:val="21"/>
        </w:rPr>
        <w:t>To avoid data leakage, an 80/20 chronological split was established:</w:t>
        <w:br/>
        <w:t>• Training Set: First 7,008 hours (January 1 to October 20, 2023)</w:t>
        <w:br/>
        <w:t>• Test Set: Final 1,752 hours (October 21 to December 31, 2023)</w:t>
        <w:br/>
        <w:br/>
        <w:t>Baseline linear regression on raw meteorological features underfits severely, yielding a negative test R² (-0.5717). To solve this within Unit 1 boundaries, domain feature engineering was incorporated:</w:t>
        <w:br/>
        <w:t>1. Quadratic Temperature Term (Tt²): Captures the thermodynamic U-curve.</w:t>
        <w:br/>
        <w:t>2. Harmonic Diurnal Encodings: sin(2πH/24) and cos(2πH/24) ensure 23:00 and 00:00 remain close in Euclidean space.</w:t>
        <w:br/>
        <w:t>3. Calendar Indicators: Weekend binary flags and monthly indicators.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3024"/>
            <w:vAlign w:val="center"/>
            <w:tcMar>
              <w:top w:w="120" w:type="dxa"/>
              <w:bottom w:w="120" w:type="dxa"/>
              <w:left w:w="140" w:type="dxa"/>
              <w:right w:w="140" w:type="dxa"/>
            </w:tcMar>
            <w:shd w:fill="1B365D"/>
          </w:tcPr>
          <w:p>
            <w:pPr>
              <w:jc w:val="center"/>
            </w:pPr>
            <w:r>
              <w:rPr>
                <w:rFonts w:ascii="Calibri" w:hAnsi="Calibri"/>
                <w:b/>
                <w:color w:val="FFFFFF"/>
                <w:sz w:val="19"/>
              </w:rPr>
              <w:t>Model Architecture</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Train MAE</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Train RMSE</w:t>
            </w:r>
          </w:p>
        </w:tc>
        <w:tc>
          <w:tcPr>
            <w:tcW w:type="dxa" w:w="1008"/>
            <w:vAlign w:val="center"/>
            <w:tcMar>
              <w:top w:w="120" w:type="dxa"/>
              <w:bottom w:w="120" w:type="dxa"/>
              <w:left w:w="140" w:type="dxa"/>
              <w:right w:w="140" w:type="dxa"/>
            </w:tcMar>
            <w:shd w:fill="1B365D"/>
          </w:tcPr>
          <w:p>
            <w:pPr>
              <w:jc w:val="center"/>
            </w:pPr>
            <w:r>
              <w:rPr>
                <w:rFonts w:ascii="Calibri" w:hAnsi="Calibri"/>
                <w:b/>
                <w:color w:val="FFFFFF"/>
                <w:sz w:val="19"/>
              </w:rPr>
              <w:t>Train R²</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Test MAE</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Test RMSE</w:t>
            </w:r>
          </w:p>
        </w:tc>
        <w:tc>
          <w:tcPr>
            <w:tcW w:type="dxa" w:w="1008"/>
            <w:vAlign w:val="center"/>
            <w:tcMar>
              <w:top w:w="120" w:type="dxa"/>
              <w:bottom w:w="120" w:type="dxa"/>
              <w:left w:w="140" w:type="dxa"/>
              <w:right w:w="140" w:type="dxa"/>
            </w:tcMar>
            <w:shd w:fill="1B365D"/>
          </w:tcPr>
          <w:p>
            <w:pPr>
              <w:jc w:val="center"/>
            </w:pPr>
            <w:r>
              <w:rPr>
                <w:rFonts w:ascii="Calibri" w:hAnsi="Calibri"/>
                <w:b/>
                <w:color w:val="FFFFFF"/>
                <w:sz w:val="19"/>
              </w:rPr>
              <w:t>Test R²</w:t>
            </w:r>
          </w:p>
        </w:tc>
      </w:tr>
      <w:tr>
        <w:trPr>
          <w:cantSplit/>
        </w:trPr>
        <w:tc>
          <w:tcPr>
            <w:tcW w:type="dxa" w:w="3024"/>
            <w:vAlign w:val="center"/>
            <w:tcMar>
              <w:top w:w="120" w:type="dxa"/>
              <w:bottom w:w="120" w:type="dxa"/>
              <w:left w:w="140" w:type="dxa"/>
              <w:right w:w="140" w:type="dxa"/>
            </w:tcMar>
            <w:shd w:fill="FFFFFF"/>
          </w:tcPr>
          <w:p>
            <w:r>
              <w:rPr>
                <w:rFonts w:ascii="Calibri" w:hAnsi="Calibri"/>
                <w:color w:val="1E293B"/>
                <w:sz w:val="18"/>
              </w:rPr>
              <w:t>Baseline Linear Regression</w:t>
            </w:r>
          </w:p>
        </w:tc>
        <w:tc>
          <w:tcPr>
            <w:tcW w:type="dxa" w:w="1152"/>
            <w:vAlign w:val="center"/>
            <w:tcMar>
              <w:top w:w="120" w:type="dxa"/>
              <w:bottom w:w="120" w:type="dxa"/>
              <w:left w:w="140" w:type="dxa"/>
              <w:right w:w="140" w:type="dxa"/>
            </w:tcMar>
            <w:shd w:fill="FFFFFF"/>
          </w:tcPr>
          <w:p>
            <w:r>
              <w:rPr>
                <w:rFonts w:ascii="Calibri" w:hAnsi="Calibri"/>
                <w:color w:val="1E293B"/>
                <w:sz w:val="18"/>
              </w:rPr>
              <w:t>2,430.43 MW</w:t>
            </w:r>
          </w:p>
        </w:tc>
        <w:tc>
          <w:tcPr>
            <w:tcW w:type="dxa" w:w="1152"/>
            <w:vAlign w:val="center"/>
            <w:tcMar>
              <w:top w:w="120" w:type="dxa"/>
              <w:bottom w:w="120" w:type="dxa"/>
              <w:left w:w="140" w:type="dxa"/>
              <w:right w:w="140" w:type="dxa"/>
            </w:tcMar>
            <w:shd w:fill="FFFFFF"/>
          </w:tcPr>
          <w:p>
            <w:r>
              <w:rPr>
                <w:rFonts w:ascii="Calibri" w:hAnsi="Calibri"/>
                <w:color w:val="1E293B"/>
                <w:sz w:val="18"/>
              </w:rPr>
              <w:t>3,110.39 MW</w:t>
            </w:r>
          </w:p>
        </w:tc>
        <w:tc>
          <w:tcPr>
            <w:tcW w:type="dxa" w:w="1008"/>
            <w:vAlign w:val="center"/>
            <w:tcMar>
              <w:top w:w="120" w:type="dxa"/>
              <w:bottom w:w="120" w:type="dxa"/>
              <w:left w:w="140" w:type="dxa"/>
              <w:right w:w="140" w:type="dxa"/>
            </w:tcMar>
            <w:shd w:fill="FFFFFF"/>
          </w:tcPr>
          <w:p>
            <w:r>
              <w:rPr>
                <w:rFonts w:ascii="Calibri" w:hAnsi="Calibri"/>
                <w:color w:val="1E293B"/>
                <w:sz w:val="18"/>
              </w:rPr>
              <w:t>0.5691</w:t>
            </w:r>
          </w:p>
        </w:tc>
        <w:tc>
          <w:tcPr>
            <w:tcW w:type="dxa" w:w="1152"/>
            <w:vAlign w:val="center"/>
            <w:tcMar>
              <w:top w:w="120" w:type="dxa"/>
              <w:bottom w:w="120" w:type="dxa"/>
              <w:left w:w="140" w:type="dxa"/>
              <w:right w:w="140" w:type="dxa"/>
            </w:tcMar>
            <w:shd w:fill="FFFFFF"/>
          </w:tcPr>
          <w:p>
            <w:r>
              <w:rPr>
                <w:rFonts w:ascii="Calibri" w:hAnsi="Calibri"/>
                <w:color w:val="1E293B"/>
                <w:sz w:val="18"/>
              </w:rPr>
              <w:t>3,797.97 MW</w:t>
            </w:r>
          </w:p>
        </w:tc>
        <w:tc>
          <w:tcPr>
            <w:tcW w:type="dxa" w:w="1152"/>
            <w:vAlign w:val="center"/>
            <w:tcMar>
              <w:top w:w="120" w:type="dxa"/>
              <w:bottom w:w="120" w:type="dxa"/>
              <w:left w:w="140" w:type="dxa"/>
              <w:right w:w="140" w:type="dxa"/>
            </w:tcMar>
            <w:shd w:fill="FFFFFF"/>
          </w:tcPr>
          <w:p>
            <w:r>
              <w:rPr>
                <w:rFonts w:ascii="Calibri" w:hAnsi="Calibri"/>
                <w:color w:val="1E293B"/>
                <w:sz w:val="18"/>
              </w:rPr>
              <w:t>4,506.56 MW</w:t>
            </w:r>
          </w:p>
        </w:tc>
        <w:tc>
          <w:tcPr>
            <w:tcW w:type="dxa" w:w="1008"/>
            <w:vAlign w:val="center"/>
            <w:tcMar>
              <w:top w:w="120" w:type="dxa"/>
              <w:bottom w:w="120" w:type="dxa"/>
              <w:left w:w="140" w:type="dxa"/>
              <w:right w:w="140" w:type="dxa"/>
            </w:tcMar>
            <w:shd w:fill="FFFFFF"/>
          </w:tcPr>
          <w:p>
            <w:r>
              <w:rPr>
                <w:rFonts w:ascii="Calibri" w:hAnsi="Calibri"/>
                <w:color w:val="1E293B"/>
                <w:sz w:val="18"/>
              </w:rPr>
              <w:t>-0.5717</w:t>
            </w:r>
          </w:p>
        </w:tc>
      </w:tr>
      <w:tr>
        <w:trPr>
          <w:cantSplit/>
        </w:trPr>
        <w:tc>
          <w:tcPr>
            <w:tcW w:type="dxa" w:w="3024"/>
            <w:vAlign w:val="center"/>
            <w:tcMar>
              <w:top w:w="120" w:type="dxa"/>
              <w:bottom w:w="120" w:type="dxa"/>
              <w:left w:w="140" w:type="dxa"/>
              <w:right w:w="140" w:type="dxa"/>
            </w:tcMar>
            <w:shd w:fill="F7FAFC"/>
          </w:tcPr>
          <w:p>
            <w:r>
              <w:rPr>
                <w:rFonts w:ascii="Calibri" w:hAnsi="Calibri"/>
                <w:color w:val="1E293B"/>
                <w:sz w:val="18"/>
              </w:rPr>
              <w:t>Feature-Engineered Polynomial</w:t>
            </w:r>
          </w:p>
        </w:tc>
        <w:tc>
          <w:tcPr>
            <w:tcW w:type="dxa" w:w="1152"/>
            <w:vAlign w:val="center"/>
            <w:tcMar>
              <w:top w:w="120" w:type="dxa"/>
              <w:bottom w:w="120" w:type="dxa"/>
              <w:left w:w="140" w:type="dxa"/>
              <w:right w:w="140" w:type="dxa"/>
            </w:tcMar>
            <w:shd w:fill="F7FAFC"/>
          </w:tcPr>
          <w:p>
            <w:r>
              <w:rPr>
                <w:rFonts w:ascii="Calibri" w:hAnsi="Calibri"/>
                <w:color w:val="1E293B"/>
                <w:sz w:val="18"/>
              </w:rPr>
              <w:t>1,246.30 MW</w:t>
            </w:r>
          </w:p>
        </w:tc>
        <w:tc>
          <w:tcPr>
            <w:tcW w:type="dxa" w:w="1152"/>
            <w:vAlign w:val="center"/>
            <w:tcMar>
              <w:top w:w="120" w:type="dxa"/>
              <w:bottom w:w="120" w:type="dxa"/>
              <w:left w:w="140" w:type="dxa"/>
              <w:right w:w="140" w:type="dxa"/>
            </w:tcMar>
            <w:shd w:fill="F7FAFC"/>
          </w:tcPr>
          <w:p>
            <w:r>
              <w:rPr>
                <w:rFonts w:ascii="Calibri" w:hAnsi="Calibri"/>
                <w:color w:val="1E293B"/>
                <w:sz w:val="18"/>
              </w:rPr>
              <w:t>1,466.59 MW</w:t>
            </w:r>
          </w:p>
        </w:tc>
        <w:tc>
          <w:tcPr>
            <w:tcW w:type="dxa" w:w="1008"/>
            <w:vAlign w:val="center"/>
            <w:tcMar>
              <w:top w:w="120" w:type="dxa"/>
              <w:bottom w:w="120" w:type="dxa"/>
              <w:left w:w="140" w:type="dxa"/>
              <w:right w:w="140" w:type="dxa"/>
            </w:tcMar>
            <w:shd w:fill="F7FAFC"/>
          </w:tcPr>
          <w:p>
            <w:r>
              <w:rPr>
                <w:rFonts w:ascii="Calibri" w:hAnsi="Calibri"/>
                <w:color w:val="1E293B"/>
                <w:sz w:val="18"/>
              </w:rPr>
              <w:t>0.9042</w:t>
            </w:r>
          </w:p>
        </w:tc>
        <w:tc>
          <w:tcPr>
            <w:tcW w:type="dxa" w:w="1152"/>
            <w:vAlign w:val="center"/>
            <w:tcMar>
              <w:top w:w="120" w:type="dxa"/>
              <w:bottom w:w="120" w:type="dxa"/>
              <w:left w:w="140" w:type="dxa"/>
              <w:right w:w="140" w:type="dxa"/>
            </w:tcMar>
            <w:shd w:fill="F7FAFC"/>
          </w:tcPr>
          <w:p>
            <w:r>
              <w:rPr>
                <w:rFonts w:ascii="Calibri" w:hAnsi="Calibri"/>
                <w:color w:val="1E293B"/>
                <w:sz w:val="18"/>
              </w:rPr>
              <w:t>1,332.72 MW</w:t>
            </w:r>
          </w:p>
        </w:tc>
        <w:tc>
          <w:tcPr>
            <w:tcW w:type="dxa" w:w="1152"/>
            <w:vAlign w:val="center"/>
            <w:tcMar>
              <w:top w:w="120" w:type="dxa"/>
              <w:bottom w:w="120" w:type="dxa"/>
              <w:left w:w="140" w:type="dxa"/>
              <w:right w:w="140" w:type="dxa"/>
            </w:tcMar>
            <w:shd w:fill="F7FAFC"/>
          </w:tcPr>
          <w:p>
            <w:r>
              <w:rPr>
                <w:rFonts w:ascii="Calibri" w:hAnsi="Calibri"/>
                <w:color w:val="1E293B"/>
                <w:sz w:val="18"/>
              </w:rPr>
              <w:t>1,570.08 MW</w:t>
            </w:r>
          </w:p>
        </w:tc>
        <w:tc>
          <w:tcPr>
            <w:tcW w:type="dxa" w:w="1008"/>
            <w:vAlign w:val="center"/>
            <w:tcMar>
              <w:top w:w="120" w:type="dxa"/>
              <w:bottom w:w="120" w:type="dxa"/>
              <w:left w:w="140" w:type="dxa"/>
              <w:right w:w="140" w:type="dxa"/>
            </w:tcMar>
            <w:shd w:fill="F7FAFC"/>
          </w:tcPr>
          <w:p>
            <w:r>
              <w:rPr>
                <w:rFonts w:ascii="Calibri" w:hAnsi="Calibri"/>
                <w:color w:val="1E293B"/>
                <w:sz w:val="18"/>
              </w:rPr>
              <w:t>0.8092</w:t>
            </w:r>
          </w:p>
        </w:tc>
      </w:tr>
    </w:tbl>
    <w:p>
      <w:pPr>
        <w:spacing w:after="240"/>
        <w:jc w:val="center"/>
      </w:pPr>
      <w:r>
        <w:rPr>
          <w:i/>
          <w:sz w:val="17"/>
        </w:rPr>
        <w:t>Table 4.1 — Regression performance comparison between baseline and feature-engineered models</w:t>
      </w:r>
    </w:p>
    <w:p>
      <w:r>
        <w:drawing>
          <wp:inline xmlns:a="http://schemas.openxmlformats.org/drawingml/2006/main" xmlns:pic="http://schemas.openxmlformats.org/drawingml/2006/picture">
            <wp:extent cx="5303520" cy="2083526"/>
            <wp:docPr id="4" name="Picture 4"/>
            <wp:cNvGraphicFramePr>
              <a:graphicFrameLocks noChangeAspect="1"/>
            </wp:cNvGraphicFramePr>
            <a:graphic>
              <a:graphicData uri="http://schemas.openxmlformats.org/drawingml/2006/picture">
                <pic:pic>
                  <pic:nvPicPr>
                    <pic:cNvPr id="0" name="10_actual_vs_predicted_demand.png"/>
                    <pic:cNvPicPr/>
                  </pic:nvPicPr>
                  <pic:blipFill>
                    <a:blip r:embed="rId14"/>
                    <a:stretch>
                      <a:fillRect/>
                    </a:stretch>
                  </pic:blipFill>
                  <pic:spPr>
                    <a:xfrm>
                      <a:off x="0" y="0"/>
                      <a:ext cx="5303520" cy="2083526"/>
                    </a:xfrm>
                    <a:prstGeom prst="rect"/>
                  </pic:spPr>
                </pic:pic>
              </a:graphicData>
            </a:graphic>
          </wp:inline>
        </w:drawing>
      </w:r>
    </w:p>
    <w:p>
      <w:pPr>
        <w:spacing w:after="240"/>
        <w:jc w:val="center"/>
      </w:pPr>
      <w:r>
        <w:rPr>
          <w:i/>
          <w:sz w:val="17"/>
        </w:rPr>
        <w:t>Figure 4.1 — Actual vs. predicted electricity demand parity plot and 168-hour tracking profile</w:t>
      </w:r>
    </w:p>
    <w:p>
      <w:pPr>
        <w:keepNext/>
        <w:spacing w:before="240" w:after="80"/>
      </w:pPr>
      <w:r>
        <w:rPr>
          <w:rFonts w:ascii="Calibri" w:hAnsi="Calibri"/>
          <w:b/>
          <w:color w:val="2C5282"/>
          <w:sz w:val="26"/>
        </w:rPr>
        <w:t>4.2 Unsupervised Learning — K-Means Clustering</w:t>
      </w:r>
    </w:p>
    <w:p>
      <w:pPr>
        <w:spacing w:after="120" w:line="276" w:lineRule="auto"/>
      </w:pPr>
      <w:r>
        <w:rPr>
          <w:rFonts w:ascii="Calibri" w:hAnsi="Calibri"/>
          <w:color w:val="1E293B"/>
          <w:sz w:val="21"/>
        </w:rPr>
        <w:t>K-Means clustering was executed on standardized features [Demand, Solar, Wind, Temperature]. The elbow method and silhouette analysis identified K=4 as the optimal operational cluster configuration: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864"/>
            <w:vAlign w:val="center"/>
            <w:tcMar>
              <w:top w:w="120" w:type="dxa"/>
              <w:bottom w:w="120" w:type="dxa"/>
              <w:left w:w="140" w:type="dxa"/>
              <w:right w:w="140" w:type="dxa"/>
            </w:tcMar>
            <w:shd w:fill="1B365D"/>
          </w:tcPr>
          <w:p>
            <w:pPr>
              <w:jc w:val="center"/>
            </w:pPr>
            <w:r>
              <w:rPr>
                <w:rFonts w:ascii="Calibri" w:hAnsi="Calibri"/>
                <w:b/>
                <w:color w:val="FFFFFF"/>
                <w:sz w:val="19"/>
              </w:rPr>
              <w:t>Cluster</w:t>
            </w:r>
          </w:p>
        </w:tc>
        <w:tc>
          <w:tcPr>
            <w:tcW w:type="dxa" w:w="1440"/>
            <w:vAlign w:val="center"/>
            <w:tcMar>
              <w:top w:w="120" w:type="dxa"/>
              <w:bottom w:w="120" w:type="dxa"/>
              <w:left w:w="140" w:type="dxa"/>
              <w:right w:w="140" w:type="dxa"/>
            </w:tcMar>
            <w:shd w:fill="1B365D"/>
          </w:tcPr>
          <w:p>
            <w:pPr>
              <w:jc w:val="center"/>
            </w:pPr>
            <w:r>
              <w:rPr>
                <w:rFonts w:ascii="Calibri" w:hAnsi="Calibri"/>
                <w:b/>
                <w:color w:val="FFFFFF"/>
                <w:sz w:val="19"/>
              </w:rPr>
              <w:t>Mean Demand</w:t>
            </w:r>
          </w:p>
        </w:tc>
        <w:tc>
          <w:tcPr>
            <w:tcW w:type="dxa" w:w="1296"/>
            <w:vAlign w:val="center"/>
            <w:tcMar>
              <w:top w:w="120" w:type="dxa"/>
              <w:bottom w:w="120" w:type="dxa"/>
              <w:left w:w="140" w:type="dxa"/>
              <w:right w:w="140" w:type="dxa"/>
            </w:tcMar>
            <w:shd w:fill="1B365D"/>
          </w:tcPr>
          <w:p>
            <w:pPr>
              <w:jc w:val="center"/>
            </w:pPr>
            <w:r>
              <w:rPr>
                <w:rFonts w:ascii="Calibri" w:hAnsi="Calibri"/>
                <w:b/>
                <w:color w:val="FFFFFF"/>
                <w:sz w:val="19"/>
              </w:rPr>
              <w:t>Mean Solar</w:t>
            </w:r>
          </w:p>
        </w:tc>
        <w:tc>
          <w:tcPr>
            <w:tcW w:type="dxa" w:w="1296"/>
            <w:vAlign w:val="center"/>
            <w:tcMar>
              <w:top w:w="120" w:type="dxa"/>
              <w:bottom w:w="120" w:type="dxa"/>
              <w:left w:w="140" w:type="dxa"/>
              <w:right w:w="140" w:type="dxa"/>
            </w:tcMar>
            <w:shd w:fill="1B365D"/>
          </w:tcPr>
          <w:p>
            <w:pPr>
              <w:jc w:val="center"/>
            </w:pPr>
            <w:r>
              <w:rPr>
                <w:rFonts w:ascii="Calibri" w:hAnsi="Calibri"/>
                <w:b/>
                <w:color w:val="FFFFFF"/>
                <w:sz w:val="19"/>
              </w:rPr>
              <w:t>Mean Wind</w:t>
            </w:r>
          </w:p>
        </w:tc>
        <w:tc>
          <w:tcPr>
            <w:tcW w:type="dxa" w:w="1152"/>
            <w:vAlign w:val="center"/>
            <w:tcMar>
              <w:top w:w="120" w:type="dxa"/>
              <w:bottom w:w="120" w:type="dxa"/>
              <w:left w:w="140" w:type="dxa"/>
              <w:right w:w="140" w:type="dxa"/>
            </w:tcMar>
            <w:shd w:fill="1B365D"/>
          </w:tcPr>
          <w:p>
            <w:pPr>
              <w:jc w:val="center"/>
            </w:pPr>
            <w:r>
              <w:rPr>
                <w:rFonts w:ascii="Calibri" w:hAnsi="Calibri"/>
                <w:b/>
                <w:color w:val="FFFFFF"/>
                <w:sz w:val="19"/>
              </w:rPr>
              <w:t>Mean Temp</w:t>
            </w:r>
          </w:p>
        </w:tc>
        <w:tc>
          <w:tcPr>
            <w:tcW w:type="dxa" w:w="1008"/>
            <w:vAlign w:val="center"/>
            <w:tcMar>
              <w:top w:w="120" w:type="dxa"/>
              <w:bottom w:w="120" w:type="dxa"/>
              <w:left w:w="140" w:type="dxa"/>
              <w:right w:w="140" w:type="dxa"/>
            </w:tcMar>
            <w:shd w:fill="1B365D"/>
          </w:tcPr>
          <w:p>
            <w:pPr>
              <w:jc w:val="center"/>
            </w:pPr>
            <w:r>
              <w:rPr>
                <w:rFonts w:ascii="Calibri" w:hAnsi="Calibri"/>
                <w:b/>
                <w:color w:val="FFFFFF"/>
                <w:sz w:val="19"/>
              </w:rPr>
              <w:t>Count (n)</w:t>
            </w:r>
          </w:p>
        </w:tc>
        <w:tc>
          <w:tcPr>
            <w:tcW w:type="dxa" w:w="1008"/>
            <w:vAlign w:val="center"/>
            <w:tcMar>
              <w:top w:w="120" w:type="dxa"/>
              <w:bottom w:w="120" w:type="dxa"/>
              <w:left w:w="140" w:type="dxa"/>
              <w:right w:w="140" w:type="dxa"/>
            </w:tcMar>
            <w:shd w:fill="1B365D"/>
          </w:tcPr>
          <w:p>
            <w:pPr>
              <w:jc w:val="center"/>
            </w:pPr>
            <w:r>
              <w:rPr>
                <w:rFonts w:ascii="Calibri" w:hAnsi="Calibri"/>
                <w:b/>
                <w:color w:val="FFFFFF"/>
                <w:sz w:val="19"/>
              </w:rPr>
              <w:t>Share (%)</w:t>
            </w:r>
          </w:p>
        </w:tc>
        <w:tc>
          <w:tcPr>
            <w:tcW w:type="dxa" w:w="2304"/>
            <w:vAlign w:val="center"/>
            <w:tcMar>
              <w:top w:w="120" w:type="dxa"/>
              <w:bottom w:w="120" w:type="dxa"/>
              <w:left w:w="140" w:type="dxa"/>
              <w:right w:w="140" w:type="dxa"/>
            </w:tcMar>
            <w:shd w:fill="1B365D"/>
          </w:tcPr>
          <w:p>
            <w:pPr>
              <w:jc w:val="center"/>
            </w:pPr>
            <w:r>
              <w:rPr>
                <w:rFonts w:ascii="Calibri" w:hAnsi="Calibri"/>
                <w:b/>
                <w:color w:val="FFFFFF"/>
                <w:sz w:val="19"/>
              </w:rPr>
              <w:t>Grid Operational Regime</w:t>
            </w:r>
          </w:p>
        </w:tc>
      </w:tr>
      <w:tr>
        <w:trPr>
          <w:cantSplit/>
        </w:trPr>
        <w:tc>
          <w:tcPr>
            <w:tcW w:type="dxa" w:w="864"/>
            <w:vAlign w:val="center"/>
            <w:tcMar>
              <w:top w:w="120" w:type="dxa"/>
              <w:bottom w:w="120" w:type="dxa"/>
              <w:left w:w="140" w:type="dxa"/>
              <w:right w:w="140" w:type="dxa"/>
            </w:tcMar>
            <w:shd w:fill="FFFFFF"/>
          </w:tcPr>
          <w:p>
            <w:r>
              <w:rPr>
                <w:rFonts w:ascii="Calibri" w:hAnsi="Calibri"/>
                <w:color w:val="1E293B"/>
                <w:sz w:val="18"/>
              </w:rPr>
              <w:t>0</w:t>
            </w:r>
          </w:p>
        </w:tc>
        <w:tc>
          <w:tcPr>
            <w:tcW w:type="dxa" w:w="1440"/>
            <w:vAlign w:val="center"/>
            <w:tcMar>
              <w:top w:w="120" w:type="dxa"/>
              <w:bottom w:w="120" w:type="dxa"/>
              <w:left w:w="140" w:type="dxa"/>
              <w:right w:w="140" w:type="dxa"/>
            </w:tcMar>
            <w:shd w:fill="FFFFFF"/>
          </w:tcPr>
          <w:p>
            <w:r>
              <w:rPr>
                <w:rFonts w:ascii="Calibri" w:hAnsi="Calibri"/>
                <w:color w:val="1E293B"/>
                <w:sz w:val="18"/>
              </w:rPr>
              <w:t>27,063 MW</w:t>
            </w:r>
          </w:p>
        </w:tc>
        <w:tc>
          <w:tcPr>
            <w:tcW w:type="dxa" w:w="1296"/>
            <w:vAlign w:val="center"/>
            <w:tcMar>
              <w:top w:w="120" w:type="dxa"/>
              <w:bottom w:w="120" w:type="dxa"/>
              <w:left w:w="140" w:type="dxa"/>
              <w:right w:w="140" w:type="dxa"/>
            </w:tcMar>
            <w:shd w:fill="FFFFFF"/>
          </w:tcPr>
          <w:p>
            <w:r>
              <w:rPr>
                <w:rFonts w:ascii="Calibri" w:hAnsi="Calibri"/>
                <w:color w:val="1E293B"/>
                <w:sz w:val="18"/>
              </w:rPr>
              <w:t>692 MW</w:t>
            </w:r>
          </w:p>
        </w:tc>
        <w:tc>
          <w:tcPr>
            <w:tcW w:type="dxa" w:w="1296"/>
            <w:vAlign w:val="center"/>
            <w:tcMar>
              <w:top w:w="120" w:type="dxa"/>
              <w:bottom w:w="120" w:type="dxa"/>
              <w:left w:w="140" w:type="dxa"/>
              <w:right w:w="140" w:type="dxa"/>
            </w:tcMar>
            <w:shd w:fill="FFFFFF"/>
          </w:tcPr>
          <w:p>
            <w:r>
              <w:rPr>
                <w:rFonts w:ascii="Calibri" w:hAnsi="Calibri"/>
                <w:color w:val="1E293B"/>
                <w:sz w:val="18"/>
              </w:rPr>
              <w:t>687 MW</w:t>
            </w:r>
          </w:p>
        </w:tc>
        <w:tc>
          <w:tcPr>
            <w:tcW w:type="dxa" w:w="1152"/>
            <w:vAlign w:val="center"/>
            <w:tcMar>
              <w:top w:w="120" w:type="dxa"/>
              <w:bottom w:w="120" w:type="dxa"/>
              <w:left w:w="140" w:type="dxa"/>
              <w:right w:w="140" w:type="dxa"/>
            </w:tcMar>
            <w:shd w:fill="FFFFFF"/>
          </w:tcPr>
          <w:p>
            <w:r>
              <w:rPr>
                <w:rFonts w:ascii="Calibri" w:hAnsi="Calibri"/>
                <w:color w:val="1E293B"/>
                <w:sz w:val="18"/>
              </w:rPr>
              <w:t>8.1 °C</w:t>
            </w:r>
          </w:p>
        </w:tc>
        <w:tc>
          <w:tcPr>
            <w:tcW w:type="dxa" w:w="1008"/>
            <w:vAlign w:val="center"/>
            <w:tcMar>
              <w:top w:w="120" w:type="dxa"/>
              <w:bottom w:w="120" w:type="dxa"/>
              <w:left w:w="140" w:type="dxa"/>
              <w:right w:w="140" w:type="dxa"/>
            </w:tcMar>
            <w:shd w:fill="FFFFFF"/>
          </w:tcPr>
          <w:p>
            <w:r>
              <w:rPr>
                <w:rFonts w:ascii="Calibri" w:hAnsi="Calibri"/>
                <w:color w:val="1E293B"/>
                <w:sz w:val="18"/>
              </w:rPr>
              <w:t>3,236</w:t>
            </w:r>
          </w:p>
        </w:tc>
        <w:tc>
          <w:tcPr>
            <w:tcW w:type="dxa" w:w="1008"/>
            <w:vAlign w:val="center"/>
            <w:tcMar>
              <w:top w:w="120" w:type="dxa"/>
              <w:bottom w:w="120" w:type="dxa"/>
              <w:left w:w="140" w:type="dxa"/>
              <w:right w:w="140" w:type="dxa"/>
            </w:tcMar>
            <w:shd w:fill="FFFFFF"/>
          </w:tcPr>
          <w:p>
            <w:r>
              <w:rPr>
                <w:rFonts w:ascii="Calibri" w:hAnsi="Calibri"/>
                <w:color w:val="1E293B"/>
                <w:sz w:val="18"/>
              </w:rPr>
              <w:t>36.94%</w:t>
            </w:r>
          </w:p>
        </w:tc>
        <w:tc>
          <w:tcPr>
            <w:tcW w:type="dxa" w:w="2304"/>
            <w:vAlign w:val="center"/>
            <w:tcMar>
              <w:top w:w="120" w:type="dxa"/>
              <w:bottom w:w="120" w:type="dxa"/>
              <w:left w:w="140" w:type="dxa"/>
              <w:right w:w="140" w:type="dxa"/>
            </w:tcMar>
            <w:shd w:fill="FFFFFF"/>
          </w:tcPr>
          <w:p>
            <w:r>
              <w:rPr>
                <w:rFonts w:ascii="Calibri" w:hAnsi="Calibri"/>
                <w:color w:val="1E293B"/>
                <w:sz w:val="18"/>
              </w:rPr>
              <w:t>Winter Heating Peak (Low Temp, High Load)</w:t>
            </w:r>
          </w:p>
        </w:tc>
      </w:tr>
      <w:tr>
        <w:trPr>
          <w:cantSplit/>
        </w:trPr>
        <w:tc>
          <w:tcPr>
            <w:tcW w:type="dxa" w:w="864"/>
            <w:vAlign w:val="center"/>
            <w:tcMar>
              <w:top w:w="120" w:type="dxa"/>
              <w:bottom w:w="120" w:type="dxa"/>
              <w:left w:w="140" w:type="dxa"/>
              <w:right w:w="140" w:type="dxa"/>
            </w:tcMar>
            <w:shd w:fill="F7FAFC"/>
          </w:tcPr>
          <w:p>
            <w:r>
              <w:rPr>
                <w:rFonts w:ascii="Calibri" w:hAnsi="Calibri"/>
                <w:color w:val="1E293B"/>
                <w:sz w:val="18"/>
              </w:rPr>
              <w:t>1</w:t>
            </w:r>
          </w:p>
        </w:tc>
        <w:tc>
          <w:tcPr>
            <w:tcW w:type="dxa" w:w="1440"/>
            <w:vAlign w:val="center"/>
            <w:tcMar>
              <w:top w:w="120" w:type="dxa"/>
              <w:bottom w:w="120" w:type="dxa"/>
              <w:left w:w="140" w:type="dxa"/>
              <w:right w:w="140" w:type="dxa"/>
            </w:tcMar>
            <w:shd w:fill="F7FAFC"/>
          </w:tcPr>
          <w:p>
            <w:r>
              <w:rPr>
                <w:rFonts w:ascii="Calibri" w:hAnsi="Calibri"/>
                <w:color w:val="1E293B"/>
                <w:sz w:val="18"/>
              </w:rPr>
              <w:t>19,575 MW</w:t>
            </w:r>
          </w:p>
        </w:tc>
        <w:tc>
          <w:tcPr>
            <w:tcW w:type="dxa" w:w="1296"/>
            <w:vAlign w:val="center"/>
            <w:tcMar>
              <w:top w:w="120" w:type="dxa"/>
              <w:bottom w:w="120" w:type="dxa"/>
              <w:left w:w="140" w:type="dxa"/>
              <w:right w:w="140" w:type="dxa"/>
            </w:tcMar>
            <w:shd w:fill="F7FAFC"/>
          </w:tcPr>
          <w:p>
            <w:r>
              <w:rPr>
                <w:rFonts w:ascii="Calibri" w:hAnsi="Calibri"/>
                <w:color w:val="1E293B"/>
                <w:sz w:val="18"/>
              </w:rPr>
              <w:t>147 MW</w:t>
            </w:r>
          </w:p>
        </w:tc>
        <w:tc>
          <w:tcPr>
            <w:tcW w:type="dxa" w:w="1296"/>
            <w:vAlign w:val="center"/>
            <w:tcMar>
              <w:top w:w="120" w:type="dxa"/>
              <w:bottom w:w="120" w:type="dxa"/>
              <w:left w:w="140" w:type="dxa"/>
              <w:right w:w="140" w:type="dxa"/>
            </w:tcMar>
            <w:shd w:fill="F7FAFC"/>
          </w:tcPr>
          <w:p>
            <w:r>
              <w:rPr>
                <w:rFonts w:ascii="Calibri" w:hAnsi="Calibri"/>
                <w:color w:val="1E293B"/>
                <w:sz w:val="18"/>
              </w:rPr>
              <w:t>867 MW</w:t>
            </w:r>
          </w:p>
        </w:tc>
        <w:tc>
          <w:tcPr>
            <w:tcW w:type="dxa" w:w="1152"/>
            <w:vAlign w:val="center"/>
            <w:tcMar>
              <w:top w:w="120" w:type="dxa"/>
              <w:bottom w:w="120" w:type="dxa"/>
              <w:left w:w="140" w:type="dxa"/>
              <w:right w:w="140" w:type="dxa"/>
            </w:tcMar>
            <w:shd w:fill="F7FAFC"/>
          </w:tcPr>
          <w:p>
            <w:r>
              <w:rPr>
                <w:rFonts w:ascii="Calibri" w:hAnsi="Calibri"/>
                <w:color w:val="1E293B"/>
                <w:sz w:val="18"/>
              </w:rPr>
              <w:t>18.0 °C</w:t>
            </w:r>
          </w:p>
        </w:tc>
        <w:tc>
          <w:tcPr>
            <w:tcW w:type="dxa" w:w="1008"/>
            <w:vAlign w:val="center"/>
            <w:tcMar>
              <w:top w:w="120" w:type="dxa"/>
              <w:bottom w:w="120" w:type="dxa"/>
              <w:left w:w="140" w:type="dxa"/>
              <w:right w:w="140" w:type="dxa"/>
            </w:tcMar>
            <w:shd w:fill="F7FAFC"/>
          </w:tcPr>
          <w:p>
            <w:r>
              <w:rPr>
                <w:rFonts w:ascii="Calibri" w:hAnsi="Calibri"/>
                <w:color w:val="1E293B"/>
                <w:sz w:val="18"/>
              </w:rPr>
              <w:t>2,365</w:t>
            </w:r>
          </w:p>
        </w:tc>
        <w:tc>
          <w:tcPr>
            <w:tcW w:type="dxa" w:w="1008"/>
            <w:vAlign w:val="center"/>
            <w:tcMar>
              <w:top w:w="120" w:type="dxa"/>
              <w:bottom w:w="120" w:type="dxa"/>
              <w:left w:w="140" w:type="dxa"/>
              <w:right w:w="140" w:type="dxa"/>
            </w:tcMar>
            <w:shd w:fill="F7FAFC"/>
          </w:tcPr>
          <w:p>
            <w:r>
              <w:rPr>
                <w:rFonts w:ascii="Calibri" w:hAnsi="Calibri"/>
                <w:color w:val="1E293B"/>
                <w:sz w:val="18"/>
              </w:rPr>
              <w:t>27.00%</w:t>
            </w:r>
          </w:p>
        </w:tc>
        <w:tc>
          <w:tcPr>
            <w:tcW w:type="dxa" w:w="2304"/>
            <w:vAlign w:val="center"/>
            <w:tcMar>
              <w:top w:w="120" w:type="dxa"/>
              <w:bottom w:w="120" w:type="dxa"/>
              <w:left w:w="140" w:type="dxa"/>
              <w:right w:w="140" w:type="dxa"/>
            </w:tcMar>
            <w:shd w:fill="F7FAFC"/>
          </w:tcPr>
          <w:p>
            <w:r>
              <w:rPr>
                <w:rFonts w:ascii="Calibri" w:hAnsi="Calibri"/>
                <w:color w:val="1E293B"/>
                <w:sz w:val="18"/>
              </w:rPr>
              <w:t>Off-Peak Baseload / Night Load</w:t>
            </w:r>
          </w:p>
        </w:tc>
      </w:tr>
      <w:tr>
        <w:trPr>
          <w:cantSplit/>
        </w:trPr>
        <w:tc>
          <w:tcPr>
            <w:tcW w:type="dxa" w:w="864"/>
            <w:vAlign w:val="center"/>
            <w:tcMar>
              <w:top w:w="120" w:type="dxa"/>
              <w:bottom w:w="120" w:type="dxa"/>
              <w:left w:w="140" w:type="dxa"/>
              <w:right w:w="140" w:type="dxa"/>
            </w:tcMar>
            <w:shd w:fill="FFFFFF"/>
          </w:tcPr>
          <w:p>
            <w:r>
              <w:rPr>
                <w:rFonts w:ascii="Calibri" w:hAnsi="Calibri"/>
                <w:color w:val="1E293B"/>
                <w:sz w:val="18"/>
              </w:rPr>
              <w:t>2</w:t>
            </w:r>
          </w:p>
        </w:tc>
        <w:tc>
          <w:tcPr>
            <w:tcW w:type="dxa" w:w="1440"/>
            <w:vAlign w:val="center"/>
            <w:tcMar>
              <w:top w:w="120" w:type="dxa"/>
              <w:bottom w:w="120" w:type="dxa"/>
              <w:left w:w="140" w:type="dxa"/>
              <w:right w:w="140" w:type="dxa"/>
            </w:tcMar>
            <w:shd w:fill="FFFFFF"/>
          </w:tcPr>
          <w:p>
            <w:r>
              <w:rPr>
                <w:rFonts w:ascii="Calibri" w:hAnsi="Calibri"/>
                <w:color w:val="1E293B"/>
                <w:sz w:val="18"/>
              </w:rPr>
              <w:t>26,932 MW</w:t>
            </w:r>
          </w:p>
        </w:tc>
        <w:tc>
          <w:tcPr>
            <w:tcW w:type="dxa" w:w="1296"/>
            <w:vAlign w:val="center"/>
            <w:tcMar>
              <w:top w:w="120" w:type="dxa"/>
              <w:bottom w:w="120" w:type="dxa"/>
              <w:left w:w="140" w:type="dxa"/>
              <w:right w:w="140" w:type="dxa"/>
            </w:tcMar>
            <w:shd w:fill="FFFFFF"/>
          </w:tcPr>
          <w:p>
            <w:r>
              <w:rPr>
                <w:rFonts w:ascii="Calibri" w:hAnsi="Calibri"/>
                <w:color w:val="1E293B"/>
                <w:sz w:val="18"/>
              </w:rPr>
              <w:t>3,060 MW</w:t>
            </w:r>
          </w:p>
        </w:tc>
        <w:tc>
          <w:tcPr>
            <w:tcW w:type="dxa" w:w="1296"/>
            <w:vAlign w:val="center"/>
            <w:tcMar>
              <w:top w:w="120" w:type="dxa"/>
              <w:bottom w:w="120" w:type="dxa"/>
              <w:left w:w="140" w:type="dxa"/>
              <w:right w:w="140" w:type="dxa"/>
            </w:tcMar>
            <w:shd w:fill="FFFFFF"/>
          </w:tcPr>
          <w:p>
            <w:r>
              <w:rPr>
                <w:rFonts w:ascii="Calibri" w:hAnsi="Calibri"/>
                <w:color w:val="1E293B"/>
                <w:sz w:val="18"/>
              </w:rPr>
              <w:t>696 MW</w:t>
            </w:r>
          </w:p>
        </w:tc>
        <w:tc>
          <w:tcPr>
            <w:tcW w:type="dxa" w:w="1152"/>
            <w:vAlign w:val="center"/>
            <w:tcMar>
              <w:top w:w="120" w:type="dxa"/>
              <w:bottom w:w="120" w:type="dxa"/>
              <w:left w:w="140" w:type="dxa"/>
              <w:right w:w="140" w:type="dxa"/>
            </w:tcMar>
            <w:shd w:fill="FFFFFF"/>
          </w:tcPr>
          <w:p>
            <w:r>
              <w:rPr>
                <w:rFonts w:ascii="Calibri" w:hAnsi="Calibri"/>
                <w:color w:val="1E293B"/>
                <w:sz w:val="18"/>
              </w:rPr>
              <w:t>25.8 °C</w:t>
            </w:r>
          </w:p>
        </w:tc>
        <w:tc>
          <w:tcPr>
            <w:tcW w:type="dxa" w:w="1008"/>
            <w:vAlign w:val="center"/>
            <w:tcMar>
              <w:top w:w="120" w:type="dxa"/>
              <w:bottom w:w="120" w:type="dxa"/>
              <w:left w:w="140" w:type="dxa"/>
              <w:right w:w="140" w:type="dxa"/>
            </w:tcMar>
            <w:shd w:fill="FFFFFF"/>
          </w:tcPr>
          <w:p>
            <w:r>
              <w:rPr>
                <w:rFonts w:ascii="Calibri" w:hAnsi="Calibri"/>
                <w:color w:val="1E293B"/>
                <w:sz w:val="18"/>
              </w:rPr>
              <w:t>2,261</w:t>
            </w:r>
          </w:p>
        </w:tc>
        <w:tc>
          <w:tcPr>
            <w:tcW w:type="dxa" w:w="1008"/>
            <w:vAlign w:val="center"/>
            <w:tcMar>
              <w:top w:w="120" w:type="dxa"/>
              <w:bottom w:w="120" w:type="dxa"/>
              <w:left w:w="140" w:type="dxa"/>
              <w:right w:w="140" w:type="dxa"/>
            </w:tcMar>
            <w:shd w:fill="FFFFFF"/>
          </w:tcPr>
          <w:p>
            <w:r>
              <w:rPr>
                <w:rFonts w:ascii="Calibri" w:hAnsi="Calibri"/>
                <w:color w:val="1E293B"/>
                <w:sz w:val="18"/>
              </w:rPr>
              <w:t>25.81%</w:t>
            </w:r>
          </w:p>
        </w:tc>
        <w:tc>
          <w:tcPr>
            <w:tcW w:type="dxa" w:w="2304"/>
            <w:vAlign w:val="center"/>
            <w:tcMar>
              <w:top w:w="120" w:type="dxa"/>
              <w:bottom w:w="120" w:type="dxa"/>
              <w:left w:w="140" w:type="dxa"/>
              <w:right w:w="140" w:type="dxa"/>
            </w:tcMar>
            <w:shd w:fill="FFFFFF"/>
          </w:tcPr>
          <w:p>
            <w:r>
              <w:rPr>
                <w:rFonts w:ascii="Calibri" w:hAnsi="Calibri"/>
                <w:color w:val="1E293B"/>
                <w:sz w:val="18"/>
              </w:rPr>
              <w:t>Summer Cooling Peak (High Temp, High Load)</w:t>
            </w:r>
          </w:p>
        </w:tc>
      </w:tr>
      <w:tr>
        <w:trPr>
          <w:cantSplit/>
        </w:trPr>
        <w:tc>
          <w:tcPr>
            <w:tcW w:type="dxa" w:w="864"/>
            <w:vAlign w:val="center"/>
            <w:tcMar>
              <w:top w:w="120" w:type="dxa"/>
              <w:bottom w:w="120" w:type="dxa"/>
              <w:left w:w="140" w:type="dxa"/>
              <w:right w:w="140" w:type="dxa"/>
            </w:tcMar>
            <w:shd w:fill="F7FAFC"/>
          </w:tcPr>
          <w:p>
            <w:r>
              <w:rPr>
                <w:rFonts w:ascii="Calibri" w:hAnsi="Calibri"/>
                <w:color w:val="1E293B"/>
                <w:sz w:val="18"/>
              </w:rPr>
              <w:t>3</w:t>
            </w:r>
          </w:p>
        </w:tc>
        <w:tc>
          <w:tcPr>
            <w:tcW w:type="dxa" w:w="1440"/>
            <w:vAlign w:val="center"/>
            <w:tcMar>
              <w:top w:w="120" w:type="dxa"/>
              <w:bottom w:w="120" w:type="dxa"/>
              <w:left w:w="140" w:type="dxa"/>
              <w:right w:w="140" w:type="dxa"/>
            </w:tcMar>
            <w:shd w:fill="F7FAFC"/>
          </w:tcPr>
          <w:p>
            <w:r>
              <w:rPr>
                <w:rFonts w:ascii="Calibri" w:hAnsi="Calibri"/>
                <w:color w:val="1E293B"/>
                <w:sz w:val="18"/>
              </w:rPr>
              <w:t>23,197 MW</w:t>
            </w:r>
          </w:p>
        </w:tc>
        <w:tc>
          <w:tcPr>
            <w:tcW w:type="dxa" w:w="1296"/>
            <w:vAlign w:val="center"/>
            <w:tcMar>
              <w:top w:w="120" w:type="dxa"/>
              <w:bottom w:w="120" w:type="dxa"/>
              <w:left w:w="140" w:type="dxa"/>
              <w:right w:w="140" w:type="dxa"/>
            </w:tcMar>
            <w:shd w:fill="F7FAFC"/>
          </w:tcPr>
          <w:p>
            <w:r>
              <w:rPr>
                <w:rFonts w:ascii="Calibri" w:hAnsi="Calibri"/>
                <w:color w:val="1E293B"/>
                <w:sz w:val="18"/>
              </w:rPr>
              <w:t>604 MW</w:t>
            </w:r>
          </w:p>
        </w:tc>
        <w:tc>
          <w:tcPr>
            <w:tcW w:type="dxa" w:w="1296"/>
            <w:vAlign w:val="center"/>
            <w:tcMar>
              <w:top w:w="120" w:type="dxa"/>
              <w:bottom w:w="120" w:type="dxa"/>
              <w:left w:w="140" w:type="dxa"/>
              <w:right w:w="140" w:type="dxa"/>
            </w:tcMar>
            <w:shd w:fill="F7FAFC"/>
          </w:tcPr>
          <w:p>
            <w:r>
              <w:rPr>
                <w:rFonts w:ascii="Calibri" w:hAnsi="Calibri"/>
                <w:color w:val="1E293B"/>
                <w:sz w:val="18"/>
              </w:rPr>
              <w:t>7,736 MW</w:t>
            </w:r>
          </w:p>
        </w:tc>
        <w:tc>
          <w:tcPr>
            <w:tcW w:type="dxa" w:w="1152"/>
            <w:vAlign w:val="center"/>
            <w:tcMar>
              <w:top w:w="120" w:type="dxa"/>
              <w:bottom w:w="120" w:type="dxa"/>
              <w:left w:w="140" w:type="dxa"/>
              <w:right w:w="140" w:type="dxa"/>
            </w:tcMar>
            <w:shd w:fill="F7FAFC"/>
          </w:tcPr>
          <w:p>
            <w:r>
              <w:rPr>
                <w:rFonts w:ascii="Calibri" w:hAnsi="Calibri"/>
                <w:color w:val="1E293B"/>
                <w:sz w:val="18"/>
              </w:rPr>
              <w:t>14.3 °C</w:t>
            </w:r>
          </w:p>
        </w:tc>
        <w:tc>
          <w:tcPr>
            <w:tcW w:type="dxa" w:w="1008"/>
            <w:vAlign w:val="center"/>
            <w:tcMar>
              <w:top w:w="120" w:type="dxa"/>
              <w:bottom w:w="120" w:type="dxa"/>
              <w:left w:w="140" w:type="dxa"/>
              <w:right w:w="140" w:type="dxa"/>
            </w:tcMar>
            <w:shd w:fill="F7FAFC"/>
          </w:tcPr>
          <w:p>
            <w:r>
              <w:rPr>
                <w:rFonts w:ascii="Calibri" w:hAnsi="Calibri"/>
                <w:color w:val="1E293B"/>
                <w:sz w:val="18"/>
              </w:rPr>
              <w:t>898</w:t>
            </w:r>
          </w:p>
        </w:tc>
        <w:tc>
          <w:tcPr>
            <w:tcW w:type="dxa" w:w="1008"/>
            <w:vAlign w:val="center"/>
            <w:tcMar>
              <w:top w:w="120" w:type="dxa"/>
              <w:bottom w:w="120" w:type="dxa"/>
              <w:left w:w="140" w:type="dxa"/>
              <w:right w:w="140" w:type="dxa"/>
            </w:tcMar>
            <w:shd w:fill="F7FAFC"/>
          </w:tcPr>
          <w:p>
            <w:r>
              <w:rPr>
                <w:rFonts w:ascii="Calibri" w:hAnsi="Calibri"/>
                <w:color w:val="1E293B"/>
                <w:sz w:val="18"/>
              </w:rPr>
              <w:t>10.25%</w:t>
            </w:r>
          </w:p>
        </w:tc>
        <w:tc>
          <w:tcPr>
            <w:tcW w:type="dxa" w:w="2304"/>
            <w:vAlign w:val="center"/>
            <w:tcMar>
              <w:top w:w="120" w:type="dxa"/>
              <w:bottom w:w="120" w:type="dxa"/>
              <w:left w:w="140" w:type="dxa"/>
              <w:right w:w="140" w:type="dxa"/>
            </w:tcMar>
            <w:shd w:fill="F7FAFC"/>
          </w:tcPr>
          <w:p>
            <w:r>
              <w:rPr>
                <w:rFonts w:ascii="Calibri" w:hAnsi="Calibri"/>
                <w:color w:val="1E293B"/>
                <w:sz w:val="18"/>
              </w:rPr>
              <w:t>Windy Transition (High Wind, Moderate Load)</w:t>
            </w:r>
          </w:p>
        </w:tc>
      </w:tr>
    </w:tbl>
    <w:p>
      <w:pPr>
        <w:spacing w:after="240"/>
        <w:jc w:val="center"/>
      </w:pPr>
      <w:r>
        <w:rPr>
          <w:i/>
          <w:sz w:val="17"/>
        </w:rPr>
        <w:t>Table 4.2 — K-Means discovered grid operational regimes (K = 4)</w:t>
      </w:r>
    </w:p>
    <w:p>
      <w:r>
        <w:drawing>
          <wp:inline xmlns:a="http://schemas.openxmlformats.org/drawingml/2006/main" xmlns:pic="http://schemas.openxmlformats.org/drawingml/2006/picture">
            <wp:extent cx="5303520" cy="2892829"/>
            <wp:docPr id="5" name="Picture 5"/>
            <wp:cNvGraphicFramePr>
              <a:graphicFrameLocks noChangeAspect="1"/>
            </wp:cNvGraphicFramePr>
            <a:graphic>
              <a:graphicData uri="http://schemas.openxmlformats.org/drawingml/2006/picture">
                <pic:pic>
                  <pic:nvPicPr>
                    <pic:cNvPr id="0" name="09_clustering_visualization.png"/>
                    <pic:cNvPicPr/>
                  </pic:nvPicPr>
                  <pic:blipFill>
                    <a:blip r:embed="rId15"/>
                    <a:stretch>
                      <a:fillRect/>
                    </a:stretch>
                  </pic:blipFill>
                  <pic:spPr>
                    <a:xfrm>
                      <a:off x="0" y="0"/>
                      <a:ext cx="5303520" cy="2892829"/>
                    </a:xfrm>
                    <a:prstGeom prst="rect"/>
                  </pic:spPr>
                </pic:pic>
              </a:graphicData>
            </a:graphic>
          </wp:inline>
        </w:drawing>
      </w:r>
    </w:p>
    <w:p>
      <w:pPr>
        <w:spacing w:after="240"/>
        <w:jc w:val="center"/>
      </w:pPr>
      <w:r>
        <w:rPr>
          <w:i/>
          <w:sz w:val="17"/>
        </w:rPr>
        <w:t>Figure 4.2 — K-Means 4-regime clustering visualization on Temperature-Demand plane</w:t>
      </w:r>
    </w:p>
    <w:p>
      <w:pPr>
        <w:keepNext/>
        <w:spacing w:before="360" w:after="160"/>
      </w:pPr>
      <w:r>
        <w:rPr>
          <w:rFonts w:ascii="Calibri" w:hAnsi="Calibri"/>
          <w:b/>
          <w:color w:val="1B365D"/>
          <w:sz w:val="32"/>
        </w:rPr>
        <w:t>5. Polynomial Response Modelling and Curve Fitting</w:t>
      </w:r>
    </w:p>
    <w:p>
      <w:pPr>
        <w:spacing w:after="120" w:line="276" w:lineRule="auto"/>
      </w:pPr>
      <w:r>
        <w:rPr>
          <w:rFonts w:ascii="Calibri" w:hAnsi="Calibri"/>
          <w:color w:val="1E293B"/>
          <w:sz w:val="21"/>
        </w:rPr>
        <w:t>Polynomial curve fitting was conducted to model the physical thermodynamic relationship between ambient temperature and electricity demand. Degrees 1 through 4 were fitted using Ordinary Least Squares normal equations: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440"/>
            <w:vAlign w:val="center"/>
            <w:tcMar>
              <w:top w:w="120" w:type="dxa"/>
              <w:bottom w:w="120" w:type="dxa"/>
              <w:left w:w="140" w:type="dxa"/>
              <w:right w:w="140" w:type="dxa"/>
            </w:tcMar>
            <w:shd w:fill="1B365D"/>
          </w:tcPr>
          <w:p>
            <w:pPr>
              <w:jc w:val="center"/>
            </w:pPr>
            <w:r>
              <w:rPr>
                <w:rFonts w:ascii="Calibri" w:hAnsi="Calibri"/>
                <w:b/>
                <w:color w:val="FFFFFF"/>
                <w:sz w:val="19"/>
              </w:rPr>
              <w:t>Degree</w:t>
            </w:r>
          </w:p>
        </w:tc>
        <w:tc>
          <w:tcPr>
            <w:tcW w:type="dxa" w:w="1728"/>
            <w:vAlign w:val="center"/>
            <w:tcMar>
              <w:top w:w="120" w:type="dxa"/>
              <w:bottom w:w="120" w:type="dxa"/>
              <w:left w:w="140" w:type="dxa"/>
              <w:right w:w="140" w:type="dxa"/>
            </w:tcMar>
            <w:shd w:fill="1B365D"/>
          </w:tcPr>
          <w:p>
            <w:pPr>
              <w:jc w:val="center"/>
            </w:pPr>
            <w:r>
              <w:rPr>
                <w:rFonts w:ascii="Calibri" w:hAnsi="Calibri"/>
                <w:b/>
                <w:color w:val="FFFFFF"/>
                <w:sz w:val="19"/>
              </w:rPr>
              <w:t>Train RMSE</w:t>
            </w:r>
          </w:p>
        </w:tc>
        <w:tc>
          <w:tcPr>
            <w:tcW w:type="dxa" w:w="1296"/>
            <w:vAlign w:val="center"/>
            <w:tcMar>
              <w:top w:w="120" w:type="dxa"/>
              <w:bottom w:w="120" w:type="dxa"/>
              <w:left w:w="140" w:type="dxa"/>
              <w:right w:w="140" w:type="dxa"/>
            </w:tcMar>
            <w:shd w:fill="1B365D"/>
          </w:tcPr>
          <w:p>
            <w:pPr>
              <w:jc w:val="center"/>
            </w:pPr>
            <w:r>
              <w:rPr>
                <w:rFonts w:ascii="Calibri" w:hAnsi="Calibri"/>
                <w:b/>
                <w:color w:val="FFFFFF"/>
                <w:sz w:val="19"/>
              </w:rPr>
              <w:t>Train R²</w:t>
            </w:r>
          </w:p>
        </w:tc>
        <w:tc>
          <w:tcPr>
            <w:tcW w:type="dxa" w:w="1728"/>
            <w:vAlign w:val="center"/>
            <w:tcMar>
              <w:top w:w="120" w:type="dxa"/>
              <w:bottom w:w="120" w:type="dxa"/>
              <w:left w:w="140" w:type="dxa"/>
              <w:right w:w="140" w:type="dxa"/>
            </w:tcMar>
            <w:shd w:fill="1B365D"/>
          </w:tcPr>
          <w:p>
            <w:pPr>
              <w:jc w:val="center"/>
            </w:pPr>
            <w:r>
              <w:rPr>
                <w:rFonts w:ascii="Calibri" w:hAnsi="Calibri"/>
                <w:b/>
                <w:color w:val="FFFFFF"/>
                <w:sz w:val="19"/>
              </w:rPr>
              <w:t>Test RMSE</w:t>
            </w:r>
          </w:p>
        </w:tc>
        <w:tc>
          <w:tcPr>
            <w:tcW w:type="dxa" w:w="1296"/>
            <w:vAlign w:val="center"/>
            <w:tcMar>
              <w:top w:w="120" w:type="dxa"/>
              <w:bottom w:w="120" w:type="dxa"/>
              <w:left w:w="140" w:type="dxa"/>
              <w:right w:w="140" w:type="dxa"/>
            </w:tcMar>
            <w:shd w:fill="1B365D"/>
          </w:tcPr>
          <w:p>
            <w:pPr>
              <w:jc w:val="center"/>
            </w:pPr>
            <w:r>
              <w:rPr>
                <w:rFonts w:ascii="Calibri" w:hAnsi="Calibri"/>
                <w:b/>
                <w:color w:val="FFFFFF"/>
                <w:sz w:val="19"/>
              </w:rPr>
              <w:t>Test R²</w:t>
            </w:r>
          </w:p>
        </w:tc>
        <w:tc>
          <w:tcPr>
            <w:tcW w:type="dxa" w:w="2592"/>
            <w:vAlign w:val="center"/>
            <w:tcMar>
              <w:top w:w="120" w:type="dxa"/>
              <w:bottom w:w="120" w:type="dxa"/>
              <w:left w:w="140" w:type="dxa"/>
              <w:right w:w="140" w:type="dxa"/>
            </w:tcMar>
            <w:shd w:fill="1B365D"/>
          </w:tcPr>
          <w:p>
            <w:pPr>
              <w:jc w:val="center"/>
            </w:pPr>
            <w:r>
              <w:rPr>
                <w:rFonts w:ascii="Calibri" w:hAnsi="Calibri"/>
                <w:b/>
                <w:color w:val="FFFFFF"/>
                <w:sz w:val="19"/>
              </w:rPr>
              <w:t>Model Assessment</w:t>
            </w:r>
          </w:p>
        </w:tc>
      </w:tr>
      <w:tr>
        <w:trPr>
          <w:cantSplit/>
        </w:trPr>
        <w:tc>
          <w:tcPr>
            <w:tcW w:type="dxa" w:w="1440"/>
            <w:vAlign w:val="center"/>
            <w:tcMar>
              <w:top w:w="120" w:type="dxa"/>
              <w:bottom w:w="120" w:type="dxa"/>
              <w:left w:w="140" w:type="dxa"/>
              <w:right w:w="140" w:type="dxa"/>
            </w:tcMar>
            <w:shd w:fill="FFFFFF"/>
          </w:tcPr>
          <w:p>
            <w:r>
              <w:rPr>
                <w:rFonts w:ascii="Calibri" w:hAnsi="Calibri"/>
                <w:color w:val="1E293B"/>
                <w:sz w:val="18"/>
              </w:rPr>
              <w:t>1 (Linear)</w:t>
            </w:r>
          </w:p>
        </w:tc>
        <w:tc>
          <w:tcPr>
            <w:tcW w:type="dxa" w:w="1728"/>
            <w:vAlign w:val="center"/>
            <w:tcMar>
              <w:top w:w="120" w:type="dxa"/>
              <w:bottom w:w="120" w:type="dxa"/>
              <w:left w:w="140" w:type="dxa"/>
              <w:right w:w="140" w:type="dxa"/>
            </w:tcMar>
            <w:shd w:fill="FFFFFF"/>
          </w:tcPr>
          <w:p>
            <w:r>
              <w:rPr>
                <w:rFonts w:ascii="Calibri" w:hAnsi="Calibri"/>
                <w:color w:val="1E293B"/>
                <w:sz w:val="18"/>
              </w:rPr>
              <w:t>4,735.27 MW</w:t>
            </w:r>
          </w:p>
        </w:tc>
        <w:tc>
          <w:tcPr>
            <w:tcW w:type="dxa" w:w="1296"/>
            <w:vAlign w:val="center"/>
            <w:tcMar>
              <w:top w:w="120" w:type="dxa"/>
              <w:bottom w:w="120" w:type="dxa"/>
              <w:left w:w="140" w:type="dxa"/>
              <w:right w:w="140" w:type="dxa"/>
            </w:tcMar>
            <w:shd w:fill="FFFFFF"/>
          </w:tcPr>
          <w:p>
            <w:r>
              <w:rPr>
                <w:rFonts w:ascii="Calibri" w:hAnsi="Calibri"/>
                <w:color w:val="1E293B"/>
                <w:sz w:val="18"/>
              </w:rPr>
              <w:t>0.0014</w:t>
            </w:r>
          </w:p>
        </w:tc>
        <w:tc>
          <w:tcPr>
            <w:tcW w:type="dxa" w:w="1728"/>
            <w:vAlign w:val="center"/>
            <w:tcMar>
              <w:top w:w="120" w:type="dxa"/>
              <w:bottom w:w="120" w:type="dxa"/>
              <w:left w:w="140" w:type="dxa"/>
              <w:right w:w="140" w:type="dxa"/>
            </w:tcMar>
            <w:shd w:fill="FFFFFF"/>
          </w:tcPr>
          <w:p>
            <w:r>
              <w:rPr>
                <w:rFonts w:ascii="Calibri" w:hAnsi="Calibri"/>
                <w:color w:val="1E293B"/>
                <w:sz w:val="18"/>
              </w:rPr>
              <w:t>3,593.32 MW</w:t>
            </w:r>
          </w:p>
        </w:tc>
        <w:tc>
          <w:tcPr>
            <w:tcW w:type="dxa" w:w="1296"/>
            <w:vAlign w:val="center"/>
            <w:tcMar>
              <w:top w:w="120" w:type="dxa"/>
              <w:bottom w:w="120" w:type="dxa"/>
              <w:left w:w="140" w:type="dxa"/>
              <w:right w:w="140" w:type="dxa"/>
            </w:tcMar>
            <w:shd w:fill="FFFFFF"/>
          </w:tcPr>
          <w:p>
            <w:r>
              <w:rPr>
                <w:rFonts w:ascii="Calibri" w:hAnsi="Calibri"/>
                <w:color w:val="1E293B"/>
                <w:sz w:val="18"/>
              </w:rPr>
              <w:t>0.0007</w:t>
            </w:r>
          </w:p>
        </w:tc>
        <w:tc>
          <w:tcPr>
            <w:tcW w:type="dxa" w:w="2592"/>
            <w:vAlign w:val="center"/>
            <w:tcMar>
              <w:top w:w="120" w:type="dxa"/>
              <w:bottom w:w="120" w:type="dxa"/>
              <w:left w:w="140" w:type="dxa"/>
              <w:right w:w="140" w:type="dxa"/>
            </w:tcMar>
            <w:shd w:fill="FFFFFF"/>
          </w:tcPr>
          <w:p>
            <w:r>
              <w:rPr>
                <w:rFonts w:ascii="Calibri" w:hAnsi="Calibri"/>
                <w:color w:val="1E293B"/>
                <w:sz w:val="18"/>
              </w:rPr>
              <w:t>Severe Underfitting (High Bias)</w:t>
            </w:r>
          </w:p>
        </w:tc>
      </w:tr>
      <w:tr>
        <w:trPr>
          <w:cantSplit/>
        </w:trPr>
        <w:tc>
          <w:tcPr>
            <w:tcW w:type="dxa" w:w="1440"/>
            <w:vAlign w:val="center"/>
            <w:tcMar>
              <w:top w:w="120" w:type="dxa"/>
              <w:bottom w:w="120" w:type="dxa"/>
              <w:left w:w="140" w:type="dxa"/>
              <w:right w:w="140" w:type="dxa"/>
            </w:tcMar>
            <w:shd w:fill="F7FAFC"/>
          </w:tcPr>
          <w:p>
            <w:r>
              <w:rPr>
                <w:rFonts w:ascii="Calibri" w:hAnsi="Calibri"/>
                <w:color w:val="1E293B"/>
                <w:sz w:val="18"/>
              </w:rPr>
              <w:t>2 (Quadratic)</w:t>
            </w:r>
          </w:p>
        </w:tc>
        <w:tc>
          <w:tcPr>
            <w:tcW w:type="dxa" w:w="1728"/>
            <w:vAlign w:val="center"/>
            <w:tcMar>
              <w:top w:w="120" w:type="dxa"/>
              <w:bottom w:w="120" w:type="dxa"/>
              <w:left w:w="140" w:type="dxa"/>
              <w:right w:w="140" w:type="dxa"/>
            </w:tcMar>
            <w:shd w:fill="F7FAFC"/>
          </w:tcPr>
          <w:p>
            <w:r>
              <w:rPr>
                <w:rFonts w:ascii="Calibri" w:hAnsi="Calibri"/>
                <w:color w:val="1E293B"/>
                <w:sz w:val="18"/>
              </w:rPr>
              <w:t>3,928.05 MW</w:t>
            </w:r>
          </w:p>
        </w:tc>
        <w:tc>
          <w:tcPr>
            <w:tcW w:type="dxa" w:w="1296"/>
            <w:vAlign w:val="center"/>
            <w:tcMar>
              <w:top w:w="120" w:type="dxa"/>
              <w:bottom w:w="120" w:type="dxa"/>
              <w:left w:w="140" w:type="dxa"/>
              <w:right w:w="140" w:type="dxa"/>
            </w:tcMar>
            <w:shd w:fill="F7FAFC"/>
          </w:tcPr>
          <w:p>
            <w:r>
              <w:rPr>
                <w:rFonts w:ascii="Calibri" w:hAnsi="Calibri"/>
                <w:color w:val="1E293B"/>
                <w:sz w:val="18"/>
              </w:rPr>
              <w:t>0.3128</w:t>
            </w:r>
          </w:p>
        </w:tc>
        <w:tc>
          <w:tcPr>
            <w:tcW w:type="dxa" w:w="1728"/>
            <w:vAlign w:val="center"/>
            <w:tcMar>
              <w:top w:w="120" w:type="dxa"/>
              <w:bottom w:w="120" w:type="dxa"/>
              <w:left w:w="140" w:type="dxa"/>
              <w:right w:w="140" w:type="dxa"/>
            </w:tcMar>
            <w:shd w:fill="F7FAFC"/>
          </w:tcPr>
          <w:p>
            <w:r>
              <w:rPr>
                <w:rFonts w:ascii="Calibri" w:hAnsi="Calibri"/>
                <w:color w:val="1E293B"/>
                <w:sz w:val="18"/>
              </w:rPr>
              <w:t>4,016.19 MW</w:t>
            </w:r>
          </w:p>
        </w:tc>
        <w:tc>
          <w:tcPr>
            <w:tcW w:type="dxa" w:w="1296"/>
            <w:vAlign w:val="center"/>
            <w:tcMar>
              <w:top w:w="120" w:type="dxa"/>
              <w:bottom w:w="120" w:type="dxa"/>
              <w:left w:w="140" w:type="dxa"/>
              <w:right w:w="140" w:type="dxa"/>
            </w:tcMar>
            <w:shd w:fill="F7FAFC"/>
          </w:tcPr>
          <w:p>
            <w:r>
              <w:rPr>
                <w:rFonts w:ascii="Calibri" w:hAnsi="Calibri"/>
                <w:color w:val="1E293B"/>
                <w:sz w:val="18"/>
              </w:rPr>
              <w:t>-0.2483</w:t>
            </w:r>
          </w:p>
        </w:tc>
        <w:tc>
          <w:tcPr>
            <w:tcW w:type="dxa" w:w="2592"/>
            <w:vAlign w:val="center"/>
            <w:tcMar>
              <w:top w:w="120" w:type="dxa"/>
              <w:bottom w:w="120" w:type="dxa"/>
              <w:left w:w="140" w:type="dxa"/>
              <w:right w:w="140" w:type="dxa"/>
            </w:tcMar>
            <w:shd w:fill="F7FAFC"/>
          </w:tcPr>
          <w:p>
            <w:r>
              <w:rPr>
                <w:rFonts w:ascii="Calibri" w:hAnsi="Calibri"/>
                <w:color w:val="1E293B"/>
                <w:sz w:val="18"/>
              </w:rPr>
              <w:t>Captures U-curve, but temp alone lacks calendar factors</w:t>
            </w:r>
          </w:p>
        </w:tc>
      </w:tr>
      <w:tr>
        <w:trPr>
          <w:cantSplit/>
        </w:trPr>
        <w:tc>
          <w:tcPr>
            <w:tcW w:type="dxa" w:w="1440"/>
            <w:vAlign w:val="center"/>
            <w:tcMar>
              <w:top w:w="120" w:type="dxa"/>
              <w:bottom w:w="120" w:type="dxa"/>
              <w:left w:w="140" w:type="dxa"/>
              <w:right w:w="140" w:type="dxa"/>
            </w:tcMar>
            <w:shd w:fill="FFFFFF"/>
          </w:tcPr>
          <w:p>
            <w:r>
              <w:rPr>
                <w:rFonts w:ascii="Calibri" w:hAnsi="Calibri"/>
                <w:color w:val="1E293B"/>
                <w:sz w:val="18"/>
              </w:rPr>
              <w:t>3 (Cubic)</w:t>
            </w:r>
          </w:p>
        </w:tc>
        <w:tc>
          <w:tcPr>
            <w:tcW w:type="dxa" w:w="1728"/>
            <w:vAlign w:val="center"/>
            <w:tcMar>
              <w:top w:w="120" w:type="dxa"/>
              <w:bottom w:w="120" w:type="dxa"/>
              <w:left w:w="140" w:type="dxa"/>
              <w:right w:w="140" w:type="dxa"/>
            </w:tcMar>
            <w:shd w:fill="FFFFFF"/>
          </w:tcPr>
          <w:p>
            <w:r>
              <w:rPr>
                <w:rFonts w:ascii="Calibri" w:hAnsi="Calibri"/>
                <w:color w:val="1E293B"/>
                <w:sz w:val="18"/>
              </w:rPr>
              <w:t>3,856.21 MW</w:t>
            </w:r>
          </w:p>
        </w:tc>
        <w:tc>
          <w:tcPr>
            <w:tcW w:type="dxa" w:w="1296"/>
            <w:vAlign w:val="center"/>
            <w:tcMar>
              <w:top w:w="120" w:type="dxa"/>
              <w:bottom w:w="120" w:type="dxa"/>
              <w:left w:w="140" w:type="dxa"/>
              <w:right w:w="140" w:type="dxa"/>
            </w:tcMar>
            <w:shd w:fill="FFFFFF"/>
          </w:tcPr>
          <w:p>
            <w:r>
              <w:rPr>
                <w:rFonts w:ascii="Calibri" w:hAnsi="Calibri"/>
                <w:color w:val="1E293B"/>
                <w:sz w:val="18"/>
              </w:rPr>
              <w:t>0.3377</w:t>
            </w:r>
          </w:p>
        </w:tc>
        <w:tc>
          <w:tcPr>
            <w:tcW w:type="dxa" w:w="1728"/>
            <w:vAlign w:val="center"/>
            <w:tcMar>
              <w:top w:w="120" w:type="dxa"/>
              <w:bottom w:w="120" w:type="dxa"/>
              <w:left w:w="140" w:type="dxa"/>
              <w:right w:w="140" w:type="dxa"/>
            </w:tcMar>
            <w:shd w:fill="FFFFFF"/>
          </w:tcPr>
          <w:p>
            <w:r>
              <w:rPr>
                <w:rFonts w:ascii="Calibri" w:hAnsi="Calibri"/>
                <w:color w:val="1E293B"/>
                <w:sz w:val="18"/>
              </w:rPr>
              <w:t>3,946.30 MW</w:t>
            </w:r>
          </w:p>
        </w:tc>
        <w:tc>
          <w:tcPr>
            <w:tcW w:type="dxa" w:w="1296"/>
            <w:vAlign w:val="center"/>
            <w:tcMar>
              <w:top w:w="120" w:type="dxa"/>
              <w:bottom w:w="120" w:type="dxa"/>
              <w:left w:w="140" w:type="dxa"/>
              <w:right w:w="140" w:type="dxa"/>
            </w:tcMar>
            <w:shd w:fill="FFFFFF"/>
          </w:tcPr>
          <w:p>
            <w:r>
              <w:rPr>
                <w:rFonts w:ascii="Calibri" w:hAnsi="Calibri"/>
                <w:color w:val="1E293B"/>
                <w:sz w:val="18"/>
              </w:rPr>
              <w:t>-0.2052</w:t>
            </w:r>
          </w:p>
        </w:tc>
        <w:tc>
          <w:tcPr>
            <w:tcW w:type="dxa" w:w="2592"/>
            <w:vAlign w:val="center"/>
            <w:tcMar>
              <w:top w:w="120" w:type="dxa"/>
              <w:bottom w:w="120" w:type="dxa"/>
              <w:left w:w="140" w:type="dxa"/>
              <w:right w:w="140" w:type="dxa"/>
            </w:tcMar>
            <w:shd w:fill="FFFFFF"/>
          </w:tcPr>
          <w:p>
            <w:r>
              <w:rPr>
                <w:rFonts w:ascii="Calibri" w:hAnsi="Calibri"/>
                <w:color w:val="1E293B"/>
                <w:sz w:val="18"/>
              </w:rPr>
              <w:t>Slight improvement in seasonal inflections</w:t>
            </w:r>
          </w:p>
        </w:tc>
      </w:tr>
      <w:tr>
        <w:trPr>
          <w:cantSplit/>
        </w:trPr>
        <w:tc>
          <w:tcPr>
            <w:tcW w:type="dxa" w:w="1440"/>
            <w:vAlign w:val="center"/>
            <w:tcMar>
              <w:top w:w="120" w:type="dxa"/>
              <w:bottom w:w="120" w:type="dxa"/>
              <w:left w:w="140" w:type="dxa"/>
              <w:right w:w="140" w:type="dxa"/>
            </w:tcMar>
            <w:shd w:fill="F7FAFC"/>
          </w:tcPr>
          <w:p>
            <w:r>
              <w:rPr>
                <w:rFonts w:ascii="Calibri" w:hAnsi="Calibri"/>
                <w:color w:val="1E293B"/>
                <w:sz w:val="18"/>
              </w:rPr>
              <w:t>4 (Quartic)</w:t>
            </w:r>
          </w:p>
        </w:tc>
        <w:tc>
          <w:tcPr>
            <w:tcW w:type="dxa" w:w="1728"/>
            <w:vAlign w:val="center"/>
            <w:tcMar>
              <w:top w:w="120" w:type="dxa"/>
              <w:bottom w:w="120" w:type="dxa"/>
              <w:left w:w="140" w:type="dxa"/>
              <w:right w:w="140" w:type="dxa"/>
            </w:tcMar>
            <w:shd w:fill="F7FAFC"/>
          </w:tcPr>
          <w:p>
            <w:r>
              <w:rPr>
                <w:rFonts w:ascii="Calibri" w:hAnsi="Calibri"/>
                <w:color w:val="1E293B"/>
                <w:sz w:val="18"/>
              </w:rPr>
              <w:t>3,821.14 MW</w:t>
            </w:r>
          </w:p>
        </w:tc>
        <w:tc>
          <w:tcPr>
            <w:tcW w:type="dxa" w:w="1296"/>
            <w:vAlign w:val="center"/>
            <w:tcMar>
              <w:top w:w="120" w:type="dxa"/>
              <w:bottom w:w="120" w:type="dxa"/>
              <w:left w:w="140" w:type="dxa"/>
              <w:right w:w="140" w:type="dxa"/>
            </w:tcMar>
            <w:shd w:fill="F7FAFC"/>
          </w:tcPr>
          <w:p>
            <w:r>
              <w:rPr>
                <w:rFonts w:ascii="Calibri" w:hAnsi="Calibri"/>
                <w:color w:val="1E293B"/>
                <w:sz w:val="18"/>
              </w:rPr>
              <w:t>0.3412</w:t>
            </w:r>
          </w:p>
        </w:tc>
        <w:tc>
          <w:tcPr>
            <w:tcW w:type="dxa" w:w="1728"/>
            <w:vAlign w:val="center"/>
            <w:tcMar>
              <w:top w:w="120" w:type="dxa"/>
              <w:bottom w:w="120" w:type="dxa"/>
              <w:left w:w="140" w:type="dxa"/>
              <w:right w:w="140" w:type="dxa"/>
            </w:tcMar>
            <w:shd w:fill="F7FAFC"/>
          </w:tcPr>
          <w:p>
            <w:r>
              <w:rPr>
                <w:rFonts w:ascii="Calibri" w:hAnsi="Calibri"/>
                <w:color w:val="1E293B"/>
                <w:sz w:val="18"/>
              </w:rPr>
              <w:t>4,210.85 MW</w:t>
            </w:r>
          </w:p>
        </w:tc>
        <w:tc>
          <w:tcPr>
            <w:tcW w:type="dxa" w:w="1296"/>
            <w:vAlign w:val="center"/>
            <w:tcMar>
              <w:top w:w="120" w:type="dxa"/>
              <w:bottom w:w="120" w:type="dxa"/>
              <w:left w:w="140" w:type="dxa"/>
              <w:right w:w="140" w:type="dxa"/>
            </w:tcMar>
            <w:shd w:fill="F7FAFC"/>
          </w:tcPr>
          <w:p>
            <w:r>
              <w:rPr>
                <w:rFonts w:ascii="Calibri" w:hAnsi="Calibri"/>
                <w:color w:val="1E293B"/>
                <w:sz w:val="18"/>
              </w:rPr>
              <w:t>-0.3210</w:t>
            </w:r>
          </w:p>
        </w:tc>
        <w:tc>
          <w:tcPr>
            <w:tcW w:type="dxa" w:w="2592"/>
            <w:vAlign w:val="center"/>
            <w:tcMar>
              <w:top w:w="120" w:type="dxa"/>
              <w:bottom w:w="120" w:type="dxa"/>
              <w:left w:w="140" w:type="dxa"/>
              <w:right w:w="140" w:type="dxa"/>
            </w:tcMar>
            <w:shd w:fill="F7FAFC"/>
          </w:tcPr>
          <w:p>
            <w:r>
              <w:rPr>
                <w:rFonts w:ascii="Calibri" w:hAnsi="Calibri"/>
                <w:color w:val="1E293B"/>
                <w:sz w:val="18"/>
              </w:rPr>
              <w:t>Overfitting; high variance at temperature extremes</w:t>
            </w:r>
          </w:p>
        </w:tc>
      </w:tr>
    </w:tbl>
    <w:p>
      <w:pPr>
        <w:spacing w:after="240"/>
        <w:jc w:val="center"/>
      </w:pPr>
      <w:r>
        <w:rPr>
          <w:i/>
          <w:sz w:val="17"/>
        </w:rPr>
        <w:t>Table 5.1 — Polynomial degree evaluation on temperature-demand relationship</w:t>
      </w:r>
    </w:p>
    <w:p>
      <w:r>
        <w:drawing>
          <wp:inline xmlns:a="http://schemas.openxmlformats.org/drawingml/2006/main" xmlns:pic="http://schemas.openxmlformats.org/drawingml/2006/picture">
            <wp:extent cx="5303520" cy="2892829"/>
            <wp:docPr id="6" name="Picture 6"/>
            <wp:cNvGraphicFramePr>
              <a:graphicFrameLocks noChangeAspect="1"/>
            </wp:cNvGraphicFramePr>
            <a:graphic>
              <a:graphicData uri="http://schemas.openxmlformats.org/drawingml/2006/picture">
                <pic:pic>
                  <pic:nvPicPr>
                    <pic:cNvPr id="0" name="06_polynomial_regression_curve.png"/>
                    <pic:cNvPicPr/>
                  </pic:nvPicPr>
                  <pic:blipFill>
                    <a:blip r:embed="rId16"/>
                    <a:stretch>
                      <a:fillRect/>
                    </a:stretch>
                  </pic:blipFill>
                  <pic:spPr>
                    <a:xfrm>
                      <a:off x="0" y="0"/>
                      <a:ext cx="5303520" cy="2892829"/>
                    </a:xfrm>
                    <a:prstGeom prst="rect"/>
                  </pic:spPr>
                </pic:pic>
              </a:graphicData>
            </a:graphic>
          </wp:inline>
        </w:drawing>
      </w:r>
    </w:p>
    <w:p>
      <w:pPr>
        <w:spacing w:after="240"/>
        <w:jc w:val="center"/>
      </w:pPr>
      <w:r>
        <w:rPr>
          <w:i/>
          <w:sz w:val="17"/>
        </w:rPr>
        <w:t>Figure 5.1 — Polynomial regression curve fitting (Degrees 1, 2, and 3) on Temperature-Demand data</w:t>
      </w:r>
    </w:p>
    <w:p>
      <w:pPr>
        <w:keepNext/>
        <w:spacing w:before="360" w:after="160"/>
      </w:pPr>
      <w:r>
        <w:rPr>
          <w:rFonts w:ascii="Calibri" w:hAnsi="Calibri"/>
          <w:b/>
          <w:color w:val="1B365D"/>
          <w:sz w:val="32"/>
        </w:rPr>
        <w:t>6. System Architecture</w:t>
      </w:r>
    </w:p>
    <w:p>
      <w:pPr>
        <w:spacing w:after="120" w:line="276" w:lineRule="auto"/>
      </w:pPr>
      <w:r>
        <w:rPr>
          <w:rFonts w:ascii="Calibri" w:hAnsi="Calibri"/>
          <w:color w:val="1E293B"/>
          <w:sz w:val="21"/>
        </w:rPr>
        <w:t>EnergyGrid-AI is organized as a transparent, reproducible, six-stage pipeline:</w:t>
        <w:br/>
        <w:br/>
        <w:t>DATA INGESTION → PREPROCESSING → STATISTICAL ENGINE → ML MODELS → UQ ENGINE → DASHBOARD</w:t>
        <w:br/>
        <w:br/>
        <w:t>The project architecture separates raw data, modular mathematical libraries, automated verification tests, and presentation dashboards into dedicated modules:</w:t>
        <w:br/>
        <w:t>• data/data_loader.py: Adaptive column matching and CSV loading.</w:t>
        <w:br/>
        <w:t>• src/preprocessing.py: Imputation, temporal feature engineering, and chronological train/test split.</w:t>
        <w:br/>
        <w:t>• src/continuous_analysis.py: Unbiased statistics, Gaussian PDF, and KDE density computation.</w:t>
        <w:br/>
        <w:t>• src/probability_analysis.py: Kolmogorov axiom tests, PMF/CDF, Bayes' rule, and covariance.</w:t>
        <w:br/>
        <w:t>• src/models.py: Polynomial curve fitting, multivariate linear regression, and K-Means clustering.</w:t>
        <w:br/>
        <w:t>• src/uncertainty.py: Residual quantile analysis and prediction interval construction.</w:t>
        <w:br/>
        <w:t>• src/visualizer.py: Matplotlib and Seaborn visualization generator (12 publication figures).</w:t>
        <w:br/>
        <w:t>• dashboard.py &amp; web_dashboard.py: Operator interfaces for terminal and web browsers.</w:t>
      </w:r>
    </w:p>
    <w:p>
      <w:pPr>
        <w:keepNext/>
        <w:spacing w:before="360" w:after="160"/>
      </w:pPr>
      <w:r>
        <w:rPr>
          <w:rFonts w:ascii="Calibri" w:hAnsi="Calibri"/>
          <w:b/>
          <w:color w:val="1B365D"/>
          <w:sz w:val="32"/>
        </w:rPr>
        <w:t>7. Implementation</w:t>
      </w:r>
    </w:p>
    <w:p>
      <w:pPr>
        <w:keepNext/>
        <w:spacing w:before="240" w:after="80"/>
      </w:pPr>
      <w:r>
        <w:rPr>
          <w:rFonts w:ascii="Calibri" w:hAnsi="Calibri"/>
          <w:b/>
          <w:color w:val="2C5282"/>
          <w:sz w:val="26"/>
        </w:rPr>
        <w:t>7.1 Technology Stack</w:t>
      </w:r>
    </w:p>
    <w:p>
      <w:pPr>
        <w:spacing w:after="120" w:line="276" w:lineRule="auto"/>
      </w:pPr>
      <w:r>
        <w:rPr>
          <w:rFonts w:ascii="Calibri" w:hAnsi="Calibri"/>
          <w:color w:val="1E293B"/>
          <w:sz w:val="21"/>
        </w:rPr>
        <w:t>The implementation utilizes Python 3.12, NumPy, Pandas, Scikit-learn, SciPy, Matplotlib, Seaborn, and Flask. Crucially, no deep learning frameworks (TensorFlow, PyTorch) or advanced ensemble libraries (XGBoost, CatBoost) were used. All algorithms are grounded entirely within linear algebra, classical probability, and statistical theory.</w:t>
      </w:r>
    </w:p>
    <w:p>
      <w:pPr>
        <w:keepNext/>
        <w:spacing w:before="240" w:after="80"/>
      </w:pPr>
      <w:r>
        <w:rPr>
          <w:rFonts w:ascii="Calibri" w:hAnsi="Calibri"/>
          <w:b/>
          <w:color w:val="2C5282"/>
          <w:sz w:val="26"/>
        </w:rPr>
        <w:t>7.2 Key Implementation Decisions</w:t>
      </w:r>
    </w:p>
    <w:p>
      <w:pPr>
        <w:pStyle w:val="ListBullet"/>
        <w:spacing w:after="80" w:line="276" w:lineRule="auto"/>
      </w:pPr>
      <w:r>
        <w:rPr>
          <w:rFonts w:ascii="Calibri" w:hAnsi="Calibri"/>
          <w:b/>
          <w:color w:val="0F172A"/>
          <w:sz w:val="21"/>
        </w:rPr>
        <w:t xml:space="preserve">Chronological Splitting: </w:t>
      </w:r>
      <w:r>
        <w:rPr>
          <w:rFonts w:ascii="Calibri" w:hAnsi="Calibri"/>
          <w:color w:val="1E293B"/>
          <w:sz w:val="21"/>
        </w:rPr>
        <w:t>Enforcing an 80/20 chronological split (7,008 train / 1,752 test hours) ensures zero future-to-past temporal data leakage.</w:t>
      </w:r>
    </w:p>
    <w:p>
      <w:pPr>
        <w:pStyle w:val="ListBullet"/>
        <w:spacing w:after="80" w:line="276" w:lineRule="auto"/>
      </w:pPr>
      <w:r>
        <w:rPr>
          <w:rFonts w:ascii="Calibri" w:hAnsi="Calibri"/>
          <w:b/>
          <w:color w:val="0F172A"/>
          <w:sz w:val="21"/>
        </w:rPr>
        <w:t xml:space="preserve">Harmonic Diurnal Encodings: </w:t>
      </w:r>
      <w:r>
        <w:rPr>
          <w:rFonts w:ascii="Calibri" w:hAnsi="Calibri"/>
          <w:color w:val="1E293B"/>
          <w:sz w:val="21"/>
        </w:rPr>
        <w:t>Trigonometric encoding sin(2πH/24) and cos(2πH/24) models the continuous 24-hour diurnal cycle without artificial midnight discontinuities.</w:t>
      </w:r>
    </w:p>
    <w:p>
      <w:pPr>
        <w:pStyle w:val="ListBullet"/>
        <w:spacing w:after="80" w:line="276" w:lineRule="auto"/>
      </w:pPr>
      <w:r>
        <w:rPr>
          <w:rFonts w:ascii="Calibri" w:hAnsi="Calibri"/>
          <w:b/>
          <w:color w:val="0F172A"/>
          <w:sz w:val="21"/>
        </w:rPr>
        <w:t xml:space="preserve">Dual Prediction Bounds: </w:t>
      </w:r>
      <w:r>
        <w:rPr>
          <w:rFonts w:ascii="Calibri" w:hAnsi="Calibri"/>
          <w:color w:val="1E293B"/>
          <w:sz w:val="21"/>
        </w:rPr>
        <w:t>Constructing both non-parametric empirical quantile intervals and parametric Gaussian bounds ensures robust evaluation under skewed residual distributions.</w:t>
      </w:r>
    </w:p>
    <w:p>
      <w:pPr>
        <w:keepNext/>
        <w:spacing w:before="360" w:after="160"/>
      </w:pPr>
      <w:r>
        <w:rPr>
          <w:rFonts w:ascii="Calibri" w:hAnsi="Calibri"/>
          <w:b/>
          <w:color w:val="1B365D"/>
          <w:sz w:val="32"/>
        </w:rPr>
        <w:t>8. Experiments and Results</w:t>
      </w:r>
    </w:p>
    <w:p>
      <w:pPr>
        <w:keepNext/>
        <w:spacing w:before="240" w:after="80"/>
      </w:pPr>
      <w:r>
        <w:rPr>
          <w:rFonts w:ascii="Calibri" w:hAnsi="Calibri"/>
          <w:b/>
          <w:color w:val="2C5282"/>
          <w:sz w:val="26"/>
        </w:rPr>
        <w:t>8.1 Uncertainty Quantification Results</w:t>
      </w:r>
    </w:p>
    <w:p>
      <w:pPr>
        <w:spacing w:after="120" w:line="276" w:lineRule="auto"/>
      </w:pPr>
      <w:r>
        <w:rPr>
          <w:rFonts w:ascii="Calibri" w:hAnsi="Calibri"/>
          <w:color w:val="1E293B"/>
          <w:sz w:val="21"/>
        </w:rPr>
        <w:t>Residual errors were evaluated across the 1,752 held-out test hours:</w:t>
        <w:br/>
        <w:t>• Mean Residual Bias (με): -244.08 MW (negligible relative to 25,000 MW mean load)</w:t>
        <w:br/>
        <w:t>• Residual Variance (σε²): 2,406,963.70 MW²</w:t>
        <w:br/>
        <w:t>• Residual Standard Deviation (σε): 1,551.44 MW</w:t>
        <w:br/>
        <w:t>• Error Quantiles: e0.05 = -2,760.31 MW, e0.50 = -224.66 MW, e0.95 = +2,075.07 MW</w:t>
        <w:br/>
        <w:br/>
        <w:t>Prediction Interval Performance:</w:t>
        <w:br/>
        <w:t>1. 90% Empirical Quantile Interval: Average Width = 4,835.38 MW | Empirical Coverage = 89.95% (nominal target 90.00%)</w:t>
        <w:br/>
        <w:t>2. 95% Gaussian Parametric Interval: Average Width = 6,081.64 MW | Empirical Coverage = 97.32%</w:t>
      </w:r>
    </w:p>
    <w:p>
      <w:r>
        <w:drawing>
          <wp:inline xmlns:a="http://schemas.openxmlformats.org/drawingml/2006/main" xmlns:pic="http://schemas.openxmlformats.org/drawingml/2006/picture">
            <wp:extent cx="5303520" cy="2447778"/>
            <wp:docPr id="7" name="Picture 7"/>
            <wp:cNvGraphicFramePr>
              <a:graphicFrameLocks noChangeAspect="1"/>
            </wp:cNvGraphicFramePr>
            <a:graphic>
              <a:graphicData uri="http://schemas.openxmlformats.org/drawingml/2006/picture">
                <pic:pic>
                  <pic:nvPicPr>
                    <pic:cNvPr id="0" name="12_prediction_interval_uncertainty.png"/>
                    <pic:cNvPicPr/>
                  </pic:nvPicPr>
                  <pic:blipFill>
                    <a:blip r:embed="rId17"/>
                    <a:stretch>
                      <a:fillRect/>
                    </a:stretch>
                  </pic:blipFill>
                  <pic:spPr>
                    <a:xfrm>
                      <a:off x="0" y="0"/>
                      <a:ext cx="5303520" cy="2447778"/>
                    </a:xfrm>
                    <a:prstGeom prst="rect"/>
                  </pic:spPr>
                </pic:pic>
              </a:graphicData>
            </a:graphic>
          </wp:inline>
        </w:drawing>
      </w:r>
    </w:p>
    <w:p>
      <w:pPr>
        <w:spacing w:after="240"/>
        <w:jc w:val="center"/>
      </w:pPr>
      <w:r>
        <w:rPr>
          <w:i/>
          <w:sz w:val="17"/>
        </w:rPr>
        <w:t>Figure 8.1 — Out-of-sample electricity demand forecast with 90% prediction intervals</w:t>
      </w:r>
    </w:p>
    <w:p>
      <w:pPr>
        <w:keepNext/>
        <w:spacing w:before="360" w:after="160"/>
      </w:pPr>
      <w:r>
        <w:rPr>
          <w:rFonts w:ascii="Calibri" w:hAnsi="Calibri"/>
          <w:b/>
          <w:color w:val="1B365D"/>
          <w:sz w:val="32"/>
        </w:rPr>
        <w:t>9. Dashboard</w:t>
      </w:r>
    </w:p>
    <w:p>
      <w:pPr>
        <w:spacing w:after="120" w:line="276" w:lineRule="auto"/>
      </w:pPr>
      <w:r>
        <w:rPr>
          <w:rFonts w:ascii="Calibri" w:hAnsi="Calibri"/>
          <w:color w:val="1E293B"/>
          <w:sz w:val="21"/>
        </w:rPr>
        <w:t>EnergyGrid-AI provides two distinct user interfaces for operators and academic evaluators:</w:t>
        <w:br/>
        <w:t>1. Terminal Dashboard (dashboard.py): An ANSI-colored interactive CLI menu enabling rapid inspection of statistics, axioms, model performance, and figure paths.</w:t>
        <w:br/>
        <w:t>2. Web Dashboard (web_dashboard.py): A comprehensive 8-page web application featuring live interactive sliders for Bayesian risk calculation, interactive time series zoom, parity scatter plots, K-Means cluster profiles, and a technical Viva Voce Q&amp;A module.</w:t>
      </w:r>
    </w:p>
    <w:p>
      <w:pPr>
        <w:keepNext/>
        <w:spacing w:before="360" w:after="160"/>
      </w:pPr>
      <w:r>
        <w:rPr>
          <w:rFonts w:ascii="Calibri" w:hAnsi="Calibri"/>
          <w:b/>
          <w:color w:val="1B365D"/>
          <w:sz w:val="32"/>
        </w:rPr>
        <w:t>10. Testing and Reproducibility</w:t>
      </w:r>
    </w:p>
    <w:p>
      <w:pPr>
        <w:spacing w:after="120" w:line="276" w:lineRule="auto"/>
      </w:pPr>
      <w:r>
        <w:rPr>
          <w:rFonts w:ascii="Calibri" w:hAnsi="Calibri"/>
          <w:color w:val="1E293B"/>
          <w:sz w:val="21"/>
        </w:rPr>
        <w:t>Scientific integrity was verified through systematic automated unit tests covering data loading, column adaptation, duplicate removal, missing value imputation, Kolmogorov axiom consistency, discrete PMF/CDF bounds, Bayesian posterior updates, feature-engineered regression accuracy, K-Means cluster non-emptiness, and prediction interval coverage probabilities. All tests execute in under 5 seconds, ensuring complete reproducibility across any standard Python 3.12 environment.</w:t>
      </w:r>
    </w:p>
    <w:p>
      <w:pPr>
        <w:keepNext/>
        <w:spacing w:before="360" w:after="160"/>
      </w:pPr>
      <w:r>
        <w:rPr>
          <w:rFonts w:ascii="Calibri" w:hAnsi="Calibri"/>
          <w:b/>
          <w:color w:val="1B365D"/>
          <w:sz w:val="32"/>
        </w:rPr>
        <w:t>11. Applications</w:t>
      </w:r>
    </w:p>
    <w:p>
      <w:pPr>
        <w:pStyle w:val="ListBullet"/>
        <w:spacing w:after="80" w:line="276" w:lineRule="auto"/>
      </w:pPr>
      <w:r>
        <w:rPr>
          <w:rFonts w:ascii="Calibri" w:hAnsi="Calibri"/>
          <w:b/>
          <w:color w:val="0F172A"/>
          <w:sz w:val="21"/>
        </w:rPr>
        <w:t xml:space="preserve">Transmission System Operator (TSO) Scheduling: </w:t>
      </w:r>
      <w:r>
        <w:rPr>
          <w:rFonts w:ascii="Calibri" w:hAnsi="Calibri"/>
          <w:color w:val="1E293B"/>
          <w:sz w:val="21"/>
        </w:rPr>
        <w:t>Scheduling day-ahead spinning reserves using calibrated 90% prediction intervals to prevent blackouts.</w:t>
      </w:r>
    </w:p>
    <w:p>
      <w:pPr>
        <w:pStyle w:val="ListBullet"/>
        <w:spacing w:after="80" w:line="276" w:lineRule="auto"/>
      </w:pPr>
      <w:r>
        <w:rPr>
          <w:rFonts w:ascii="Calibri" w:hAnsi="Calibri"/>
          <w:b/>
          <w:color w:val="0F172A"/>
          <w:sz w:val="21"/>
        </w:rPr>
        <w:t xml:space="preserve">Battery Energy Storage (BESS) Arbitrage: </w:t>
      </w:r>
      <w:r>
        <w:rPr>
          <w:rFonts w:ascii="Calibri" w:hAnsi="Calibri"/>
          <w:color w:val="1E293B"/>
          <w:sz w:val="21"/>
        </w:rPr>
        <w:t>Optimizing charge/discharge cycles by forecasting net load spikes and renewable generation dips.</w:t>
      </w:r>
    </w:p>
    <w:p>
      <w:pPr>
        <w:pStyle w:val="ListBullet"/>
        <w:spacing w:after="80" w:line="276" w:lineRule="auto"/>
      </w:pPr>
      <w:r>
        <w:rPr>
          <w:rFonts w:ascii="Calibri" w:hAnsi="Calibri"/>
          <w:b/>
          <w:color w:val="0F172A"/>
          <w:sz w:val="21"/>
        </w:rPr>
        <w:t xml:space="preserve">Renewable Curtailment Reduction: </w:t>
      </w:r>
      <w:r>
        <w:rPr>
          <w:rFonts w:ascii="Calibri" w:hAnsi="Calibri"/>
          <w:color w:val="1E293B"/>
          <w:sz w:val="21"/>
        </w:rPr>
        <w:t>Predicting periods where solar and wind generation exceed transmission capacity.</w:t>
      </w:r>
    </w:p>
    <w:p>
      <w:pPr>
        <w:pStyle w:val="ListBullet"/>
        <w:spacing w:after="80" w:line="276" w:lineRule="auto"/>
      </w:pPr>
      <w:r>
        <w:rPr>
          <w:rFonts w:ascii="Calibri" w:hAnsi="Calibri"/>
          <w:b/>
          <w:color w:val="0F172A"/>
          <w:sz w:val="21"/>
        </w:rPr>
        <w:t xml:space="preserve">Dynamic Time-of-Use Tariffs: </w:t>
      </w:r>
      <w:r>
        <w:rPr>
          <w:rFonts w:ascii="Calibri" w:hAnsi="Calibri"/>
          <w:color w:val="1E293B"/>
          <w:sz w:val="21"/>
        </w:rPr>
        <w:t>Adjusting hourly consumer electricity pricing to incentivize load shifting during high-demand hours.</w:t>
      </w:r>
    </w:p>
    <w:p>
      <w:pPr>
        <w:keepNext/>
        <w:spacing w:before="360" w:after="160"/>
      </w:pPr>
      <w:r>
        <w:rPr>
          <w:rFonts w:ascii="Calibri" w:hAnsi="Calibri"/>
          <w:b/>
          <w:color w:val="1B365D"/>
          <w:sz w:val="32"/>
        </w:rPr>
        <w:t>12. Limitations</w:t>
      </w:r>
    </w:p>
    <w:p>
      <w:pPr>
        <w:pStyle w:val="ListBullet"/>
        <w:spacing w:after="80" w:line="276" w:lineRule="auto"/>
      </w:pPr>
      <w:r>
        <w:rPr>
          <w:rFonts w:ascii="Calibri" w:hAnsi="Calibri"/>
          <w:b/>
          <w:color w:val="0F172A"/>
          <w:sz w:val="21"/>
        </w:rPr>
        <w:t xml:space="preserve">Linear Model Constraints: </w:t>
      </w:r>
      <w:r>
        <w:rPr>
          <w:rFonts w:ascii="Calibri" w:hAnsi="Calibri"/>
          <w:color w:val="1E293B"/>
          <w:sz w:val="21"/>
        </w:rPr>
        <w:t>Predictions are restricted to linear combinations of basis functions. Complex interactions beyond quadratic temperature terms are omitted.</w:t>
      </w:r>
    </w:p>
    <w:p>
      <w:pPr>
        <w:pStyle w:val="ListBullet"/>
        <w:spacing w:after="80" w:line="276" w:lineRule="auto"/>
      </w:pPr>
      <w:r>
        <w:rPr>
          <w:rFonts w:ascii="Calibri" w:hAnsi="Calibri"/>
          <w:b/>
          <w:color w:val="0F172A"/>
          <w:sz w:val="21"/>
        </w:rPr>
        <w:t xml:space="preserve">Static Weather Inputs: </w:t>
      </w:r>
      <w:r>
        <w:rPr>
          <w:rFonts w:ascii="Calibri" w:hAnsi="Calibri"/>
          <w:color w:val="1E293B"/>
          <w:sz w:val="21"/>
        </w:rPr>
        <w:t>The system assumes deterministic meteorological inputs. In field deployment, numerical weather prediction (NWP) uncertainty compounds forecast error.</w:t>
      </w:r>
    </w:p>
    <w:p>
      <w:pPr>
        <w:pStyle w:val="ListBullet"/>
        <w:spacing w:after="80" w:line="276" w:lineRule="auto"/>
      </w:pPr>
      <w:r>
        <w:rPr>
          <w:rFonts w:ascii="Calibri" w:hAnsi="Calibri"/>
          <w:b/>
          <w:color w:val="0F172A"/>
          <w:sz w:val="21"/>
        </w:rPr>
        <w:t xml:space="preserve">Single-Year Horizon: </w:t>
      </w:r>
      <w:r>
        <w:rPr>
          <w:rFonts w:ascii="Calibri" w:hAnsi="Calibri"/>
          <w:color w:val="1E293B"/>
          <w:sz w:val="21"/>
        </w:rPr>
        <w:t>Trained on 8,760 hours of a single calendar year (2023). Multi-year climate shifts and macro-economic demand growth require retraining.</w:t>
      </w:r>
    </w:p>
    <w:p>
      <w:pPr>
        <w:pStyle w:val="ListBullet"/>
        <w:spacing w:after="80" w:line="276" w:lineRule="auto"/>
      </w:pPr>
      <w:r>
        <w:rPr>
          <w:rFonts w:ascii="Calibri" w:hAnsi="Calibri"/>
          <w:b/>
          <w:color w:val="0F172A"/>
          <w:sz w:val="21"/>
        </w:rPr>
        <w:t xml:space="preserve">Educational Safety Disclaimer: </w:t>
      </w:r>
      <w:r>
        <w:rPr>
          <w:rFonts w:ascii="Calibri" w:hAnsi="Calibri"/>
          <w:color w:val="1E293B"/>
          <w:sz w:val="21"/>
        </w:rPr>
        <w:t>This is an academic research project developed for B.Tech Machine Learning (Unit 1) and is not certified for direct automated dispatch of physical utility assets.</w:t>
      </w:r>
    </w:p>
    <w:p>
      <w:pPr>
        <w:keepNext/>
        <w:spacing w:before="360" w:after="160"/>
      </w:pPr>
      <w:r>
        <w:rPr>
          <w:rFonts w:ascii="Calibri" w:hAnsi="Calibri"/>
          <w:b/>
          <w:color w:val="1B365D"/>
          <w:sz w:val="32"/>
        </w:rPr>
        <w:t>13. Future Scope</w:t>
      </w:r>
    </w:p>
    <w:p>
      <w:pPr>
        <w:pStyle w:val="ListBullet"/>
        <w:spacing w:after="80" w:line="276" w:lineRule="auto"/>
      </w:pPr>
      <w:r>
        <w:rPr>
          <w:rFonts w:ascii="Calibri" w:hAnsi="Calibri"/>
          <w:b/>
          <w:color w:val="0F172A"/>
          <w:sz w:val="21"/>
        </w:rPr>
        <w:t xml:space="preserve">Autoregressive Lags (Unit 2): </w:t>
      </w:r>
      <w:r>
        <w:rPr>
          <w:rFonts w:ascii="Calibri" w:hAnsi="Calibri"/>
          <w:color w:val="1E293B"/>
          <w:sz w:val="21"/>
        </w:rPr>
        <w:t>Incorporating previous-hour demand observations (Dt-1, Dt-24) to capture short-term persistence.</w:t>
      </w:r>
    </w:p>
    <w:p>
      <w:pPr>
        <w:pStyle w:val="ListBullet"/>
        <w:spacing w:after="80" w:line="276" w:lineRule="auto"/>
      </w:pPr>
      <w:r>
        <w:rPr>
          <w:rFonts w:ascii="Calibri" w:hAnsi="Calibri"/>
          <w:b/>
          <w:color w:val="0F172A"/>
          <w:sz w:val="21"/>
        </w:rPr>
        <w:t xml:space="preserve">Regularization Techniques: </w:t>
      </w:r>
      <w:r>
        <w:rPr>
          <w:rFonts w:ascii="Calibri" w:hAnsi="Calibri"/>
          <w:color w:val="1E293B"/>
          <w:sz w:val="21"/>
        </w:rPr>
        <w:t>Applying Ridge (L2) and Lasso (L1) regression to prevent overfitting when expanding to higher polynomial degrees.</w:t>
      </w:r>
    </w:p>
    <w:p>
      <w:pPr>
        <w:pStyle w:val="ListBullet"/>
        <w:spacing w:after="80" w:line="276" w:lineRule="auto"/>
      </w:pPr>
      <w:r>
        <w:rPr>
          <w:rFonts w:ascii="Calibri" w:hAnsi="Calibri"/>
          <w:b/>
          <w:color w:val="0F172A"/>
          <w:sz w:val="21"/>
        </w:rPr>
        <w:t xml:space="preserve">Bayesian Linear Regression: </w:t>
      </w:r>
      <w:r>
        <w:rPr>
          <w:rFonts w:ascii="Calibri" w:hAnsi="Calibri"/>
          <w:color w:val="1E293B"/>
          <w:sz w:val="21"/>
        </w:rPr>
        <w:t>Inferring analytical posterior distributions over model weights p(w|D) rather than empirical residual quantiles.</w:t>
      </w:r>
    </w:p>
    <w:p>
      <w:pPr>
        <w:pStyle w:val="ListBullet"/>
        <w:spacing w:after="80" w:line="276" w:lineRule="auto"/>
      </w:pPr>
      <w:r>
        <w:rPr>
          <w:rFonts w:ascii="Calibri" w:hAnsi="Calibri"/>
          <w:b/>
          <w:color w:val="0F172A"/>
          <w:sz w:val="21"/>
        </w:rPr>
        <w:t xml:space="preserve">Dynamic Quantile Regression: </w:t>
      </w:r>
      <w:r>
        <w:rPr>
          <w:rFonts w:ascii="Calibri" w:hAnsi="Calibri"/>
          <w:color w:val="1E293B"/>
          <w:sz w:val="21"/>
        </w:rPr>
        <w:t>Training pinball loss quantile models to produce heteroscedastic prediction intervals that adapt to extreme weather.</w:t>
      </w:r>
    </w:p>
    <w:p>
      <w:pPr>
        <w:keepNext/>
        <w:spacing w:before="360" w:after="160"/>
      </w:pPr>
      <w:r>
        <w:rPr>
          <w:rFonts w:ascii="Calibri" w:hAnsi="Calibri"/>
          <w:b/>
          <w:color w:val="1B365D"/>
          <w:sz w:val="32"/>
        </w:rPr>
        <w:t>14. Conclusion</w:t>
      </w:r>
    </w:p>
    <w:p>
      <w:pPr>
        <w:spacing w:after="120" w:line="276" w:lineRule="auto"/>
      </w:pPr>
      <w:r>
        <w:rPr>
          <w:rFonts w:ascii="Calibri" w:hAnsi="Calibri"/>
          <w:color w:val="1E293B"/>
          <w:sz w:val="21"/>
        </w:rPr>
        <w:t>EnergyGrid-AI demonstrates that an accurate, interpretable, and production-grade energy grid forecasting system can be constructed strictly within the boundaries of Unit 1 Machine Learning and Probability Theory. By grounding every component in mathematical rigor—from Kolmogorov addition verification to Bayesian risk updating (1.79× belief update), domain-engineered polynomial regression (R² = 0.8092, MAE = 1,332.72 MW), unsupervised K-Means regime discovery, and calibrated prediction intervals (89.95% empirical coverage)—the project bridges classical probability with the real-world operational challenges of the clean energy transition.</w:t>
      </w:r>
    </w:p>
    <w:p>
      <w:pPr>
        <w:keepNext/>
        <w:spacing w:before="360" w:after="160"/>
      </w:pPr>
      <w:r>
        <w:rPr>
          <w:rFonts w:ascii="Calibri" w:hAnsi="Calibri"/>
          <w:b/>
          <w:color w:val="1B365D"/>
          <w:sz w:val="32"/>
        </w:rPr>
        <w:t>15. References</w:t>
      </w:r>
    </w:p>
    <w:p>
      <w:pPr>
        <w:pStyle w:val="ListBullet"/>
        <w:spacing w:after="80"/>
      </w:pPr>
      <w:r>
        <w:rPr>
          <w:rFonts w:ascii="Calibri" w:hAnsi="Calibri"/>
          <w:color w:val="334155"/>
          <w:sz w:val="20"/>
        </w:rPr>
        <w:t>Bishop, C. M. (2006). Pattern Recognition and Machine Learning. Springer New York.</w:t>
      </w:r>
    </w:p>
    <w:p>
      <w:pPr>
        <w:pStyle w:val="ListBullet"/>
        <w:spacing w:after="80"/>
      </w:pPr>
      <w:r>
        <w:rPr>
          <w:rFonts w:ascii="Calibri" w:hAnsi="Calibri"/>
          <w:color w:val="334155"/>
          <w:sz w:val="20"/>
        </w:rPr>
        <w:t>Mitchell, T. M. (1997). Machine Learning. McGraw-Hill Education.</w:t>
      </w:r>
    </w:p>
    <w:p>
      <w:pPr>
        <w:pStyle w:val="ListBullet"/>
        <w:spacing w:after="80"/>
      </w:pPr>
      <w:r>
        <w:rPr>
          <w:rFonts w:ascii="Calibri" w:hAnsi="Calibri"/>
          <w:color w:val="334155"/>
          <w:sz w:val="20"/>
        </w:rPr>
        <w:t>Kolmogorov, A. N. (1956). Foundations of the Theory of Probability. Chelsea Publishing Company.</w:t>
      </w:r>
    </w:p>
    <w:p>
      <w:pPr>
        <w:pStyle w:val="ListBullet"/>
        <w:spacing w:after="80"/>
      </w:pPr>
      <w:r>
        <w:rPr>
          <w:rFonts w:ascii="Calibri" w:hAnsi="Calibri"/>
          <w:color w:val="334155"/>
          <w:sz w:val="20"/>
        </w:rPr>
        <w:t>Wood, A. J., Wollenberg, B. F., &amp; Sheblé, G. B. (2013). Power Generation, Operation, and Control. John Wiley &amp; Sons.</w:t>
      </w:r>
    </w:p>
    <w:p>
      <w:pPr>
        <w:pStyle w:val="ListBullet"/>
        <w:spacing w:after="80"/>
      </w:pPr>
      <w:r>
        <w:rPr>
          <w:rFonts w:ascii="Calibri" w:hAnsi="Calibri"/>
          <w:color w:val="334155"/>
          <w:sz w:val="20"/>
        </w:rPr>
        <w:t>Hastie, T., Tibshirani, R., &amp; Friedman, J. (2009). The Elements of Statistical Learning: Data Mining, Inference, and Prediction. Springer.</w:t>
      </w:r>
    </w:p>
    <w:p>
      <w:pPr>
        <w:pStyle w:val="ListBullet"/>
        <w:spacing w:after="80"/>
      </w:pPr>
      <w:r>
        <w:rPr>
          <w:rFonts w:ascii="Calibri" w:hAnsi="Calibri"/>
          <w:color w:val="334155"/>
          <w:sz w:val="20"/>
        </w:rPr>
        <w:t>Open Power System Data (2020). Data Package Time series. https://doi.org/10.25832/time_series/</w:t>
      </w:r>
    </w:p>
    <w:p>
      <w:r>
        <w:br w:type="page"/>
      </w:r>
    </w:p>
    <w:p>
      <w:pPr>
        <w:spacing w:after="240"/>
      </w:pPr>
      <w:r>
        <w:rPr>
          <w:rFonts w:ascii="Calibri" w:hAnsi="Calibri"/>
          <w:b/>
          <w:color w:val="0F172A"/>
          <w:sz w:val="40"/>
        </w:rPr>
        <w:t>Appendix: Final Project Outputs &amp; Experimental Results</w:t>
      </w:r>
    </w:p>
    <w:p>
      <w:pPr>
        <w:keepNext/>
        <w:spacing w:before="240" w:after="80"/>
      </w:pPr>
      <w:r>
        <w:rPr>
          <w:rFonts w:ascii="Calibri" w:hAnsi="Calibri"/>
          <w:b/>
          <w:color w:val="2C5282"/>
          <w:sz w:val="26"/>
        </w:rPr>
        <w:t>Executive Summary Metrics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vAlign w:val="center"/>
            <w:tcMar>
              <w:top w:w="120" w:type="dxa"/>
              <w:bottom w:w="120" w:type="dxa"/>
              <w:left w:w="140" w:type="dxa"/>
              <w:right w:w="140" w:type="dxa"/>
            </w:tcMar>
            <w:shd w:fill="1B365D"/>
          </w:tcPr>
          <w:p>
            <w:pPr>
              <w:jc w:val="center"/>
            </w:pPr>
            <w:r>
              <w:rPr>
                <w:rFonts w:ascii="Calibri" w:hAnsi="Calibri"/>
                <w:b/>
                <w:color w:val="FFFFFF"/>
                <w:sz w:val="19"/>
              </w:rPr>
              <w:t>Performance Metric</w:t>
            </w:r>
          </w:p>
        </w:tc>
        <w:tc>
          <w:tcPr>
            <w:tcW w:type="dxa" w:w="2592"/>
            <w:vAlign w:val="center"/>
            <w:tcMar>
              <w:top w:w="120" w:type="dxa"/>
              <w:bottom w:w="120" w:type="dxa"/>
              <w:left w:w="140" w:type="dxa"/>
              <w:right w:w="140" w:type="dxa"/>
            </w:tcMar>
            <w:shd w:fill="1B365D"/>
          </w:tcPr>
          <w:p>
            <w:pPr>
              <w:jc w:val="center"/>
            </w:pPr>
            <w:r>
              <w:rPr>
                <w:rFonts w:ascii="Calibri" w:hAnsi="Calibri"/>
                <w:b/>
                <w:color w:val="FFFFFF"/>
                <w:sz w:val="19"/>
              </w:rPr>
              <w:t>Observed Value</w:t>
            </w:r>
          </w:p>
        </w:tc>
        <w:tc>
          <w:tcPr>
            <w:tcW w:type="dxa" w:w="4032"/>
            <w:vAlign w:val="center"/>
            <w:tcMar>
              <w:top w:w="120" w:type="dxa"/>
              <w:bottom w:w="120" w:type="dxa"/>
              <w:left w:w="140" w:type="dxa"/>
              <w:right w:w="140" w:type="dxa"/>
            </w:tcMar>
            <w:shd w:fill="1B365D"/>
          </w:tcPr>
          <w:p>
            <w:pPr>
              <w:jc w:val="center"/>
            </w:pPr>
            <w:r>
              <w:rPr>
                <w:rFonts w:ascii="Calibri" w:hAnsi="Calibri"/>
                <w:b/>
                <w:color w:val="FFFFFF"/>
                <w:sz w:val="19"/>
              </w:rPr>
              <w:t>Operational Significance</w:t>
            </w:r>
          </w:p>
        </w:tc>
      </w:tr>
      <w:tr>
        <w:trPr>
          <w:cantSplit/>
        </w:trPr>
        <w:tc>
          <w:tcPr>
            <w:tcW w:type="dxa" w:w="3024"/>
            <w:vAlign w:val="center"/>
            <w:tcMar>
              <w:top w:w="120" w:type="dxa"/>
              <w:bottom w:w="120" w:type="dxa"/>
              <w:left w:w="140" w:type="dxa"/>
              <w:right w:w="140" w:type="dxa"/>
            </w:tcMar>
            <w:shd w:fill="FFFFFF"/>
          </w:tcPr>
          <w:p>
            <w:r>
              <w:rPr>
                <w:rFonts w:ascii="Calibri" w:hAnsi="Calibri"/>
                <w:color w:val="1E293B"/>
                <w:sz w:val="18"/>
              </w:rPr>
              <w:t>Total Recorded Hours</w:t>
            </w:r>
          </w:p>
        </w:tc>
        <w:tc>
          <w:tcPr>
            <w:tcW w:type="dxa" w:w="2592"/>
            <w:vAlign w:val="center"/>
            <w:tcMar>
              <w:top w:w="120" w:type="dxa"/>
              <w:bottom w:w="120" w:type="dxa"/>
              <w:left w:w="140" w:type="dxa"/>
              <w:right w:w="140" w:type="dxa"/>
            </w:tcMar>
            <w:shd w:fill="FFFFFF"/>
          </w:tcPr>
          <w:p>
            <w:r>
              <w:rPr>
                <w:rFonts w:ascii="Calibri" w:hAnsi="Calibri"/>
                <w:color w:val="1E293B"/>
                <w:sz w:val="18"/>
              </w:rPr>
              <w:t>8,760 hours</w:t>
            </w:r>
          </w:p>
        </w:tc>
        <w:tc>
          <w:tcPr>
            <w:tcW w:type="dxa" w:w="4032"/>
            <w:vAlign w:val="center"/>
            <w:tcMar>
              <w:top w:w="120" w:type="dxa"/>
              <w:bottom w:w="120" w:type="dxa"/>
              <w:left w:w="140" w:type="dxa"/>
              <w:right w:w="140" w:type="dxa"/>
            </w:tcMar>
            <w:shd w:fill="FFFFFF"/>
          </w:tcPr>
          <w:p>
            <w:r>
              <w:rPr>
                <w:rFonts w:ascii="Calibri" w:hAnsi="Calibri"/>
                <w:color w:val="1E293B"/>
                <w:sz w:val="18"/>
              </w:rPr>
              <w:t>Full 365-day chronological year (2023)</w:t>
            </w:r>
          </w:p>
        </w:tc>
      </w:tr>
      <w:tr>
        <w:trPr>
          <w:cantSplit/>
        </w:trPr>
        <w:tc>
          <w:tcPr>
            <w:tcW w:type="dxa" w:w="3024"/>
            <w:vAlign w:val="center"/>
            <w:tcMar>
              <w:top w:w="120" w:type="dxa"/>
              <w:bottom w:w="120" w:type="dxa"/>
              <w:left w:w="140" w:type="dxa"/>
              <w:right w:w="140" w:type="dxa"/>
            </w:tcMar>
            <w:shd w:fill="F7FAFC"/>
          </w:tcPr>
          <w:p>
            <w:r>
              <w:rPr>
                <w:rFonts w:ascii="Calibri" w:hAnsi="Calibri"/>
                <w:color w:val="1E293B"/>
                <w:sz w:val="18"/>
              </w:rPr>
              <w:t>Supervised Test R²</w:t>
            </w:r>
          </w:p>
        </w:tc>
        <w:tc>
          <w:tcPr>
            <w:tcW w:type="dxa" w:w="2592"/>
            <w:vAlign w:val="center"/>
            <w:tcMar>
              <w:top w:w="120" w:type="dxa"/>
              <w:bottom w:w="120" w:type="dxa"/>
              <w:left w:w="140" w:type="dxa"/>
              <w:right w:w="140" w:type="dxa"/>
            </w:tcMar>
            <w:shd w:fill="F7FAFC"/>
          </w:tcPr>
          <w:p>
            <w:r>
              <w:rPr>
                <w:rFonts w:ascii="Calibri" w:hAnsi="Calibri"/>
                <w:color w:val="1E293B"/>
                <w:sz w:val="18"/>
              </w:rPr>
              <w:t>0.8092</w:t>
            </w:r>
          </w:p>
        </w:tc>
        <w:tc>
          <w:tcPr>
            <w:tcW w:type="dxa" w:w="4032"/>
            <w:vAlign w:val="center"/>
            <w:tcMar>
              <w:top w:w="120" w:type="dxa"/>
              <w:bottom w:w="120" w:type="dxa"/>
              <w:left w:w="140" w:type="dxa"/>
              <w:right w:w="140" w:type="dxa"/>
            </w:tcMar>
            <w:shd w:fill="F7FAFC"/>
          </w:tcPr>
          <w:p>
            <w:r>
              <w:rPr>
                <w:rFonts w:ascii="Calibri" w:hAnsi="Calibri"/>
                <w:color w:val="1E293B"/>
                <w:sz w:val="18"/>
              </w:rPr>
              <w:t>Unseen test split accuracy (last 1,752 hours)</w:t>
            </w:r>
          </w:p>
        </w:tc>
      </w:tr>
      <w:tr>
        <w:trPr>
          <w:cantSplit/>
        </w:trPr>
        <w:tc>
          <w:tcPr>
            <w:tcW w:type="dxa" w:w="3024"/>
            <w:vAlign w:val="center"/>
            <w:tcMar>
              <w:top w:w="120" w:type="dxa"/>
              <w:bottom w:w="120" w:type="dxa"/>
              <w:left w:w="140" w:type="dxa"/>
              <w:right w:w="140" w:type="dxa"/>
            </w:tcMar>
            <w:shd w:fill="FFFFFF"/>
          </w:tcPr>
          <w:p>
            <w:r>
              <w:rPr>
                <w:rFonts w:ascii="Calibri" w:hAnsi="Calibri"/>
                <w:color w:val="1E293B"/>
                <w:sz w:val="18"/>
              </w:rPr>
              <w:t>Supervised Test MAE</w:t>
            </w:r>
          </w:p>
        </w:tc>
        <w:tc>
          <w:tcPr>
            <w:tcW w:type="dxa" w:w="2592"/>
            <w:vAlign w:val="center"/>
            <w:tcMar>
              <w:top w:w="120" w:type="dxa"/>
              <w:bottom w:w="120" w:type="dxa"/>
              <w:left w:w="140" w:type="dxa"/>
              <w:right w:w="140" w:type="dxa"/>
            </w:tcMar>
            <w:shd w:fill="FFFFFF"/>
          </w:tcPr>
          <w:p>
            <w:r>
              <w:rPr>
                <w:rFonts w:ascii="Calibri" w:hAnsi="Calibri"/>
                <w:color w:val="1E293B"/>
                <w:sz w:val="18"/>
              </w:rPr>
              <w:t>1,332.72 MW</w:t>
            </w:r>
          </w:p>
        </w:tc>
        <w:tc>
          <w:tcPr>
            <w:tcW w:type="dxa" w:w="4032"/>
            <w:vAlign w:val="center"/>
            <w:tcMar>
              <w:top w:w="120" w:type="dxa"/>
              <w:bottom w:w="120" w:type="dxa"/>
              <w:left w:w="140" w:type="dxa"/>
              <w:right w:w="140" w:type="dxa"/>
            </w:tcMar>
            <w:shd w:fill="FFFFFF"/>
          </w:tcPr>
          <w:p>
            <w:r>
              <w:rPr>
                <w:rFonts w:ascii="Calibri" w:hAnsi="Calibri"/>
                <w:color w:val="1E293B"/>
                <w:sz w:val="18"/>
              </w:rPr>
              <w:t>Mean Absolute Error on test data</w:t>
            </w:r>
          </w:p>
        </w:tc>
      </w:tr>
      <w:tr>
        <w:trPr>
          <w:cantSplit/>
        </w:trPr>
        <w:tc>
          <w:tcPr>
            <w:tcW w:type="dxa" w:w="3024"/>
            <w:vAlign w:val="center"/>
            <w:tcMar>
              <w:top w:w="120" w:type="dxa"/>
              <w:bottom w:w="120" w:type="dxa"/>
              <w:left w:w="140" w:type="dxa"/>
              <w:right w:w="140" w:type="dxa"/>
            </w:tcMar>
            <w:shd w:fill="F7FAFC"/>
          </w:tcPr>
          <w:p>
            <w:r>
              <w:rPr>
                <w:rFonts w:ascii="Calibri" w:hAnsi="Calibri"/>
                <w:color w:val="1E293B"/>
                <w:sz w:val="18"/>
              </w:rPr>
              <w:t>Supervised Test RMSE</w:t>
            </w:r>
          </w:p>
        </w:tc>
        <w:tc>
          <w:tcPr>
            <w:tcW w:type="dxa" w:w="2592"/>
            <w:vAlign w:val="center"/>
            <w:tcMar>
              <w:top w:w="120" w:type="dxa"/>
              <w:bottom w:w="120" w:type="dxa"/>
              <w:left w:w="140" w:type="dxa"/>
              <w:right w:w="140" w:type="dxa"/>
            </w:tcMar>
            <w:shd w:fill="F7FAFC"/>
          </w:tcPr>
          <w:p>
            <w:r>
              <w:rPr>
                <w:rFonts w:ascii="Calibri" w:hAnsi="Calibri"/>
                <w:color w:val="1E293B"/>
                <w:sz w:val="18"/>
              </w:rPr>
              <w:t>1,570.08 MW</w:t>
            </w:r>
          </w:p>
        </w:tc>
        <w:tc>
          <w:tcPr>
            <w:tcW w:type="dxa" w:w="4032"/>
            <w:vAlign w:val="center"/>
            <w:tcMar>
              <w:top w:w="120" w:type="dxa"/>
              <w:bottom w:w="120" w:type="dxa"/>
              <w:left w:w="140" w:type="dxa"/>
              <w:right w:w="140" w:type="dxa"/>
            </w:tcMar>
            <w:shd w:fill="F7FAFC"/>
          </w:tcPr>
          <w:p>
            <w:r>
              <w:rPr>
                <w:rFonts w:ascii="Calibri" w:hAnsi="Calibri"/>
                <w:color w:val="1E293B"/>
                <w:sz w:val="18"/>
              </w:rPr>
              <w:t>Root Mean Squared Error on test data</w:t>
            </w:r>
          </w:p>
        </w:tc>
      </w:tr>
      <w:tr>
        <w:trPr>
          <w:cantSplit/>
        </w:trPr>
        <w:tc>
          <w:tcPr>
            <w:tcW w:type="dxa" w:w="3024"/>
            <w:vAlign w:val="center"/>
            <w:tcMar>
              <w:top w:w="120" w:type="dxa"/>
              <w:bottom w:w="120" w:type="dxa"/>
              <w:left w:w="140" w:type="dxa"/>
              <w:right w:w="140" w:type="dxa"/>
            </w:tcMar>
            <w:shd w:fill="FFFFFF"/>
          </w:tcPr>
          <w:p>
            <w:r>
              <w:rPr>
                <w:rFonts w:ascii="Calibri" w:hAnsi="Calibri"/>
                <w:color w:val="1E293B"/>
                <w:sz w:val="18"/>
              </w:rPr>
              <w:t>Baseline Test R²</w:t>
            </w:r>
          </w:p>
        </w:tc>
        <w:tc>
          <w:tcPr>
            <w:tcW w:type="dxa" w:w="2592"/>
            <w:vAlign w:val="center"/>
            <w:tcMar>
              <w:top w:w="120" w:type="dxa"/>
              <w:bottom w:w="120" w:type="dxa"/>
              <w:left w:w="140" w:type="dxa"/>
              <w:right w:w="140" w:type="dxa"/>
            </w:tcMar>
            <w:shd w:fill="FFFFFF"/>
          </w:tcPr>
          <w:p>
            <w:r>
              <w:rPr>
                <w:rFonts w:ascii="Calibri" w:hAnsi="Calibri"/>
                <w:color w:val="1E293B"/>
                <w:sz w:val="18"/>
              </w:rPr>
              <w:t>-0.5717</w:t>
            </w:r>
          </w:p>
        </w:tc>
        <w:tc>
          <w:tcPr>
            <w:tcW w:type="dxa" w:w="4032"/>
            <w:vAlign w:val="center"/>
            <w:tcMar>
              <w:top w:w="120" w:type="dxa"/>
              <w:bottom w:w="120" w:type="dxa"/>
              <w:left w:w="140" w:type="dxa"/>
              <w:right w:w="140" w:type="dxa"/>
            </w:tcMar>
            <w:shd w:fill="FFFFFF"/>
          </w:tcPr>
          <w:p>
            <w:r>
              <w:rPr>
                <w:rFonts w:ascii="Calibri" w:hAnsi="Calibri"/>
                <w:color w:val="1E293B"/>
                <w:sz w:val="18"/>
              </w:rPr>
              <w:t>Raw linear regression without feature engineering</w:t>
            </w:r>
          </w:p>
        </w:tc>
      </w:tr>
      <w:tr>
        <w:trPr>
          <w:cantSplit/>
        </w:trPr>
        <w:tc>
          <w:tcPr>
            <w:tcW w:type="dxa" w:w="3024"/>
            <w:vAlign w:val="center"/>
            <w:tcMar>
              <w:top w:w="120" w:type="dxa"/>
              <w:bottom w:w="120" w:type="dxa"/>
              <w:left w:w="140" w:type="dxa"/>
              <w:right w:w="140" w:type="dxa"/>
            </w:tcMar>
            <w:shd w:fill="F7FAFC"/>
          </w:tcPr>
          <w:p>
            <w:r>
              <w:rPr>
                <w:rFonts w:ascii="Calibri" w:hAnsi="Calibri"/>
                <w:color w:val="1E293B"/>
                <w:sz w:val="18"/>
              </w:rPr>
              <w:t>90% Interval Coverage</w:t>
            </w:r>
          </w:p>
        </w:tc>
        <w:tc>
          <w:tcPr>
            <w:tcW w:type="dxa" w:w="2592"/>
            <w:vAlign w:val="center"/>
            <w:tcMar>
              <w:top w:w="120" w:type="dxa"/>
              <w:bottom w:w="120" w:type="dxa"/>
              <w:left w:w="140" w:type="dxa"/>
              <w:right w:w="140" w:type="dxa"/>
            </w:tcMar>
            <w:shd w:fill="F7FAFC"/>
          </w:tcPr>
          <w:p>
            <w:r>
              <w:rPr>
                <w:rFonts w:ascii="Calibri" w:hAnsi="Calibri"/>
                <w:color w:val="1E293B"/>
                <w:sz w:val="18"/>
              </w:rPr>
              <w:t>89.95%</w:t>
            </w:r>
          </w:p>
        </w:tc>
        <w:tc>
          <w:tcPr>
            <w:tcW w:type="dxa" w:w="4032"/>
            <w:vAlign w:val="center"/>
            <w:tcMar>
              <w:top w:w="120" w:type="dxa"/>
              <w:bottom w:w="120" w:type="dxa"/>
              <w:left w:w="140" w:type="dxa"/>
              <w:right w:w="140" w:type="dxa"/>
            </w:tcMar>
            <w:shd w:fill="F7FAFC"/>
          </w:tcPr>
          <w:p>
            <w:r>
              <w:rPr>
                <w:rFonts w:ascii="Calibri" w:hAnsi="Calibri"/>
                <w:color w:val="1E293B"/>
                <w:sz w:val="18"/>
              </w:rPr>
              <w:t>Matches nominal 90.00% confidence target</w:t>
            </w:r>
          </w:p>
        </w:tc>
      </w:tr>
      <w:tr>
        <w:trPr>
          <w:cantSplit/>
        </w:trPr>
        <w:tc>
          <w:tcPr>
            <w:tcW w:type="dxa" w:w="3024"/>
            <w:vAlign w:val="center"/>
            <w:tcMar>
              <w:top w:w="120" w:type="dxa"/>
              <w:bottom w:w="120" w:type="dxa"/>
              <w:left w:w="140" w:type="dxa"/>
              <w:right w:w="140" w:type="dxa"/>
            </w:tcMar>
            <w:shd w:fill="FFFFFF"/>
          </w:tcPr>
          <w:p>
            <w:r>
              <w:rPr>
                <w:rFonts w:ascii="Calibri" w:hAnsi="Calibri"/>
                <w:color w:val="1E293B"/>
                <w:sz w:val="18"/>
              </w:rPr>
              <w:t>Bayesian Risk Update</w:t>
            </w:r>
          </w:p>
        </w:tc>
        <w:tc>
          <w:tcPr>
            <w:tcW w:type="dxa" w:w="2592"/>
            <w:vAlign w:val="center"/>
            <w:tcMar>
              <w:top w:w="120" w:type="dxa"/>
              <w:bottom w:w="120" w:type="dxa"/>
              <w:left w:w="140" w:type="dxa"/>
              <w:right w:w="140" w:type="dxa"/>
            </w:tcMar>
            <w:shd w:fill="FFFFFF"/>
          </w:tcPr>
          <w:p>
            <w:r>
              <w:rPr>
                <w:rFonts w:ascii="Calibri" w:hAnsi="Calibri"/>
                <w:color w:val="1E293B"/>
                <w:sz w:val="18"/>
              </w:rPr>
              <w:t>1.79×</w:t>
            </w:r>
          </w:p>
        </w:tc>
        <w:tc>
          <w:tcPr>
            <w:tcW w:type="dxa" w:w="4032"/>
            <w:vAlign w:val="center"/>
            <w:tcMar>
              <w:top w:w="120" w:type="dxa"/>
              <w:bottom w:w="120" w:type="dxa"/>
              <w:left w:w="140" w:type="dxa"/>
              <w:right w:w="140" w:type="dxa"/>
            </w:tcMar>
            <w:shd w:fill="FFFFFF"/>
          </w:tcPr>
          <w:p>
            <w:r>
              <w:rPr>
                <w:rFonts w:ascii="Calibri" w:hAnsi="Calibri"/>
                <w:color w:val="1E293B"/>
                <w:sz w:val="18"/>
              </w:rPr>
              <w:t>Posterior belief multiplier under high temperature</w:t>
            </w:r>
          </w:p>
        </w:tc>
      </w:tr>
      <w:tr>
        <w:trPr>
          <w:cantSplit/>
        </w:trPr>
        <w:tc>
          <w:tcPr>
            <w:tcW w:type="dxa" w:w="3024"/>
            <w:vAlign w:val="center"/>
            <w:tcMar>
              <w:top w:w="120" w:type="dxa"/>
              <w:bottom w:w="120" w:type="dxa"/>
              <w:left w:w="140" w:type="dxa"/>
              <w:right w:w="140" w:type="dxa"/>
            </w:tcMar>
            <w:shd w:fill="F7FAFC"/>
          </w:tcPr>
          <w:p>
            <w:r>
              <w:rPr>
                <w:rFonts w:ascii="Calibri" w:hAnsi="Calibri"/>
                <w:color w:val="1E293B"/>
                <w:sz w:val="18"/>
              </w:rPr>
              <w:t>Discovered Regimes</w:t>
            </w:r>
          </w:p>
        </w:tc>
        <w:tc>
          <w:tcPr>
            <w:tcW w:type="dxa" w:w="2592"/>
            <w:vAlign w:val="center"/>
            <w:tcMar>
              <w:top w:w="120" w:type="dxa"/>
              <w:bottom w:w="120" w:type="dxa"/>
              <w:left w:w="140" w:type="dxa"/>
              <w:right w:w="140" w:type="dxa"/>
            </w:tcMar>
            <w:shd w:fill="F7FAFC"/>
          </w:tcPr>
          <w:p>
            <w:r>
              <w:rPr>
                <w:rFonts w:ascii="Calibri" w:hAnsi="Calibri"/>
                <w:color w:val="1E293B"/>
                <w:sz w:val="18"/>
              </w:rPr>
              <w:t>4 Clusters</w:t>
            </w:r>
          </w:p>
        </w:tc>
        <w:tc>
          <w:tcPr>
            <w:tcW w:type="dxa" w:w="4032"/>
            <w:vAlign w:val="center"/>
            <w:tcMar>
              <w:top w:w="120" w:type="dxa"/>
              <w:bottom w:w="120" w:type="dxa"/>
              <w:left w:w="140" w:type="dxa"/>
              <w:right w:w="140" w:type="dxa"/>
            </w:tcMar>
            <w:shd w:fill="F7FAFC"/>
          </w:tcPr>
          <w:p>
            <w:r>
              <w:rPr>
                <w:rFonts w:ascii="Calibri" w:hAnsi="Calibri"/>
                <w:color w:val="1E293B"/>
                <w:sz w:val="18"/>
              </w:rPr>
              <w:t>K-Means unsupervised operational grid regimes</w:t>
            </w:r>
          </w:p>
        </w:tc>
      </w:tr>
      <w:tr>
        <w:trPr>
          <w:cantSplit/>
        </w:trPr>
        <w:tc>
          <w:tcPr>
            <w:tcW w:type="dxa" w:w="3024"/>
            <w:vAlign w:val="center"/>
            <w:tcMar>
              <w:top w:w="120" w:type="dxa"/>
              <w:bottom w:w="120" w:type="dxa"/>
              <w:left w:w="140" w:type="dxa"/>
              <w:right w:w="140" w:type="dxa"/>
            </w:tcMar>
            <w:shd w:fill="FFFFFF"/>
          </w:tcPr>
          <w:p>
            <w:r>
              <w:rPr>
                <w:rFonts w:ascii="Calibri" w:hAnsi="Calibri"/>
                <w:color w:val="1E293B"/>
                <w:sz w:val="18"/>
              </w:rPr>
              <w:t>Axiom Discrepancy</w:t>
            </w:r>
          </w:p>
        </w:tc>
        <w:tc>
          <w:tcPr>
            <w:tcW w:type="dxa" w:w="2592"/>
            <w:vAlign w:val="center"/>
            <w:tcMar>
              <w:top w:w="120" w:type="dxa"/>
              <w:bottom w:w="120" w:type="dxa"/>
              <w:left w:w="140" w:type="dxa"/>
              <w:right w:w="140" w:type="dxa"/>
            </w:tcMar>
            <w:shd w:fill="FFFFFF"/>
          </w:tcPr>
          <w:p>
            <w:r>
              <w:rPr>
                <w:rFonts w:ascii="Calibri" w:hAnsi="Calibri"/>
                <w:color w:val="1E293B"/>
                <w:sz w:val="18"/>
              </w:rPr>
              <w:t>0.000000</w:t>
            </w:r>
          </w:p>
        </w:tc>
        <w:tc>
          <w:tcPr>
            <w:tcW w:type="dxa" w:w="4032"/>
            <w:vAlign w:val="center"/>
            <w:tcMar>
              <w:top w:w="120" w:type="dxa"/>
              <w:bottom w:w="120" w:type="dxa"/>
              <w:left w:w="140" w:type="dxa"/>
              <w:right w:w="140" w:type="dxa"/>
            </w:tcMar>
            <w:shd w:fill="FFFFFF"/>
          </w:tcPr>
          <w:p>
            <w:r>
              <w:rPr>
                <w:rFonts w:ascii="Calibri" w:hAnsi="Calibri"/>
                <w:color w:val="1E293B"/>
                <w:sz w:val="18"/>
              </w:rPr>
              <w:t>Kolmogorov addition theorem exact verification</w:t>
            </w:r>
          </w:p>
        </w:tc>
      </w:tr>
      <w:tr>
        <w:trPr>
          <w:cantSplit/>
        </w:trPr>
        <w:tc>
          <w:tcPr>
            <w:tcW w:type="dxa" w:w="3024"/>
            <w:vAlign w:val="center"/>
            <w:tcMar>
              <w:top w:w="120" w:type="dxa"/>
              <w:bottom w:w="120" w:type="dxa"/>
              <w:left w:w="140" w:type="dxa"/>
              <w:right w:w="140" w:type="dxa"/>
            </w:tcMar>
            <w:shd w:fill="F7FAFC"/>
          </w:tcPr>
          <w:p>
            <w:r>
              <w:rPr>
                <w:rFonts w:ascii="Calibri" w:hAnsi="Calibri"/>
                <w:color w:val="1E293B"/>
                <w:sz w:val="18"/>
              </w:rPr>
              <w:t>Operator Dashboards</w:t>
            </w:r>
          </w:p>
        </w:tc>
        <w:tc>
          <w:tcPr>
            <w:tcW w:type="dxa" w:w="2592"/>
            <w:vAlign w:val="center"/>
            <w:tcMar>
              <w:top w:w="120" w:type="dxa"/>
              <w:bottom w:w="120" w:type="dxa"/>
              <w:left w:w="140" w:type="dxa"/>
              <w:right w:w="140" w:type="dxa"/>
            </w:tcMar>
            <w:shd w:fill="F7FAFC"/>
          </w:tcPr>
          <w:p>
            <w:r>
              <w:rPr>
                <w:rFonts w:ascii="Calibri" w:hAnsi="Calibri"/>
                <w:color w:val="1E293B"/>
                <w:sz w:val="18"/>
              </w:rPr>
              <w:t>8 Web / 7 Terminal</w:t>
            </w:r>
          </w:p>
        </w:tc>
        <w:tc>
          <w:tcPr>
            <w:tcW w:type="dxa" w:w="4032"/>
            <w:vAlign w:val="center"/>
            <w:tcMar>
              <w:top w:w="120" w:type="dxa"/>
              <w:bottom w:w="120" w:type="dxa"/>
              <w:left w:w="140" w:type="dxa"/>
              <w:right w:w="140" w:type="dxa"/>
            </w:tcMar>
            <w:shd w:fill="F7FAFC"/>
          </w:tcPr>
          <w:p>
            <w:r>
              <w:rPr>
                <w:rFonts w:ascii="Calibri" w:hAnsi="Calibri"/>
                <w:color w:val="1E293B"/>
                <w:sz w:val="18"/>
              </w:rPr>
              <w:t>Full-stack decision support interfaces</w:t>
            </w:r>
          </w:p>
        </w:tc>
      </w:tr>
    </w:tbl>
    <w:p>
      <w:pPr>
        <w:keepNext/>
        <w:spacing w:before="240" w:after="80"/>
      </w:pPr>
      <w:r>
        <w:rPr>
          <w:rFonts w:ascii="Calibri" w:hAnsi="Calibri"/>
          <w:b/>
          <w:color w:val="2C5282"/>
          <w:sz w:val="26"/>
        </w:rPr>
        <w:t>Final Research Conclusion</w:t>
      </w:r>
    </w:p>
    <w:p>
      <w:pPr>
        <w:spacing w:after="120" w:line="276" w:lineRule="auto"/>
      </w:pPr>
      <w:r>
        <w:rPr>
          <w:rFonts w:ascii="Calibri" w:hAnsi="Calibri"/>
          <w:color w:val="1E293B"/>
          <w:sz w:val="21"/>
        </w:rPr>
        <w:t>The implemented statistical, probabilistic, supervised, unsupervised, and uncertainty quantification components consistently identify genuine physical electrical load structures, while maintaining documented operational limits and safety disclaimers.</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EnergyGrid-AI — Unit 1 Research Report | B.Tech CSE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94A3B8"/>
        <w:sz w:val="17"/>
      </w:rPr>
      <w:t>ENERGYGRID-AI: Probabilistic Demand &amp; Renewable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