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18AA5">
      <w:pPr>
        <w:rPr>
          <w:rFonts w:hint="eastAsia" w:eastAsia="宋体"/>
          <w:lang w:val="en-US" w:eastAsia="zh-CN"/>
        </w:rPr>
      </w:pPr>
    </w:p>
    <w:p w14:paraId="779E871E">
      <w:pPr>
        <w:jc w:val="center"/>
      </w:pPr>
      <w:r>
        <w:drawing>
          <wp:inline distT="0" distB="0" distL="114300" distR="114300">
            <wp:extent cx="4810760" cy="645160"/>
            <wp:effectExtent l="0" t="0" r="889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9057A"/>
    <w:p w14:paraId="2701DE54"/>
    <w:p w14:paraId="54AF80D1">
      <w:pPr>
        <w:jc w:val="center"/>
        <w:rPr>
          <w:rFonts w:eastAsia="华文新魏"/>
          <w:sz w:val="84"/>
          <w:szCs w:val="84"/>
        </w:rPr>
      </w:pPr>
    </w:p>
    <w:p w14:paraId="2ABBD6DE">
      <w:pPr>
        <w:jc w:val="center"/>
        <w:rPr>
          <w:rFonts w:hint="eastAsia" w:eastAsia="华文新魏"/>
          <w:sz w:val="72"/>
          <w:szCs w:val="72"/>
        </w:rPr>
      </w:pPr>
      <w:r>
        <w:rPr>
          <w:rFonts w:hint="eastAsia" w:eastAsia="华文新魏"/>
          <w:sz w:val="72"/>
          <w:szCs w:val="72"/>
        </w:rPr>
        <w:t>《</w:t>
      </w:r>
      <w:r>
        <w:rPr>
          <w:rFonts w:hint="eastAsia" w:eastAsia="华文新魏"/>
          <w:sz w:val="72"/>
          <w:szCs w:val="72"/>
          <w:lang w:val="en-US" w:eastAsia="zh-CN"/>
        </w:rPr>
        <w:t>计算机通信与网络</w:t>
      </w:r>
      <w:r>
        <w:rPr>
          <w:rFonts w:hint="eastAsia" w:eastAsia="华文新魏"/>
          <w:sz w:val="72"/>
          <w:szCs w:val="72"/>
        </w:rPr>
        <w:t>》</w:t>
      </w:r>
    </w:p>
    <w:p w14:paraId="13376C43">
      <w:pPr>
        <w:jc w:val="center"/>
        <w:rPr>
          <w:rFonts w:eastAsia="华文新魏"/>
          <w:sz w:val="84"/>
          <w:szCs w:val="84"/>
        </w:rPr>
      </w:pPr>
      <w:r>
        <w:rPr>
          <w:rFonts w:hint="eastAsia" w:eastAsia="华文新魏"/>
          <w:sz w:val="84"/>
          <w:szCs w:val="84"/>
          <w:lang w:val="en-US" w:eastAsia="zh-CN"/>
        </w:rPr>
        <w:t>项目式学习</w:t>
      </w:r>
      <w:r>
        <w:rPr>
          <w:rFonts w:eastAsia="华文新魏"/>
          <w:sz w:val="84"/>
          <w:szCs w:val="84"/>
        </w:rPr>
        <w:t>报告</w:t>
      </w:r>
    </w:p>
    <w:p w14:paraId="78D387C5">
      <w:pPr>
        <w:jc w:val="center"/>
      </w:pPr>
    </w:p>
    <w:p w14:paraId="20690CAE">
      <w:pPr>
        <w:jc w:val="center"/>
      </w:pPr>
    </w:p>
    <w:p w14:paraId="46684FBE">
      <w:bookmarkStart w:id="0" w:name="_GoBack"/>
      <w:bookmarkEnd w:id="0"/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334645</wp:posOffset>
                </wp:positionV>
                <wp:extent cx="3742690" cy="2214880"/>
                <wp:effectExtent l="0" t="0" r="0" b="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2690" cy="221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1CD417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 xml:space="preserve">题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目：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基于eNSP的ICMP协议分析 </w:t>
                            </w:r>
                          </w:p>
                          <w:p w14:paraId="603D825E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组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号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06A7006B">
                            <w:pPr>
                              <w:spacing w:line="600" w:lineRule="auto"/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学    号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 xml:space="preserve">20230170004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2DD44449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姓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名：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沈瑚双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1C70DCAE">
                            <w:pPr>
                              <w:spacing w:line="600" w:lineRule="auto"/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71D2FC86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9120208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2pt;margin-top:26.35pt;height:174.4pt;width:294.7pt;mso-wrap-distance-bottom:0pt;mso-wrap-distance-top:0pt;z-index:251659264;mso-width-relative:page;mso-height-relative:page;" filled="f" stroked="f" coordsize="21600,21600" o:gfxdata="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bp/btdYAAAAKAQAADwAA&#10;AAAAAAABACAAAAAiAAAAZHJzL2Rvd25yZXYueG1sUEsBAhQAFAAAAAgAh07iQAHDptgYAgAAFgQA&#10;AA4AAAAAAAAAAQAgAAAAJQ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91CD417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 xml:space="preserve">题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目：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基于eNSP的ICMP协议分析 </w:t>
                      </w:r>
                    </w:p>
                    <w:p w14:paraId="603D825E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>组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号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06A7006B">
                      <w:pPr>
                        <w:spacing w:line="600" w:lineRule="auto"/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>学    号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  <w:lang w:val="en-US" w:eastAsia="zh-CN"/>
                        </w:rPr>
                        <w:t xml:space="preserve">20230170004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2DD44449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姓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名：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  <w:lang w:val="en-US" w:eastAsia="zh-CN"/>
                        </w:rPr>
                        <w:t>沈瑚双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1C70DCAE">
                      <w:pPr>
                        <w:spacing w:line="600" w:lineRule="auto"/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71D2FC86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59120208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                               </w:t>
      </w:r>
      <w:r>
        <w:rPr>
          <w:rFonts w:ascii="宋体" w:hAnsi="宋体"/>
          <w:szCs w:val="24"/>
        </w:rPr>
        <w:t xml:space="preserve">                      </w:t>
      </w:r>
    </w:p>
    <w:p w14:paraId="3570B4A3">
      <w:pPr>
        <w:widowControl/>
        <w:tabs>
          <w:tab w:val="center" w:pos="4153"/>
        </w:tabs>
        <w:jc w:val="center"/>
        <w:rPr>
          <w:sz w:val="28"/>
          <w:szCs w:val="28"/>
        </w:rPr>
      </w:pPr>
    </w:p>
    <w:p w14:paraId="1CBB4DA8">
      <w:pPr>
        <w:widowControl/>
        <w:tabs>
          <w:tab w:val="center" w:pos="4153"/>
        </w:tabs>
        <w:jc w:val="left"/>
        <w:rPr>
          <w:sz w:val="28"/>
          <w:szCs w:val="28"/>
        </w:rPr>
      </w:pPr>
    </w:p>
    <w:p w14:paraId="4C82F859">
      <w:pPr>
        <w:widowControl/>
        <w:tabs>
          <w:tab w:val="center" w:pos="4153"/>
        </w:tabs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ACB1EA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  <w:lang w:eastAsia="zh-CN"/>
        </w:rPr>
        <w:t>《</w:t>
      </w:r>
      <w:r>
        <w:rPr>
          <w:rFonts w:hint="eastAsia" w:eastAsia="黑体"/>
          <w:b/>
          <w:bCs/>
          <w:sz w:val="36"/>
          <w:lang w:val="en-US" w:eastAsia="zh-CN"/>
        </w:rPr>
        <w:t>计算机通信与网络</w:t>
      </w:r>
      <w:r>
        <w:rPr>
          <w:rFonts w:hint="eastAsia" w:eastAsia="黑体"/>
          <w:b/>
          <w:bCs/>
          <w:sz w:val="36"/>
          <w:lang w:eastAsia="zh-CN"/>
        </w:rPr>
        <w:t>》</w:t>
      </w:r>
      <w:r>
        <w:rPr>
          <w:rFonts w:hint="eastAsia" w:eastAsia="黑体"/>
          <w:b/>
          <w:bCs/>
          <w:sz w:val="36"/>
          <w:lang w:val="en-US" w:eastAsia="zh-CN"/>
        </w:rPr>
        <w:t>项目式学习</w:t>
      </w:r>
      <w:r>
        <w:rPr>
          <w:rFonts w:eastAsia="黑体"/>
          <w:b/>
          <w:bCs/>
          <w:sz w:val="36"/>
        </w:rPr>
        <w:t>报告评分表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451"/>
        <w:gridCol w:w="1110"/>
        <w:gridCol w:w="1979"/>
        <w:gridCol w:w="1376"/>
        <w:gridCol w:w="1505"/>
      </w:tblGrid>
      <w:tr w14:paraId="747E5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78740B7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组员序号</w:t>
            </w:r>
          </w:p>
        </w:tc>
        <w:tc>
          <w:tcPr>
            <w:tcW w:w="851" w:type="pct"/>
          </w:tcPr>
          <w:p w14:paraId="5F4989F4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学号</w:t>
            </w:r>
          </w:p>
        </w:tc>
        <w:tc>
          <w:tcPr>
            <w:tcW w:w="651" w:type="pct"/>
          </w:tcPr>
          <w:p w14:paraId="63E52C5F">
            <w:pPr>
              <w:spacing w:line="48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161" w:type="pct"/>
          </w:tcPr>
          <w:p w14:paraId="75FDDB41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分工</w:t>
            </w:r>
          </w:p>
        </w:tc>
        <w:tc>
          <w:tcPr>
            <w:tcW w:w="807" w:type="pct"/>
          </w:tcPr>
          <w:p w14:paraId="3F8A703E">
            <w:pPr>
              <w:spacing w:line="48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成绩</w:t>
            </w:r>
          </w:p>
        </w:tc>
        <w:tc>
          <w:tcPr>
            <w:tcW w:w="882" w:type="pct"/>
          </w:tcPr>
          <w:p w14:paraId="3E6371D0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462A7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1E791353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51" w:type="pct"/>
          </w:tcPr>
          <w:p w14:paraId="4D796C97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20230170004</w:t>
            </w:r>
          </w:p>
        </w:tc>
        <w:tc>
          <w:tcPr>
            <w:tcW w:w="651" w:type="pct"/>
          </w:tcPr>
          <w:p w14:paraId="129F408E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沈瑚双</w:t>
            </w:r>
          </w:p>
        </w:tc>
        <w:tc>
          <w:tcPr>
            <w:tcW w:w="1161" w:type="pct"/>
          </w:tcPr>
          <w:p w14:paraId="5C08090C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全部内容</w:t>
            </w:r>
          </w:p>
        </w:tc>
        <w:tc>
          <w:tcPr>
            <w:tcW w:w="807" w:type="pct"/>
          </w:tcPr>
          <w:p w14:paraId="77F7A42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1A032243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30A19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B638EBD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851" w:type="pct"/>
          </w:tcPr>
          <w:p w14:paraId="7041785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7AF1C7C0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6FCCAE9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147403B2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10EC2C83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930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238B561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851" w:type="pct"/>
          </w:tcPr>
          <w:p w14:paraId="79539690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4F7833A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4AC2C31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306EEC1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01CB3347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3166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661CB2E2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851" w:type="pct"/>
          </w:tcPr>
          <w:p w14:paraId="348A2ACA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1D3987B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74B8B22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34EB971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534424F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7478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60B3409A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851" w:type="pct"/>
          </w:tcPr>
          <w:p w14:paraId="51D0DE8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12FCED7A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580D832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29C317C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50537DC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DE0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23352528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851" w:type="pct"/>
          </w:tcPr>
          <w:p w14:paraId="6F96A49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5DE4591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14C4959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63A476E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396EB3EC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21B2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444BBE5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题    目</w:t>
            </w:r>
          </w:p>
        </w:tc>
        <w:tc>
          <w:tcPr>
            <w:tcW w:w="4353" w:type="pct"/>
            <w:gridSpan w:val="5"/>
            <w:vAlign w:val="center"/>
          </w:tcPr>
          <w:p w14:paraId="48E206C9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95ACC0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0BD80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570BE6E1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要    求</w:t>
            </w:r>
          </w:p>
        </w:tc>
        <w:tc>
          <w:tcPr>
            <w:tcW w:w="4353" w:type="pct"/>
            <w:gridSpan w:val="5"/>
            <w:vAlign w:val="center"/>
          </w:tcPr>
          <w:p w14:paraId="5854F9FE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1DB638A5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4BBC34F4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934312E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23929B24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8F1B772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19BB566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67372017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18C0BE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C4D495B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38EFE5B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67DD081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4EDFDC4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064CA45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</w:tbl>
    <w:p w14:paraId="4B22A40A"/>
    <w:p w14:paraId="72052E01"/>
    <w:p w14:paraId="650F7C10"/>
    <w:p w14:paraId="641BB49B"/>
    <w:p w14:paraId="31F2C210"/>
    <w:p w14:paraId="49E04CFA">
      <w:pPr>
        <w:jc w:val="center"/>
        <w:rPr>
          <w:rFonts w:hint="eastAsia" w:eastAsia="华文新魏"/>
          <w:sz w:val="48"/>
          <w:szCs w:val="48"/>
          <w:lang w:val="en-US" w:eastAsia="zh-CN"/>
        </w:rPr>
      </w:pPr>
      <w:r>
        <w:rPr>
          <w:rFonts w:hint="eastAsia" w:eastAsia="华文新魏"/>
          <w:sz w:val="48"/>
          <w:szCs w:val="48"/>
          <w:lang w:val="en-US" w:eastAsia="zh-CN"/>
        </w:rPr>
        <w:t>评分表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5929"/>
        <w:gridCol w:w="743"/>
        <w:gridCol w:w="742"/>
      </w:tblGrid>
      <w:tr w14:paraId="6D0F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3" w:hRule="atLeast"/>
        </w:trPr>
        <w:tc>
          <w:tcPr>
            <w:tcW w:w="1109" w:type="dxa"/>
            <w:vAlign w:val="center"/>
          </w:tcPr>
          <w:p w14:paraId="1E05F6DF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评价项目</w:t>
            </w:r>
          </w:p>
        </w:tc>
        <w:tc>
          <w:tcPr>
            <w:tcW w:w="5929" w:type="dxa"/>
            <w:vAlign w:val="center"/>
          </w:tcPr>
          <w:p w14:paraId="2B8D3887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评价标准</w:t>
            </w:r>
          </w:p>
        </w:tc>
        <w:tc>
          <w:tcPr>
            <w:tcW w:w="742" w:type="dxa"/>
            <w:vAlign w:val="center"/>
          </w:tcPr>
          <w:p w14:paraId="6F83B2AF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满分</w:t>
            </w:r>
          </w:p>
        </w:tc>
        <w:tc>
          <w:tcPr>
            <w:tcW w:w="742" w:type="dxa"/>
            <w:vAlign w:val="center"/>
          </w:tcPr>
          <w:p w14:paraId="01AB4C53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得分</w:t>
            </w:r>
          </w:p>
        </w:tc>
      </w:tr>
      <w:tr w14:paraId="5537F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3" w:hRule="atLeast"/>
        </w:trPr>
        <w:tc>
          <w:tcPr>
            <w:tcW w:w="650" w:type="pct"/>
            <w:vAlign w:val="center"/>
          </w:tcPr>
          <w:p w14:paraId="76004492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sz w:val="21"/>
                <w:szCs w:val="21"/>
              </w:rPr>
              <w:t>方案合理性</w:t>
            </w:r>
          </w:p>
        </w:tc>
        <w:tc>
          <w:tcPr>
            <w:tcW w:w="3478" w:type="pct"/>
            <w:vAlign w:val="center"/>
          </w:tcPr>
          <w:p w14:paraId="6D50E373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sz w:val="21"/>
                <w:szCs w:val="21"/>
              </w:rPr>
              <w:t xml:space="preserve">能够根据题目的要求，对问题进行分析，利用了一定的基础理论和科学方法来解决实际工程问题，给出了完整的解决方案，报告中理论准备充分，有充分的分析论证过程。 </w:t>
            </w:r>
          </w:p>
        </w:tc>
        <w:tc>
          <w:tcPr>
            <w:tcW w:w="435" w:type="pct"/>
            <w:vAlign w:val="center"/>
          </w:tcPr>
          <w:p w14:paraId="4AB532DF">
            <w:pPr>
              <w:spacing w:line="360" w:lineRule="auto"/>
              <w:jc w:val="center"/>
              <w:rPr>
                <w:rFonts w:ascii="宋体" w:hAnsi="宋体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25</w:t>
            </w:r>
          </w:p>
        </w:tc>
        <w:tc>
          <w:tcPr>
            <w:tcW w:w="435" w:type="pct"/>
            <w:vAlign w:val="center"/>
          </w:tcPr>
          <w:p w14:paraId="52E7FC27">
            <w:pPr>
              <w:spacing w:line="360" w:lineRule="auto"/>
              <w:jc w:val="center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021A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</w:trPr>
        <w:tc>
          <w:tcPr>
            <w:tcW w:w="650" w:type="pct"/>
            <w:vAlign w:val="center"/>
          </w:tcPr>
          <w:p w14:paraId="713A0885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结果正确性</w:t>
            </w:r>
          </w:p>
        </w:tc>
        <w:tc>
          <w:tcPr>
            <w:tcW w:w="3478" w:type="pct"/>
            <w:vAlign w:val="center"/>
          </w:tcPr>
          <w:p w14:paraId="2535F72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报告数据与分析详实、正确、可信；</w:t>
            </w:r>
          </w:p>
          <w:p w14:paraId="712061D3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设计、实验及测试数据的充分性和可靠性；</w:t>
            </w:r>
          </w:p>
          <w:p w14:paraId="54040F47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 xml:space="preserve">理论推导或建模的严密性和完整性。 </w:t>
            </w:r>
          </w:p>
        </w:tc>
        <w:tc>
          <w:tcPr>
            <w:tcW w:w="435" w:type="pct"/>
            <w:vAlign w:val="center"/>
          </w:tcPr>
          <w:p w14:paraId="748F990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25</w:t>
            </w:r>
          </w:p>
        </w:tc>
        <w:tc>
          <w:tcPr>
            <w:tcW w:w="435" w:type="pct"/>
            <w:vAlign w:val="center"/>
          </w:tcPr>
          <w:p w14:paraId="4EAB4AD4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525E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8" w:hRule="atLeast"/>
        </w:trPr>
        <w:tc>
          <w:tcPr>
            <w:tcW w:w="650" w:type="pct"/>
            <w:vAlign w:val="center"/>
          </w:tcPr>
          <w:p w14:paraId="167EF907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报告水平</w:t>
            </w:r>
          </w:p>
        </w:tc>
        <w:tc>
          <w:tcPr>
            <w:tcW w:w="3478" w:type="pct"/>
            <w:vAlign w:val="center"/>
          </w:tcPr>
          <w:p w14:paraId="5BDA1A1D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全面了解本领域的动态，并能很好地评述研究背景（文献、市场、需求等）；</w:t>
            </w:r>
          </w:p>
          <w:p w14:paraId="681279EC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报告内容涉及较为深入的基础理论知识、专业技术知识、相关学科专业知识；</w:t>
            </w:r>
          </w:p>
          <w:p w14:paraId="4681A51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具有适当的技术难度，工作量较大。</w:t>
            </w:r>
          </w:p>
        </w:tc>
        <w:tc>
          <w:tcPr>
            <w:tcW w:w="435" w:type="pct"/>
            <w:vAlign w:val="center"/>
          </w:tcPr>
          <w:p w14:paraId="421E5702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20</w:t>
            </w:r>
          </w:p>
        </w:tc>
        <w:tc>
          <w:tcPr>
            <w:tcW w:w="435" w:type="pct"/>
            <w:vAlign w:val="center"/>
          </w:tcPr>
          <w:p w14:paraId="6829C364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40877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50" w:type="pct"/>
            <w:vAlign w:val="center"/>
          </w:tcPr>
          <w:p w14:paraId="40EA6EE1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写作能力</w:t>
            </w:r>
          </w:p>
        </w:tc>
        <w:tc>
          <w:tcPr>
            <w:tcW w:w="3478" w:type="pct"/>
            <w:vAlign w:val="center"/>
          </w:tcPr>
          <w:p w14:paraId="763841F8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图表清晰，语言规范，符合实验报告要求；</w:t>
            </w:r>
          </w:p>
          <w:p w14:paraId="7773E4B8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设计、图表、软件的规范化和标准化；</w:t>
            </w:r>
          </w:p>
          <w:p w14:paraId="249798F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文字表达的专业性、通顺性和概念的准确性；</w:t>
            </w:r>
          </w:p>
          <w:p w14:paraId="67A2B43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论文构架的系统性、逻辑性和严谨性；</w:t>
            </w:r>
          </w:p>
          <w:p w14:paraId="4AEFBEB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引用文献的真实性、贴切性和规范性。</w:t>
            </w:r>
          </w:p>
        </w:tc>
        <w:tc>
          <w:tcPr>
            <w:tcW w:w="435" w:type="pct"/>
            <w:vAlign w:val="center"/>
          </w:tcPr>
          <w:p w14:paraId="3AB49871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435" w:type="pct"/>
            <w:vAlign w:val="center"/>
          </w:tcPr>
          <w:p w14:paraId="2E80F873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60888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4" w:hRule="atLeast"/>
        </w:trPr>
        <w:tc>
          <w:tcPr>
            <w:tcW w:w="650" w:type="pct"/>
            <w:vAlign w:val="center"/>
          </w:tcPr>
          <w:p w14:paraId="113AAB94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使用现代工具</w:t>
            </w:r>
          </w:p>
        </w:tc>
        <w:tc>
          <w:tcPr>
            <w:tcW w:w="3478" w:type="pct"/>
            <w:vAlign w:val="center"/>
          </w:tcPr>
          <w:p w14:paraId="60ACD7B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能够针对复杂工程问题，开发、选择与使用恰当的技术、资源、现代工程工具和信息技术工具，包括对复杂工程问题的预测与模拟，并能够理解其局限性。</w:t>
            </w:r>
          </w:p>
        </w:tc>
        <w:tc>
          <w:tcPr>
            <w:tcW w:w="435" w:type="pct"/>
            <w:vAlign w:val="center"/>
          </w:tcPr>
          <w:p w14:paraId="40CBB088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435" w:type="pct"/>
            <w:vAlign w:val="center"/>
          </w:tcPr>
          <w:p w14:paraId="738844B7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6440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4564" w:type="pct"/>
            <w:gridSpan w:val="3"/>
            <w:vAlign w:val="center"/>
          </w:tcPr>
          <w:p w14:paraId="4044B089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总   分</w:t>
            </w:r>
          </w:p>
        </w:tc>
        <w:tc>
          <w:tcPr>
            <w:tcW w:w="435" w:type="pct"/>
            <w:vAlign w:val="center"/>
          </w:tcPr>
          <w:p w14:paraId="483FB234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</w:tbl>
    <w:p w14:paraId="79454F70">
      <w:pPr>
        <w:spacing w:before="163" w:beforeLines="50" w:line="400" w:lineRule="exact"/>
        <w:rPr>
          <w:rFonts w:eastAsia="仿宋"/>
          <w:b/>
          <w:bCs/>
          <w:szCs w:val="28"/>
          <w:u w:val="single"/>
        </w:rPr>
      </w:pPr>
      <w:r>
        <w:rPr>
          <w:rFonts w:eastAsia="仿宋"/>
          <w:b/>
          <w:bCs/>
          <w:szCs w:val="28"/>
        </w:rPr>
        <w:t xml:space="preserve"> 评阅人（签字）：                       202</w:t>
      </w:r>
      <w:r>
        <w:rPr>
          <w:rFonts w:hint="eastAsia" w:eastAsia="仿宋"/>
          <w:b/>
          <w:bCs/>
          <w:szCs w:val="28"/>
          <w:lang w:val="en-US" w:eastAsia="zh-CN"/>
        </w:rPr>
        <w:t>3</w:t>
      </w:r>
      <w:r>
        <w:rPr>
          <w:rFonts w:eastAsia="仿宋"/>
          <w:b/>
          <w:bCs/>
          <w:szCs w:val="28"/>
        </w:rPr>
        <w:t>年</w:t>
      </w:r>
      <w:r>
        <w:rPr>
          <w:rFonts w:eastAsia="仿宋"/>
          <w:b/>
          <w:bCs/>
          <w:szCs w:val="28"/>
        </w:rPr>
        <w:tab/>
      </w:r>
      <w:r>
        <w:rPr>
          <w:rFonts w:eastAsia="仿宋"/>
          <w:b/>
          <w:bCs/>
          <w:szCs w:val="28"/>
        </w:rPr>
        <w:t>月</w:t>
      </w:r>
      <w:r>
        <w:rPr>
          <w:rFonts w:eastAsia="仿宋"/>
          <w:b/>
          <w:bCs/>
          <w:szCs w:val="28"/>
        </w:rPr>
        <w:tab/>
      </w:r>
      <w:r>
        <w:rPr>
          <w:rFonts w:eastAsia="仿宋"/>
          <w:b/>
          <w:bCs/>
          <w:szCs w:val="28"/>
        </w:rPr>
        <w:t xml:space="preserve">  日</w:t>
      </w:r>
    </w:p>
    <w:tbl>
      <w:tblPr>
        <w:tblStyle w:val="8"/>
        <w:tblW w:w="83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62C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8326" w:type="dxa"/>
            <w:tcBorders>
              <w:bottom w:val="single" w:color="auto" w:sz="4" w:space="0"/>
            </w:tcBorders>
          </w:tcPr>
          <w:p w14:paraId="54A92269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一、环境配置</w:t>
            </w:r>
          </w:p>
          <w:p w14:paraId="7562EDD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1. 实验设备</w:t>
            </w:r>
          </w:p>
          <w:tbl>
            <w:tblPr>
              <w:tblStyle w:val="7"/>
              <w:tblW w:w="8522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91"/>
              <w:gridCol w:w="1267"/>
              <w:gridCol w:w="3175"/>
              <w:gridCol w:w="2373"/>
            </w:tblGrid>
            <w:tr w14:paraId="720468C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W w:w="15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8B8B2F2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设备类型</w:t>
                  </w:r>
                </w:p>
              </w:tc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AB12C4D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设备名称</w:t>
                  </w:r>
                </w:p>
              </w:tc>
              <w:tc>
                <w:tcPr>
                  <w:tcW w:w="32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2F38757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接口及IP配置</w:t>
                  </w:r>
                </w:p>
              </w:tc>
              <w:tc>
                <w:tcPr>
                  <w:tcW w:w="24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A3D3FC7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连接关系</w:t>
                  </w:r>
                </w:p>
              </w:tc>
            </w:tr>
            <w:tr w14:paraId="39F10F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5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D9F522D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华为路由器</w:t>
                  </w:r>
                </w:p>
              </w:tc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B98CB45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AR1</w:t>
                  </w:r>
                </w:p>
              </w:tc>
              <w:tc>
                <w:tcPr>
                  <w:tcW w:w="32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24C1D17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GE0/0/1: 192.168.1.254/24</w:t>
                  </w:r>
                </w:p>
              </w:tc>
              <w:tc>
                <w:tcPr>
                  <w:tcW w:w="24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16ABFA2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Style w:val="17"/>
                      <w:rFonts w:ascii="微软雅黑" w:eastAsia="微软雅黑"/>
                      <w:sz w:val="22"/>
                      <w:lang w:val="en-US" w:eastAsia="zh-CN" w:bidi="ar"/>
                    </w:rPr>
                    <w:t>↔</w:t>
                  </w:r>
                  <w:r>
                    <w:rPr>
                      <w:rStyle w:val="18"/>
                      <w:rFonts w:ascii="微软雅黑" w:eastAsia="微软雅黑"/>
                      <w:sz w:val="22"/>
                      <w:lang w:val="en-US" w:eastAsia="zh-CN" w:bidi="ar"/>
                    </w:rPr>
                    <w:t xml:space="preserve"> LSW1 Port1</w:t>
                  </w:r>
                </w:p>
              </w:tc>
            </w:tr>
            <w:tr w14:paraId="3D59FD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5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DFFA99C">
                  <w:pPr>
                    <w:snapToGrid w:val="0"/>
                    <w:ind w:left="0" w:leftChars="0" w:right="0" w:rightChars="0" w:firstLine="0" w:firstLineChars="0"/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CE32BF1">
                  <w:pPr>
                    <w:snapToGrid w:val="0"/>
                    <w:ind w:left="0" w:leftChars="0" w:right="0" w:rightChars="0" w:firstLine="0" w:firstLineChars="0"/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32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01D16E0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GE0/0/0: 219.229.64.1/24</w:t>
                  </w:r>
                </w:p>
              </w:tc>
              <w:tc>
                <w:tcPr>
                  <w:tcW w:w="24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A884B2E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Style w:val="17"/>
                      <w:rFonts w:ascii="微软雅黑" w:eastAsia="微软雅黑"/>
                      <w:sz w:val="22"/>
                      <w:lang w:val="en-US" w:eastAsia="zh-CN" w:bidi="ar"/>
                    </w:rPr>
                    <w:t>↔</w:t>
                  </w:r>
                  <w:r>
                    <w:rPr>
                      <w:rStyle w:val="18"/>
                      <w:rFonts w:ascii="微软雅黑" w:eastAsia="微软雅黑"/>
                      <w:sz w:val="22"/>
                      <w:lang w:val="en-US" w:eastAsia="zh-CN" w:bidi="ar"/>
                    </w:rPr>
                    <w:t xml:space="preserve"> AR2 GE0/0/0</w:t>
                  </w:r>
                </w:p>
              </w:tc>
            </w:tr>
            <w:tr w14:paraId="425A2E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5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36A7868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华为路由器</w:t>
                  </w:r>
                </w:p>
              </w:tc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421A7AB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AR2</w:t>
                  </w:r>
                </w:p>
              </w:tc>
              <w:tc>
                <w:tcPr>
                  <w:tcW w:w="32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05093CB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GE0/0/0: 219.229.64.2/24</w:t>
                  </w:r>
                </w:p>
              </w:tc>
              <w:tc>
                <w:tcPr>
                  <w:tcW w:w="24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C838F12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Style w:val="17"/>
                      <w:rFonts w:ascii="微软雅黑" w:eastAsia="微软雅黑"/>
                      <w:sz w:val="22"/>
                      <w:lang w:val="en-US" w:eastAsia="zh-CN" w:bidi="ar"/>
                    </w:rPr>
                    <w:t>↔</w:t>
                  </w:r>
                  <w:r>
                    <w:rPr>
                      <w:rStyle w:val="18"/>
                      <w:rFonts w:ascii="微软雅黑" w:eastAsia="微软雅黑"/>
                      <w:sz w:val="22"/>
                      <w:lang w:val="en-US" w:eastAsia="zh-CN" w:bidi="ar"/>
                    </w:rPr>
                    <w:t xml:space="preserve"> AR1 GE0/0/0</w:t>
                  </w:r>
                </w:p>
              </w:tc>
            </w:tr>
            <w:tr w14:paraId="34F498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5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3B1E3A4">
                  <w:pPr>
                    <w:snapToGrid w:val="0"/>
                    <w:ind w:left="0" w:leftChars="0" w:right="0" w:rightChars="0" w:firstLine="0" w:firstLineChars="0"/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7DC6C2D">
                  <w:pPr>
                    <w:snapToGrid w:val="0"/>
                    <w:ind w:left="0" w:leftChars="0" w:right="0" w:rightChars="0" w:firstLine="0" w:firstLineChars="0"/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32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CBAA25C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GE0/0/1: 221.63.196.88/24</w:t>
                  </w:r>
                </w:p>
              </w:tc>
              <w:tc>
                <w:tcPr>
                  <w:tcW w:w="24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E25F0D8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Style w:val="17"/>
                      <w:rFonts w:ascii="微软雅黑" w:eastAsia="微软雅黑"/>
                      <w:sz w:val="22"/>
                      <w:lang w:val="en-US" w:eastAsia="zh-CN" w:bidi="ar"/>
                    </w:rPr>
                    <w:t>↔</w:t>
                  </w:r>
                  <w:r>
                    <w:rPr>
                      <w:rStyle w:val="18"/>
                      <w:rFonts w:ascii="微软雅黑" w:eastAsia="微软雅黑"/>
                      <w:sz w:val="22"/>
                      <w:lang w:val="en-US" w:eastAsia="zh-CN" w:bidi="ar"/>
                    </w:rPr>
                    <w:t xml:space="preserve"> AR3 GE0/0/0</w:t>
                  </w:r>
                </w:p>
              </w:tc>
            </w:tr>
            <w:tr w14:paraId="72A8A3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5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8EC5A69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华为路由器</w:t>
                  </w:r>
                </w:p>
              </w:tc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95C29C0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AR3</w:t>
                  </w:r>
                </w:p>
              </w:tc>
              <w:tc>
                <w:tcPr>
                  <w:tcW w:w="32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1234A09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GE0/0/0: 221.63.196.89/24</w:t>
                  </w:r>
                </w:p>
              </w:tc>
              <w:tc>
                <w:tcPr>
                  <w:tcW w:w="24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4F1CCCD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Style w:val="17"/>
                      <w:rFonts w:ascii="微软雅黑" w:eastAsia="微软雅黑"/>
                      <w:sz w:val="22"/>
                      <w:lang w:val="en-US" w:eastAsia="zh-CN" w:bidi="ar"/>
                    </w:rPr>
                    <w:t>↔</w:t>
                  </w:r>
                  <w:r>
                    <w:rPr>
                      <w:rStyle w:val="18"/>
                      <w:rFonts w:ascii="微软雅黑" w:eastAsia="微软雅黑"/>
                      <w:sz w:val="22"/>
                      <w:lang w:val="en-US" w:eastAsia="zh-CN" w:bidi="ar"/>
                    </w:rPr>
                    <w:t xml:space="preserve"> AR2 GE0/0/1</w:t>
                  </w:r>
                </w:p>
              </w:tc>
            </w:tr>
            <w:tr w14:paraId="14271F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5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909E5A7">
                  <w:pPr>
                    <w:snapToGrid w:val="0"/>
                    <w:ind w:left="0" w:leftChars="0" w:right="0" w:rightChars="0" w:firstLine="0" w:firstLineChars="0"/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4627C7B">
                  <w:pPr>
                    <w:snapToGrid w:val="0"/>
                    <w:ind w:left="0" w:leftChars="0" w:right="0" w:rightChars="0" w:firstLine="0" w:firstLineChars="0"/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32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D853905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Loopback0: 9.9.9.9/8</w:t>
                  </w:r>
                </w:p>
              </w:tc>
              <w:tc>
                <w:tcPr>
                  <w:tcW w:w="24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7C57D24">
                  <w:pPr>
                    <w:snapToGrid w:val="0"/>
                    <w:ind w:left="0" w:leftChars="0" w:right="0" w:rightChars="0" w:firstLine="0" w:firstLineChars="0"/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4330B3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5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CC0A290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华为交换机</w:t>
                  </w:r>
                </w:p>
              </w:tc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9555D92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LSW1</w:t>
                  </w:r>
                </w:p>
              </w:tc>
              <w:tc>
                <w:tcPr>
                  <w:tcW w:w="32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F3258CE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Port1: VLAN10 (Trunk)</w:t>
                  </w:r>
                </w:p>
              </w:tc>
              <w:tc>
                <w:tcPr>
                  <w:tcW w:w="24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762FAD2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Style w:val="17"/>
                      <w:rFonts w:ascii="微软雅黑" w:eastAsia="微软雅黑"/>
                      <w:sz w:val="22"/>
                      <w:lang w:val="en-US" w:eastAsia="zh-CN" w:bidi="ar"/>
                    </w:rPr>
                    <w:t>↔</w:t>
                  </w:r>
                  <w:r>
                    <w:rPr>
                      <w:rStyle w:val="18"/>
                      <w:rFonts w:ascii="微软雅黑" w:eastAsia="微软雅黑"/>
                      <w:sz w:val="22"/>
                      <w:lang w:val="en-US" w:eastAsia="zh-CN" w:bidi="ar"/>
                    </w:rPr>
                    <w:t xml:space="preserve"> AR1 GE0/0/1</w:t>
                  </w:r>
                </w:p>
              </w:tc>
            </w:tr>
            <w:tr w14:paraId="0EBF4C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5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AB959BC">
                  <w:pPr>
                    <w:snapToGrid w:val="0"/>
                    <w:ind w:left="0" w:leftChars="0" w:right="0" w:rightChars="0" w:firstLine="0" w:firstLineChars="0"/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D893F16">
                  <w:pPr>
                    <w:snapToGrid w:val="0"/>
                    <w:ind w:left="0" w:leftChars="0" w:right="0" w:rightChars="0" w:firstLine="0" w:firstLineChars="0"/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32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E332DBE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Port2: VLAN10 (Access)</w:t>
                  </w:r>
                </w:p>
              </w:tc>
              <w:tc>
                <w:tcPr>
                  <w:tcW w:w="24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1C8B789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Style w:val="17"/>
                      <w:rFonts w:ascii="微软雅黑" w:eastAsia="微软雅黑"/>
                      <w:sz w:val="22"/>
                      <w:lang w:val="en-US" w:eastAsia="zh-CN" w:bidi="ar"/>
                    </w:rPr>
                    <w:t>↔</w:t>
                  </w:r>
                  <w:r>
                    <w:rPr>
                      <w:rStyle w:val="18"/>
                      <w:rFonts w:ascii="微软雅黑" w:eastAsia="微软雅黑"/>
                      <w:sz w:val="22"/>
                      <w:lang w:val="en-US" w:eastAsia="zh-CN" w:bidi="ar"/>
                    </w:rPr>
                    <w:t xml:space="preserve"> PC1</w:t>
                  </w:r>
                </w:p>
              </w:tc>
            </w:tr>
            <w:tr w14:paraId="516DED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5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07ED242">
                  <w:pPr>
                    <w:snapToGrid w:val="0"/>
                    <w:ind w:left="0" w:leftChars="0" w:right="0" w:rightChars="0" w:firstLine="0" w:firstLineChars="0"/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8A1BFB8">
                  <w:pPr>
                    <w:snapToGrid w:val="0"/>
                    <w:ind w:left="0" w:leftChars="0" w:right="0" w:rightChars="0" w:firstLine="0" w:firstLineChars="0"/>
                    <w:jc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32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E98A208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Port3: VLAN10 (Access)</w:t>
                  </w:r>
                </w:p>
              </w:tc>
              <w:tc>
                <w:tcPr>
                  <w:tcW w:w="24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F79CA38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Style w:val="17"/>
                      <w:rFonts w:ascii="微软雅黑" w:eastAsia="微软雅黑"/>
                      <w:sz w:val="22"/>
                      <w:lang w:val="en-US" w:eastAsia="zh-CN" w:bidi="ar"/>
                    </w:rPr>
                    <w:t>↔</w:t>
                  </w:r>
                  <w:r>
                    <w:rPr>
                      <w:rStyle w:val="18"/>
                      <w:rFonts w:ascii="微软雅黑" w:eastAsia="微软雅黑"/>
                      <w:sz w:val="22"/>
                      <w:lang w:val="en-US" w:eastAsia="zh-CN" w:bidi="ar"/>
                    </w:rPr>
                    <w:t xml:space="preserve"> PC2</w:t>
                  </w:r>
                </w:p>
              </w:tc>
            </w:tr>
            <w:tr w14:paraId="4BEA3B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5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207F42A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PC终端</w:t>
                  </w:r>
                </w:p>
              </w:tc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B3173C0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PC1</w:t>
                  </w:r>
                </w:p>
              </w:tc>
              <w:tc>
                <w:tcPr>
                  <w:tcW w:w="32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8E9589D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IP: 192.168.1.1/24</w:t>
                  </w:r>
                </w:p>
              </w:tc>
              <w:tc>
                <w:tcPr>
                  <w:tcW w:w="24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2D00EC7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网关: 192.168.1.254</w:t>
                  </w:r>
                </w:p>
              </w:tc>
            </w:tr>
            <w:tr w14:paraId="586C59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5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BBF41D4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PC终端</w:t>
                  </w:r>
                </w:p>
              </w:tc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A6683B5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PC2</w:t>
                  </w:r>
                </w:p>
              </w:tc>
              <w:tc>
                <w:tcPr>
                  <w:tcW w:w="32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8E82E92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IP: 192.168.1.2/24</w:t>
                  </w:r>
                </w:p>
              </w:tc>
              <w:tc>
                <w:tcPr>
                  <w:tcW w:w="24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C2BA6FD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ind w:left="0" w:leftChars="0" w:right="0" w:rightChars="0" w:firstLine="0" w:firstLineChars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网关: 192.168.1.254</w:t>
                  </w:r>
                </w:p>
              </w:tc>
            </w:tr>
          </w:tbl>
          <w:p w14:paraId="7101392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2. 网络拓扑图</w:t>
            </w:r>
          </w:p>
          <w:p w14:paraId="4473763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eastAsia"/>
              </w:rPr>
            </w:pPr>
            <w:r>
              <w:drawing>
                <wp:inline distT="0" distB="0" distL="114300" distR="114300">
                  <wp:extent cx="5271770" cy="1135380"/>
                  <wp:effectExtent l="0" t="0" r="1270" b="7620"/>
                  <wp:docPr id="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CD2872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原理</w:t>
            </w:r>
          </w:p>
          <w:p w14:paraId="3919B535">
            <w:r>
              <w:t>ICMP 处于网络层，用于传递差错与控制信息。常见的 Echo Request/Reply 支撑 ping；而 Type=11 Code=0（Time-to-live exceeded）用于告知源主机：某个路由器在转发时把 TTL 减至 0，已丢弃该报文。</w:t>
            </w:r>
          </w:p>
          <w:p w14:paraId="3BAB86BD">
            <w:r>
              <w:t>TTL 是 IP 头部的 8 位字段，每经过一台三层转发设备减 1。通过发送一系列 TTL 递增的探测包并收集各跳路由器返回的 Time Exceeded，便可得到路径上的逐跳设备，这正是 tracert/traceroute 的核心思想。</w:t>
            </w:r>
          </w:p>
          <w:p w14:paraId="3F0C001B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三、步骤</w:t>
            </w:r>
          </w:p>
          <w:p w14:paraId="615C4106">
            <w:pPr>
              <w:rPr>
                <w:rFonts w:hint="eastAsia"/>
              </w:rPr>
            </w:pPr>
            <w:r>
              <w:rPr>
                <w:rFonts w:hint="eastAsia"/>
              </w:rPr>
              <w:t>1. 网络基础配置</w:t>
            </w:r>
          </w:p>
          <w:p w14:paraId="1C18F521">
            <w:pPr>
              <w:rPr>
                <w:rFonts w:hint="eastAsia"/>
              </w:rPr>
            </w:pPr>
          </w:p>
          <w:p w14:paraId="0CEC7490">
            <w:pPr>
              <w:rPr>
                <w:rFonts w:hint="eastAsia"/>
              </w:rPr>
            </w:pPr>
            <w:r>
              <w:rPr>
                <w:rFonts w:hint="eastAsia"/>
              </w:rPr>
              <w:t>配置LSW1交换机：</w:t>
            </w:r>
          </w:p>
          <w:p w14:paraId="774CAA78">
            <w:pPr>
              <w:pStyle w:val="19"/>
            </w:pPr>
            <w:r>
              <w:t># LSW1（VLAN10）</w:t>
            </w:r>
          </w:p>
          <w:p w14:paraId="3349C88C">
            <w:pPr>
              <w:pStyle w:val="19"/>
            </w:pPr>
            <w:r>
              <w:t>system-view</w:t>
            </w:r>
          </w:p>
          <w:p w14:paraId="45EDCBE4">
            <w:pPr>
              <w:pStyle w:val="19"/>
            </w:pPr>
            <w:r>
              <w:t>vlan batch 10</w:t>
            </w:r>
          </w:p>
          <w:p w14:paraId="52001159">
            <w:pPr>
              <w:pStyle w:val="19"/>
            </w:pPr>
            <w:r>
              <w:t>interface Ethernet0/0/1</w:t>
            </w:r>
          </w:p>
          <w:p w14:paraId="6E2F929E">
            <w:pPr>
              <w:pStyle w:val="19"/>
            </w:pPr>
            <w:r>
              <w:t xml:space="preserve"> port link-type trunk</w:t>
            </w:r>
          </w:p>
          <w:p w14:paraId="709EF92B">
            <w:pPr>
              <w:pStyle w:val="19"/>
            </w:pPr>
            <w:r>
              <w:t xml:space="preserve"> port trunk allow-pass vlan 10</w:t>
            </w:r>
          </w:p>
          <w:p w14:paraId="6BBB8C25">
            <w:pPr>
              <w:pStyle w:val="19"/>
            </w:pPr>
            <w:r>
              <w:t>interface Ethernet0/0/2</w:t>
            </w:r>
          </w:p>
          <w:p w14:paraId="0EE1647F">
            <w:pPr>
              <w:pStyle w:val="19"/>
            </w:pPr>
            <w:r>
              <w:t xml:space="preserve"> port link-type access</w:t>
            </w:r>
          </w:p>
          <w:p w14:paraId="045F3F41">
            <w:pPr>
              <w:pStyle w:val="19"/>
            </w:pPr>
            <w:r>
              <w:t xml:space="preserve"> port default vlan 10</w:t>
            </w:r>
          </w:p>
          <w:p w14:paraId="28D7E5DC">
            <w:pPr>
              <w:pStyle w:val="19"/>
            </w:pPr>
            <w:r>
              <w:t>interface Ethernet0/0/3</w:t>
            </w:r>
          </w:p>
          <w:p w14:paraId="53876129">
            <w:pPr>
              <w:pStyle w:val="19"/>
            </w:pPr>
            <w:r>
              <w:t xml:space="preserve"> port link-type access</w:t>
            </w:r>
          </w:p>
          <w:p w14:paraId="0B0B5CEA">
            <w:pPr>
              <w:pStyle w:val="19"/>
            </w:pPr>
            <w:r>
              <w:t xml:space="preserve"> port default vlan 10</w:t>
            </w:r>
          </w:p>
          <w:p w14:paraId="48AE52F9">
            <w:pPr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0F888BD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配置AR1路由器：</w:t>
            </w:r>
          </w:p>
          <w:p w14:paraId="1FB4158A">
            <w:pPr>
              <w:pStyle w:val="19"/>
            </w:pPr>
            <w:r>
              <w:t># AR1</w:t>
            </w:r>
          </w:p>
          <w:p w14:paraId="6A18AAF7">
            <w:pPr>
              <w:pStyle w:val="19"/>
            </w:pPr>
            <w:r>
              <w:t>system-view</w:t>
            </w:r>
          </w:p>
          <w:p w14:paraId="44233425">
            <w:pPr>
              <w:pStyle w:val="19"/>
            </w:pPr>
            <w:r>
              <w:t>interface GigabitEthernet0/0/1</w:t>
            </w:r>
          </w:p>
          <w:p w14:paraId="6B0090F1">
            <w:pPr>
              <w:pStyle w:val="19"/>
            </w:pPr>
            <w:r>
              <w:t xml:space="preserve"> ip address 192.168.1.254 24</w:t>
            </w:r>
          </w:p>
          <w:p w14:paraId="1112D438">
            <w:pPr>
              <w:pStyle w:val="19"/>
            </w:pPr>
            <w:r>
              <w:t>interface GigabitEthernet0/0/0</w:t>
            </w:r>
          </w:p>
          <w:p w14:paraId="4F35FA72">
            <w:pPr>
              <w:pStyle w:val="19"/>
            </w:pPr>
            <w:r>
              <w:t xml:space="preserve"> ip address 219.229.64.1 24</w:t>
            </w:r>
          </w:p>
          <w:p w14:paraId="5D27ECE7">
            <w:pPr>
              <w:pStyle w:val="19"/>
            </w:pPr>
            <w:r>
              <w:t>ip route-static 9.0.0.0 8 219.229.64.2</w:t>
            </w:r>
          </w:p>
          <w:p w14:paraId="680B944D">
            <w:pPr>
              <w:pStyle w:val="19"/>
            </w:pPr>
            <w:r>
              <w:t>undo firewall enable</w:t>
            </w:r>
          </w:p>
          <w:p w14:paraId="300B64F6">
            <w:pPr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42EB326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配置AR2路由器：</w:t>
            </w:r>
          </w:p>
          <w:p w14:paraId="4381558D">
            <w:pPr>
              <w:pStyle w:val="19"/>
            </w:pPr>
            <w:r>
              <w:t># AR2</w:t>
            </w:r>
          </w:p>
          <w:p w14:paraId="26F1B71B">
            <w:pPr>
              <w:pStyle w:val="19"/>
            </w:pPr>
            <w:r>
              <w:t>system-view</w:t>
            </w:r>
          </w:p>
          <w:p w14:paraId="0E979E98">
            <w:pPr>
              <w:pStyle w:val="19"/>
            </w:pPr>
            <w:r>
              <w:t>interface GigabitEthernet0/0/0</w:t>
            </w:r>
          </w:p>
          <w:p w14:paraId="07598152">
            <w:pPr>
              <w:pStyle w:val="19"/>
            </w:pPr>
            <w:r>
              <w:t xml:space="preserve"> ip address 219.229.64.2 24</w:t>
            </w:r>
          </w:p>
          <w:p w14:paraId="2419B2A0">
            <w:pPr>
              <w:pStyle w:val="19"/>
            </w:pPr>
            <w:r>
              <w:t>interface GigabitEthernet0/0/1</w:t>
            </w:r>
          </w:p>
          <w:p w14:paraId="44208722">
            <w:pPr>
              <w:pStyle w:val="19"/>
            </w:pPr>
            <w:r>
              <w:t xml:space="preserve"> ip address 221.63.196.88 24</w:t>
            </w:r>
          </w:p>
          <w:p w14:paraId="57B36C40">
            <w:pPr>
              <w:pStyle w:val="19"/>
            </w:pPr>
            <w:r>
              <w:t>ip route-static 9.0.0.0 8 221.63.196.89</w:t>
            </w:r>
          </w:p>
          <w:p w14:paraId="1B2053BA">
            <w:pPr>
              <w:pStyle w:val="19"/>
            </w:pPr>
            <w:r>
              <w:t>ip route-static 192.168.1.0 24 219.229.64.1</w:t>
            </w:r>
          </w:p>
          <w:p w14:paraId="421DBED8">
            <w:pPr>
              <w:pStyle w:val="19"/>
            </w:pPr>
            <w:r>
              <w:t>undo firewall enable</w:t>
            </w:r>
          </w:p>
          <w:p w14:paraId="1A2CF31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配置AR3路由器：</w:t>
            </w:r>
          </w:p>
          <w:p w14:paraId="3331DEAB">
            <w:pPr>
              <w:pStyle w:val="19"/>
            </w:pPr>
            <w:r>
              <w:t># AR3</w:t>
            </w:r>
          </w:p>
          <w:p w14:paraId="2671F874">
            <w:pPr>
              <w:pStyle w:val="19"/>
            </w:pPr>
            <w:r>
              <w:t>system-view</w:t>
            </w:r>
          </w:p>
          <w:p w14:paraId="2E0A3AE4">
            <w:pPr>
              <w:pStyle w:val="19"/>
            </w:pPr>
            <w:r>
              <w:t>interface GigabitEthernet0/0/0</w:t>
            </w:r>
          </w:p>
          <w:p w14:paraId="277BEA38">
            <w:pPr>
              <w:pStyle w:val="19"/>
            </w:pPr>
            <w:r>
              <w:t xml:space="preserve"> ip address 221.63.196.89 24</w:t>
            </w:r>
          </w:p>
          <w:p w14:paraId="2237BE19">
            <w:pPr>
              <w:pStyle w:val="19"/>
            </w:pPr>
            <w:r>
              <w:t>interface LoopBack0</w:t>
            </w:r>
          </w:p>
          <w:p w14:paraId="3F4FA3D6">
            <w:pPr>
              <w:pStyle w:val="19"/>
            </w:pPr>
            <w:r>
              <w:t xml:space="preserve"> ip address 9.9.9.9 8</w:t>
            </w:r>
          </w:p>
          <w:p w14:paraId="405D7832">
            <w:pPr>
              <w:pStyle w:val="19"/>
            </w:pPr>
            <w:r>
              <w:t>ip route-static 192.168.1.0 24 221.63.196.88</w:t>
            </w:r>
          </w:p>
          <w:p w14:paraId="2B8C8A6A">
            <w:pPr>
              <w:pStyle w:val="19"/>
            </w:pPr>
            <w:r>
              <w:t>undo firewall enable</w:t>
            </w:r>
          </w:p>
          <w:p w14:paraId="2DFBEEA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2. 连通性测试</w:t>
            </w:r>
          </w:p>
          <w:p w14:paraId="3C0AD6A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drawing>
                <wp:inline distT="0" distB="0" distL="114300" distR="114300">
                  <wp:extent cx="4057650" cy="3881120"/>
                  <wp:effectExtent l="0" t="0" r="11430" b="5080"/>
                  <wp:docPr id="1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388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1F686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TTL超时实验操作</w:t>
            </w:r>
          </w:p>
          <w:p w14:paraId="66D9E24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实验1：TTL=1在AR1抓包</w:t>
            </w:r>
          </w:p>
          <w:p w14:paraId="1E13A6F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在AR1的GE0/0/1接口启动抓包</w:t>
            </w:r>
          </w:p>
          <w:p w14:paraId="7936141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PC1执行：</w:t>
            </w:r>
          </w:p>
          <w:p w14:paraId="0487011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ping -t 1 9.9.9.9</w:t>
            </w:r>
          </w:p>
          <w:p w14:paraId="5B35331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实验2：TTL=2在AR2抓包</w:t>
            </w:r>
          </w:p>
          <w:p w14:paraId="0EE3F42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在AR2的GE0/0/0接口启动抓包</w:t>
            </w:r>
          </w:p>
          <w:p w14:paraId="0C6852E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PC1执行：</w:t>
            </w:r>
          </w:p>
          <w:p w14:paraId="266C13AF">
            <w:pPr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ping -t 2 9.9.9.9</w:t>
            </w:r>
          </w:p>
          <w:p w14:paraId="1EE80C0D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四、结果</w:t>
            </w:r>
          </w:p>
          <w:p w14:paraId="79D6B82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命令执行结果</w:t>
            </w:r>
          </w:p>
          <w:p w14:paraId="25ABDE1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960077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实验1：TTL=1</w:t>
            </w:r>
          </w:p>
          <w:p w14:paraId="0A4BBB6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drawing>
                <wp:inline distT="0" distB="0" distL="114300" distR="114300">
                  <wp:extent cx="5133975" cy="5362575"/>
                  <wp:effectExtent l="0" t="0" r="1905" b="1905"/>
                  <wp:docPr id="1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536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D6B7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实验2：TTL=2</w:t>
            </w:r>
          </w:p>
          <w:p w14:paraId="4B51DC3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drawing>
                <wp:inline distT="0" distB="0" distL="114300" distR="114300">
                  <wp:extent cx="5124450" cy="5362575"/>
                  <wp:effectExtent l="0" t="0" r="11430" b="1905"/>
                  <wp:docPr id="1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536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381F2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2. 抓包结果分析</w:t>
            </w:r>
          </w:p>
          <w:p w14:paraId="1F969AF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实验1抓包（AR1-GE0/0/1接口）</w:t>
            </w:r>
          </w:p>
          <w:p w14:paraId="280875D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4533900" cy="1447800"/>
                  <wp:effectExtent l="0" t="0" r="7620" b="0"/>
                  <wp:docPr id="1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537E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关键字段解析：</w:t>
            </w:r>
          </w:p>
          <w:p w14:paraId="52F5017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ICMP Type=11, Code=0 (Time-to-live exceeded)</w:t>
            </w:r>
          </w:p>
          <w:p w14:paraId="3EA5CCF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TTL值在请求报文中为1，在响应报文中为255（默认值）</w:t>
            </w:r>
          </w:p>
          <w:p w14:paraId="6427F64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响应报文源地址为路由器接收接口IP（192.168.1.254）</w:t>
            </w:r>
          </w:p>
          <w:p w14:paraId="34AA359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实验2抓包（AR2-GE0/0/0接口）</w:t>
            </w:r>
          </w:p>
          <w:p w14:paraId="1DD5C08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4819650" cy="1409700"/>
                  <wp:effectExtent l="0" t="0" r="11430" b="7620"/>
                  <wp:docPr id="1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F786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关键现象：</w:t>
            </w:r>
          </w:p>
          <w:p w14:paraId="06380F7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请求报文到达AR2时TTL已减为1（经过AR1后-1）</w:t>
            </w:r>
          </w:p>
          <w:p w14:paraId="7A6DF06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AR2将TTL减为0后丢弃包并返回超时报文</w:t>
            </w:r>
          </w:p>
          <w:p w14:paraId="6199B6F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响应报文源地址为AR2接收接口IP（219.229.64.2）</w:t>
            </w:r>
          </w:p>
          <w:p w14:paraId="336B960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3. 结果对比分析</w:t>
            </w:r>
          </w:p>
          <w:tbl>
            <w:tblPr>
              <w:tblStyle w:val="7"/>
              <w:tblW w:w="8519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57"/>
              <w:gridCol w:w="3279"/>
              <w:gridCol w:w="3470"/>
            </w:tblGrid>
            <w:tr w14:paraId="707C7E4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W w:w="1595" w:type="dxa"/>
                  <w:tcBorders>
                    <w:top w:val="single" w:color="auto" w:sz="12" w:space="0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E2067A7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对比项</w:t>
                  </w:r>
                </w:p>
              </w:tc>
              <w:tc>
                <w:tcPr>
                  <w:tcW w:w="3364" w:type="dxa"/>
                  <w:tcBorders>
                    <w:top w:val="single" w:color="auto" w:sz="12" w:space="0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476C572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TTL=1实验</w:t>
                  </w:r>
                </w:p>
              </w:tc>
              <w:tc>
                <w:tcPr>
                  <w:tcW w:w="3560" w:type="dxa"/>
                  <w:tcBorders>
                    <w:top w:val="single" w:color="auto" w:sz="12" w:space="0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616E0F4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TTL=2实验</w:t>
                  </w:r>
                </w:p>
              </w:tc>
            </w:tr>
            <w:tr w14:paraId="4B1EAF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W w:w="15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2D93E20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超时发生位置</w:t>
                  </w:r>
                </w:p>
              </w:tc>
              <w:tc>
                <w:tcPr>
                  <w:tcW w:w="3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31C5099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AR1 (第一跳路由器)</w:t>
                  </w:r>
                </w:p>
              </w:tc>
              <w:tc>
                <w:tcPr>
                  <w:tcW w:w="3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6C81FF6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AR2 (第二跳路由器)</w:t>
                  </w:r>
                </w:p>
              </w:tc>
            </w:tr>
            <w:tr w14:paraId="59D86C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W w:w="15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9C25704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响应源IP</w:t>
                  </w:r>
                </w:p>
              </w:tc>
              <w:tc>
                <w:tcPr>
                  <w:tcW w:w="3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89D4647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192.168.1.254 (AR1内网接口)</w:t>
                  </w:r>
                </w:p>
              </w:tc>
              <w:tc>
                <w:tcPr>
                  <w:tcW w:w="3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07FFBC3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219.229.64.2 (AR2对AR1接口)</w:t>
                  </w:r>
                </w:p>
              </w:tc>
            </w:tr>
            <w:tr w14:paraId="659E08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W w:w="15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6FF84ED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请求报文TTL</w:t>
                  </w:r>
                </w:p>
              </w:tc>
              <w:tc>
                <w:tcPr>
                  <w:tcW w:w="3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F923A91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3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F34AE9E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2（PC发出），1（到达AR2）</w:t>
                  </w:r>
                </w:p>
              </w:tc>
            </w:tr>
            <w:tr w14:paraId="0C7F9F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W w:w="15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9455DB1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网络路径</w:t>
                  </w:r>
                </w:p>
              </w:tc>
              <w:tc>
                <w:tcPr>
                  <w:tcW w:w="3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7C78DA0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PC1 → AR1</w:t>
                  </w:r>
                </w:p>
              </w:tc>
              <w:tc>
                <w:tcPr>
                  <w:tcW w:w="3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CAABE92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PC1 → AR1 → AR2</w:t>
                  </w:r>
                </w:p>
              </w:tc>
            </w:tr>
            <w:tr w14:paraId="2CFF2E3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W w:w="1595" w:type="dxa"/>
                  <w:tcBorders>
                    <w:top w:val="nil"/>
                    <w:left w:val="nil"/>
                    <w:bottom w:val="single" w:color="auto" w:sz="12" w:space="0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3AF1C5F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抓包位置</w:t>
                  </w:r>
                </w:p>
              </w:tc>
              <w:tc>
                <w:tcPr>
                  <w:tcW w:w="3364" w:type="dxa"/>
                  <w:tcBorders>
                    <w:top w:val="nil"/>
                    <w:left w:val="nil"/>
                    <w:bottom w:val="single" w:color="auto" w:sz="12" w:space="0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D3FC4E2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AR1 GE0/0/1接口</w:t>
                  </w:r>
                </w:p>
              </w:tc>
              <w:tc>
                <w:tcPr>
                  <w:tcW w:w="3560" w:type="dxa"/>
                  <w:tcBorders>
                    <w:top w:val="nil"/>
                    <w:left w:val="nil"/>
                    <w:bottom w:val="single" w:color="auto" w:sz="12" w:space="0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A2A9525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AR2 GE0/0/0接口</w:t>
                  </w:r>
                </w:p>
              </w:tc>
            </w:tr>
          </w:tbl>
          <w:p w14:paraId="089D3DB0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心得体会</w:t>
            </w:r>
          </w:p>
          <w:p w14:paraId="1E7680D3">
            <w:pPr>
              <w:pStyle w:val="6"/>
              <w:keepNext w:val="0"/>
              <w:keepLines w:val="0"/>
              <w:widowControl/>
              <w:suppressLineNumbers w:val="0"/>
            </w:pPr>
            <w:r>
              <w:t>通过本次实验，我在理论理解与实践能力方面都有明显收获。通过设置不同的 TTL 值并观察现象，我更深入地理解了 TTL 机制的工作原理：TTL 并不代表“时间”，而是对数据包可经过的路由器跳数进行限制。当 TTL 设置为 1 时，数据包只能到达第一跳路由器（AR1）；当 TTL 设置为 2 时，数据包则能够继续到达第二跳路由器（AR2）。这种“逐跳衰减、到零即止”的机制让我对数据包在网络中的传播边界有了非常直观的认识。</w:t>
            </w:r>
          </w:p>
          <w:p w14:paraId="5A60379A">
            <w:pPr>
              <w:pStyle w:val="6"/>
              <w:keepNext w:val="0"/>
              <w:keepLines w:val="0"/>
              <w:widowControl/>
              <w:suppressLineNumbers w:val="0"/>
            </w:pPr>
            <w:r>
              <w:t>结合抓包结果，我也掌握了 ICMP 超时报文的产生机制。当路由器在转发过程中将 IP 数据包的 TTL 递减至 0 时，会立即丢弃该数据包，并向源主机返回 ICMP Time Exceeded 报文（Type=11，Code=0）。更关键的是，这类报文的源 IP 地址就是发生丢弃行为的路由器接口 IP，这为定位路径中的异常节点提供了直接依据，使我理解到该机制不仅是保护网络的重要手段，也是一种非常实用的诊断反馈。</w:t>
            </w:r>
          </w:p>
          <w:p w14:paraId="79B150BD">
            <w:pPr>
              <w:pStyle w:val="6"/>
              <w:keepNext w:val="0"/>
              <w:keepLines w:val="0"/>
              <w:widowControl/>
              <w:suppressLineNumbers w:val="0"/>
            </w:pPr>
            <w:r>
              <w:t xml:space="preserve">基于上述观察，我进一步理解了 </w:t>
            </w:r>
            <w:r>
              <w:rPr>
                <w:rStyle w:val="11"/>
              </w:rPr>
              <w:t>tracert</w:t>
            </w:r>
            <w:r>
              <w:t xml:space="preserve"> 命令的实现原理：它通过发送一组 TTL 值逐步递增的探测报文，触发沿途每一跳路由器返回超时报文，并将这些返回信息按顺序汇总，从而绘制出完整的转发路径。换句话说，</w:t>
            </w:r>
            <w:r>
              <w:rPr>
                <w:rStyle w:val="11"/>
              </w:rPr>
              <w:t>tracert</w:t>
            </w:r>
            <w:r>
              <w:t xml:space="preserve"> 本质上是利用 TTL 超时与 ICMP 反馈机制，把原本不可见的转发过程“可视化”，这种设计思路非常精巧，也让我对网络测量与路径探测的工程方法有了更清晰的认识。</w:t>
            </w:r>
          </w:p>
          <w:p w14:paraId="7B30B640">
            <w:pPr>
              <w:pStyle w:val="6"/>
              <w:keepNext w:val="0"/>
              <w:keepLines w:val="0"/>
              <w:widowControl/>
              <w:suppressLineNumbers w:val="0"/>
            </w:pPr>
            <w:r>
              <w:t>同时，实验过程也让我更深刻地体会到网络设备协同工作的必要性：任意一台路由器配置不当，都可能导致端到端通信失败。尤其是在涉及多跳转发时，路由表配置不仅要保证单向可达，更需要双向路径完整，数据包才能顺利往返。这让我意识到网络连通性并不是某一台设备“配置正确”就足够，而是整个链路上多设备共同一致的结果。</w:t>
            </w:r>
          </w:p>
          <w:p w14:paraId="320B2F4C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t>总体而言，这些知识与经验不仅帮助我理解了 ICMP 协议与 TTL 机制的核心逻辑，也强化了我通过现象、抓包与协议字段去定位问题的能力，为后续学习更复杂的网络协议与技术打下了扎实基础。</w:t>
            </w:r>
          </w:p>
        </w:tc>
      </w:tr>
    </w:tbl>
    <w:p w14:paraId="3F7151B5"/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0762027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9A44654"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B2142B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RiNzBlMTFkZTE3NWEyOTRkYjBlZDViOTQ1ZWZhYTcifQ=="/>
  </w:docVars>
  <w:rsids>
    <w:rsidRoot w:val="00000000"/>
    <w:rsid w:val="006E077B"/>
    <w:rsid w:val="00B42975"/>
    <w:rsid w:val="12B4677B"/>
    <w:rsid w:val="16FC149E"/>
    <w:rsid w:val="2B140C75"/>
    <w:rsid w:val="3450527E"/>
    <w:rsid w:val="35F0558F"/>
    <w:rsid w:val="39590032"/>
    <w:rsid w:val="3CC04181"/>
    <w:rsid w:val="49EA5306"/>
    <w:rsid w:val="4DC65208"/>
    <w:rsid w:val="50A638FE"/>
    <w:rsid w:val="5FC97D6D"/>
    <w:rsid w:val="64DC74DE"/>
    <w:rsid w:val="6E667881"/>
    <w:rsid w:val="7303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28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4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日期 字符"/>
    <w:basedOn w:val="9"/>
    <w:link w:val="3"/>
    <w:semiHidden/>
    <w:qFormat/>
    <w:uiPriority w:val="99"/>
    <w:rPr>
      <w:rFonts w:ascii="Times New Roman" w:hAnsi="Times New Roman" w:eastAsia="宋体" w:cs="Times New Roman"/>
      <w:sz w:val="24"/>
    </w:rPr>
  </w:style>
  <w:style w:type="character" w:customStyle="1" w:styleId="15">
    <w:name w:val="标题 1 字符"/>
    <w:basedOn w:val="9"/>
    <w:link w:val="2"/>
    <w:qFormat/>
    <w:uiPriority w:val="9"/>
    <w:rPr>
      <w:rFonts w:ascii="Times New Roman" w:hAnsi="Times New Roman" w:eastAsia="黑体" w:cs="Times New Roman"/>
      <w:b/>
      <w:bCs/>
      <w:kern w:val="44"/>
      <w:sz w:val="28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font41"/>
    <w:basedOn w:val="9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31"/>
    <w:basedOn w:val="9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paragraph" w:customStyle="1" w:styleId="19">
    <w:name w:val="CodeBlock"/>
    <w:qFormat/>
    <w:uiPriority w:val="0"/>
    <w:pPr>
      <w:spacing w:before="60" w:after="60" w:line="240" w:lineRule="auto"/>
    </w:pPr>
    <w:rPr>
      <w:rFonts w:ascii="Consolas" w:hAnsi="Consolas" w:eastAsia="Consolas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7AD39B-A314-41CD-B5BB-A25DD2F6B8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1987</Words>
  <Characters>3356</Characters>
  <Lines>2</Lines>
  <Paragraphs>1</Paragraphs>
  <TotalTime>0</TotalTime>
  <ScaleCrop>false</ScaleCrop>
  <LinksUpToDate>false</LinksUpToDate>
  <CharactersWithSpaces>3664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2022-09-25T07:54:00Z</dcterms:created>
  <dc:creator>aa2427734259@outlook.com</dc:creator>
  <cp:lastModifiedBy>沈瑚双</cp:lastModifiedBy>
  <dcterms:modified xsi:type="dcterms:W3CDTF">2025-12-26T12:14:00Z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B8B78905427F4D679A193E0B1E5A800F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