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2E9D67" w14:textId="77777777" w:rsidR="005272A4" w:rsidRPr="005272A4" w:rsidRDefault="002A0F57" w:rsidP="00FD0740">
      <w:pPr>
        <w:autoSpaceDE w:val="0"/>
        <w:autoSpaceDN w:val="0"/>
        <w:bidi/>
        <w:adjustRightInd w:val="0"/>
        <w:spacing w:after="0" w:line="240" w:lineRule="auto"/>
        <w:rPr>
          <w:rFonts w:ascii="Simplified Arabic" w:hAnsi="Simplified Arabic" w:cs="Simplified Arabic"/>
          <w:b/>
          <w:bCs/>
        </w:rPr>
      </w:pPr>
      <w:r w:rsidRPr="005272A4">
        <w:rPr>
          <w:rFonts w:ascii="Simplified Arabic" w:hAnsi="Simplified Arabic" w:cs="Simplified Arabic"/>
          <w:b/>
          <w:bCs/>
          <w:rtl/>
        </w:rPr>
        <w:t xml:space="preserve">سمانه موافي </w:t>
      </w:r>
    </w:p>
    <w:p w14:paraId="02479F4F" w14:textId="77777777" w:rsidR="00FD0740" w:rsidRDefault="00FD0740" w:rsidP="00FD0740">
      <w:pPr>
        <w:autoSpaceDE w:val="0"/>
        <w:autoSpaceDN w:val="0"/>
        <w:bidi/>
        <w:adjustRightInd w:val="0"/>
        <w:spacing w:after="0" w:line="240" w:lineRule="auto"/>
        <w:rPr>
          <w:rFonts w:ascii="Simplified Arabic" w:hAnsi="Simplified Arabic" w:cs="Simplified Arabic"/>
          <w:b/>
          <w:bCs/>
        </w:rPr>
      </w:pPr>
    </w:p>
    <w:p w14:paraId="0135CA73" w14:textId="166A2CDC" w:rsidR="005272A4" w:rsidRPr="005272A4" w:rsidRDefault="002A0F57" w:rsidP="00FD0740">
      <w:pPr>
        <w:autoSpaceDE w:val="0"/>
        <w:autoSpaceDN w:val="0"/>
        <w:bidi/>
        <w:adjustRightInd w:val="0"/>
        <w:spacing w:after="0" w:line="240" w:lineRule="auto"/>
        <w:rPr>
          <w:rFonts w:ascii="Simplified Arabic" w:hAnsi="Simplified Arabic" w:cs="Simplified Arabic"/>
          <w:b/>
          <w:bCs/>
          <w:rtl/>
        </w:rPr>
      </w:pPr>
      <w:r w:rsidRPr="005272A4">
        <w:rPr>
          <w:rFonts w:ascii="Simplified Arabic" w:hAnsi="Simplified Arabic" w:cs="Simplified Arabic"/>
          <w:b/>
          <w:bCs/>
          <w:rtl/>
        </w:rPr>
        <w:t>قصة مِهر</w:t>
      </w:r>
    </w:p>
    <w:p w14:paraId="64129DC5" w14:textId="77777777" w:rsidR="00FD0740" w:rsidRDefault="00FD0740" w:rsidP="00FD0740">
      <w:pPr>
        <w:autoSpaceDE w:val="0"/>
        <w:autoSpaceDN w:val="0"/>
        <w:bidi/>
        <w:adjustRightInd w:val="0"/>
        <w:spacing w:after="0" w:line="240" w:lineRule="auto"/>
        <w:rPr>
          <w:rFonts w:ascii="Simplified Arabic" w:hAnsi="Simplified Arabic" w:cs="Simplified Arabic"/>
        </w:rPr>
      </w:pPr>
    </w:p>
    <w:p w14:paraId="5BC8DDAA" w14:textId="21BA23B9" w:rsidR="002A0F57"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t>كان أول المعالم التي جذبت اهتمامنا حائط صغير، يبلغ سمكه عشرين سنتيمترا وطوله مترا ونصف. قضت محسان الكثير من وقتنا تدور حوله، وتأمله عن قرب. في الأمام منه فضاء مساحته 16 مترا مربعا تطل منه نافذة عريضة بما فيه الكفاية لتسمح بدخول الضوء الطبيعي. وأما في الخلف منه فمساحة أصغر بعمق قصير يمتد مترا ونصف؛ كان مستوى الأرضية لتلك المنطقة الخلفية يرتفع بمقدار بضع سنتيمترات، مما يوحي بأن الاستخدام المقصود منه كان يختلف عن بقية الشقة. وكان هذا الاختلاف واضحا كذلك في الطبيعة المادية للأسطح، والقرميد بلون الطين القابع في تضاد التشطيب باستخدام الجص. كان ذلك صيف 2016، وكنا نقف في شقة جديدة تماما، تحمل اسم المشروع السكني الذي تنتمي له: مهر، وهي كلمة تُترجم إلى "الرحمة".  كان مشروع إسكان "مهر" الذي جاء بناء على تصور للرئيس (الإيراني) آنذاك، محمود أحمدي-نجاد، يستلزم بناء أربعة ملايين وحدة سكنية لأبناء الطبقة العاملة</w:t>
      </w:r>
      <w:r w:rsidRPr="005272A4">
        <w:rPr>
          <w:rFonts w:ascii="Simplified Arabic" w:hAnsi="Simplified Arabic" w:cs="Simplified Arabic"/>
        </w:rPr>
        <w:t xml:space="preserve"> </w:t>
      </w:r>
      <w:r w:rsidRPr="005272A4">
        <w:rPr>
          <w:rFonts w:ascii="Simplified Arabic" w:hAnsi="Simplified Arabic" w:cs="Simplified Arabic"/>
          <w:rtl/>
        </w:rPr>
        <w:t xml:space="preserve"> في أنحاء إيران وعلى تخوم مدن البلاد الكبرى. وكانت الخطة تقضي بتوطين ما يُقدر بـ 12 مليون شخص، أي ما يوازي تعداد طهران، في تلك المنازل، فيما كان من المقرر أن يصبح مهر واحدا من أكبر مشاريع الرفاه الاجتماعي من نوعها في تاريخ الجمهورية الإسلامية. </w:t>
      </w:r>
    </w:p>
    <w:p w14:paraId="7CF94014" w14:textId="77777777" w:rsidR="00FD0740" w:rsidRPr="005272A4" w:rsidRDefault="00FD0740" w:rsidP="00FD0740">
      <w:pPr>
        <w:autoSpaceDE w:val="0"/>
        <w:autoSpaceDN w:val="0"/>
        <w:bidi/>
        <w:adjustRightInd w:val="0"/>
        <w:spacing w:after="0" w:line="240" w:lineRule="auto"/>
        <w:rPr>
          <w:rFonts w:ascii="Simplified Arabic" w:hAnsi="Simplified Arabic" w:cs="Simplified Arabic"/>
          <w:rtl/>
        </w:rPr>
      </w:pPr>
    </w:p>
    <w:p w14:paraId="43ECAD9B" w14:textId="011C313C" w:rsidR="002A0F57"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t xml:space="preserve">على أنه لم يكن بإمكان كل إيراني ينتمي للطبقة العاملة أن يتقدم للحصول على منزل في مشروع مهر. ولذا فقد كان على "محسان" أن تفيد بما يثبت زواجها، لتؤسس أهليتها للحصول على وحدة سكنية في المشروع. كان عليها أن أن تقدم زوجها باعتباره ربا لأسرة أولية وأن تظهر أنه لم يسبق له أبدا امتلاك أي عقار خاص به. وبمعنى آخر، كان عليها أن تثبت زواجها برجل غير قادر على تأمين سقف لزوجته. وكان قد مر حين على قرار محسان الانتقال من منزل والديها والعيش باستقلالية عن والدها. خطتها آنذاك كانت تبدو حلا مثاليا، إذ كان خطيبها في ذلك الوقت ينتمي لأسرة عاملة من دون أن تكون له أي مدخرات وكان يسد متطلبات حياته الأساسية اعتمادا على عمله اليومي. وبعد وقت قصير على علمها بالمشروع، تزوجت محسان من خطيبها وتقدمت للحصول على منزل في مهر. </w:t>
      </w:r>
    </w:p>
    <w:p w14:paraId="319988EA" w14:textId="77777777" w:rsidR="00FD0740" w:rsidRPr="005272A4" w:rsidRDefault="00FD0740" w:rsidP="00FD0740">
      <w:pPr>
        <w:autoSpaceDE w:val="0"/>
        <w:autoSpaceDN w:val="0"/>
        <w:bidi/>
        <w:adjustRightInd w:val="0"/>
        <w:spacing w:after="0" w:line="240" w:lineRule="auto"/>
        <w:rPr>
          <w:rFonts w:ascii="Simplified Arabic" w:hAnsi="Simplified Arabic" w:cs="Simplified Arabic"/>
          <w:rtl/>
        </w:rPr>
      </w:pPr>
    </w:p>
    <w:p w14:paraId="69CCEDE5" w14:textId="77777777" w:rsidR="002A0F57" w:rsidRPr="005272A4" w:rsidRDefault="002A0F57" w:rsidP="00FD0740">
      <w:pPr>
        <w:autoSpaceDE w:val="0"/>
        <w:autoSpaceDN w:val="0"/>
        <w:bidi/>
        <w:adjustRightInd w:val="0"/>
        <w:spacing w:after="0" w:line="240" w:lineRule="auto"/>
        <w:rPr>
          <w:rFonts w:ascii="Simplified Arabic" w:hAnsi="Simplified Arabic" w:cs="Simplified Arabic"/>
          <w:rtl/>
        </w:rPr>
      </w:pPr>
      <w:r w:rsidRPr="005272A4">
        <w:rPr>
          <w:rFonts w:ascii="Simplified Arabic" w:hAnsi="Simplified Arabic" w:cs="Simplified Arabic"/>
          <w:rtl/>
        </w:rPr>
        <w:t xml:space="preserve">أما الحائط الذي كانت تتأمله محسان أثناء زيارتنا فلم يكن يقسم بعد ما يفترض بأن تكون غرفة المعيشة في الأمام، عما يُفترض أن تكون غرفة المطبخ في الخلف – إذ كان يقف عند أقل من نصف عرض المساحة. كان الحجم المحدود للجدار يشير لسياقه التقشفي. في مشاريع الإسكان الجماعي كان الحيز من الأرض الذي تشغله الجدران يعتبر هدرا. وتقليل حيز الجدار يمكن أن يساهم في تقليل تكلفة البناء وكذلك الحد الأدنى من المساحة اللازمة لاستيعاب وحدة سكنية. وبمعنى آخر، كلما كانت الجدران أقل سمكا وأقل طولا، كلما زاد عدد الوحدات التي يمكن للمبنى استيعابُها. هذا الحساب التقديري بحكم التجربة يمكن أن يسمح بإسكان مزيد من الأشخاص في قطعة أرض محددة. ومن ثم فعدم وجود قاسم على الإطلاق بين المطبخ وغرفة المعيشة سيكون مثاليا لهذه الاقتصار في المساحة. وفي واقع الأمر، كانت تصميمات الكثير من المنازل التي بُنيت خلال المراحل الأولى لمشروع مهر تتضمن المساحة المفتوحة بلا فواصل. غير أن الشقة التي زرناها، كان قد تم بناؤها في وقت لاحق، قرب المراحل النهائية للمشروع، وتضمنت حائطا يقاوم التقشف الاقتصادي لسياقه. </w:t>
      </w:r>
    </w:p>
    <w:p w14:paraId="75CF5B2E" w14:textId="6A2642BC" w:rsidR="002A0F57"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lastRenderedPageBreak/>
        <w:t xml:space="preserve">وحقيقي أن البيوت الإيرانية التقليدية كانت تتضمن فصلا بين مساحة الـ"أندروني" – أو المساحة الداخلية التي تخص النساء والأطفال – وجزء الـ"بيروني" – وهو الجزء الخاص باستقبال الضيوف من الرجال. ومع هذا، فالمبرر الذي فرض وجود الحائط الفاصل في تصميم الوحدات السكنية لمشروع مهر لم يكن له علاقة تذكر بالتقاليد.  إذ أنه في منتصف الشوط نحو إتمام المشروع، جرى تنظيم هجوم سياسي قادته شخصيات دينية تتمتع بتأييد شعبي، ضد التصميم المفتوح للوحدات السكنية. وعلى سبيل المثال، كان آية الله جوادي-عاملي يرى أن المنزل ذا التصميم المفتوح لم يكن ملائما لتسيير أمور الحياة اليومية لأسرة إسلامية بسيطة. ولفت إلى أن القصد من الجزء الخاص بالنساء كان حمايتهن من نظرات الضيوف الرجال من غير محارمهن، ومن ثم كان لزاما وجود ما يفصل الجزء الخاص بهن، وهو المطبخ. هذا الفصل وفقا لرأي جوادي-عاملي، كان جوهر العمارة الإسلامية ورمزا لمقاومة نماذج الحياة الغربية. ومن ثم فحيز جدار التقسيم المتواضع في بيت مهر الذي كنا نزوره، كان يغص بمقاومة للغرب وشكل من أشكال الأبوية الأسرية. وفعليا كان يتم فصل الجنسين على أساس أولئك الذين يؤدون وظيفة الطهي وأولئك الذين يتم إعداد الطعام لهم، وبذا ينشأ التسلسل الهيرركي بينهما. </w:t>
      </w:r>
    </w:p>
    <w:p w14:paraId="58DB27CF" w14:textId="77777777" w:rsidR="00FD0740" w:rsidRPr="005272A4" w:rsidRDefault="00FD0740" w:rsidP="00FD0740">
      <w:pPr>
        <w:autoSpaceDE w:val="0"/>
        <w:autoSpaceDN w:val="0"/>
        <w:bidi/>
        <w:adjustRightInd w:val="0"/>
        <w:spacing w:after="0" w:line="240" w:lineRule="auto"/>
        <w:rPr>
          <w:rFonts w:ascii="Simplified Arabic" w:hAnsi="Simplified Arabic" w:cs="Simplified Arabic"/>
          <w:rtl/>
        </w:rPr>
      </w:pPr>
    </w:p>
    <w:p w14:paraId="2EE9F09E" w14:textId="77777777" w:rsidR="002A0F57" w:rsidRPr="005272A4" w:rsidRDefault="002A0F57" w:rsidP="00FD0740">
      <w:pPr>
        <w:autoSpaceDE w:val="0"/>
        <w:autoSpaceDN w:val="0"/>
        <w:bidi/>
        <w:adjustRightInd w:val="0"/>
        <w:spacing w:after="0" w:line="240" w:lineRule="auto"/>
        <w:rPr>
          <w:rFonts w:ascii="Simplified Arabic" w:hAnsi="Simplified Arabic" w:cs="Simplified Arabic"/>
          <w:rtl/>
        </w:rPr>
      </w:pPr>
      <w:r w:rsidRPr="005272A4">
        <w:rPr>
          <w:rFonts w:ascii="Simplified Arabic" w:hAnsi="Simplified Arabic" w:cs="Simplified Arabic"/>
          <w:rtl/>
        </w:rPr>
        <w:t xml:space="preserve">بعد أن عاينت محسان الحائط لبعض الوقت، همست بأن غرفة المعيشة لا تتسع لعمل الأشياء التي تود دائما القيام بها. أشاحت بناظريها عن الحائظ والتفتت إلى زوجها، مهدي، وحماها، حاجي، الذي كان يقف عند نهاية غرفة المعيشة، وقالت بنبرة حازمة، "بما أنني العروس الصغيرة في العائلة، فأنا أود أن أجمع حولي هاهنا كل أصهاري، هل تفهمني..." ثم الفتت إلي واستمرت قائلة، "أعتقد أن أفضل طريقة للتعامل مع هذا الوضع هو إزالة هذا الحائط. هذا تماما ما فعله الجار المباشر لنا. إنها السبيل الوحيدة..." كنت مأخوذا بحديثها. وأما الجدار فكان صغيرا، وكان دوره في فصل النساء تماما عن بقية المنزل، كما شاء له آية الله جوادي-عاملي، إيديولوجيا أكثر منه عمليا. وكانت الحجة التي ساقتها محسان بمثابة تسجيل لنضالها في سبيل تحديد دورها كزوجة وصاحبة بيت، أكثر من كونه إشارة على انهيار المقاومة للغرب. </w:t>
      </w:r>
    </w:p>
    <w:p w14:paraId="06FC8589" w14:textId="77777777" w:rsidR="00FD0740" w:rsidRDefault="00FD0740" w:rsidP="00FD0740">
      <w:pPr>
        <w:autoSpaceDE w:val="0"/>
        <w:autoSpaceDN w:val="0"/>
        <w:bidi/>
        <w:adjustRightInd w:val="0"/>
        <w:spacing w:after="0" w:line="240" w:lineRule="auto"/>
        <w:rPr>
          <w:rFonts w:ascii="Simplified Arabic" w:hAnsi="Simplified Arabic" w:cs="Simplified Arabic"/>
        </w:rPr>
      </w:pPr>
    </w:p>
    <w:p w14:paraId="5FC0AF71" w14:textId="107F8420" w:rsidR="002A0F57" w:rsidRPr="005272A4" w:rsidRDefault="002A0F57" w:rsidP="00FD0740">
      <w:pPr>
        <w:autoSpaceDE w:val="0"/>
        <w:autoSpaceDN w:val="0"/>
        <w:bidi/>
        <w:adjustRightInd w:val="0"/>
        <w:spacing w:after="0" w:line="240" w:lineRule="auto"/>
        <w:rPr>
          <w:rFonts w:ascii="Simplified Arabic" w:hAnsi="Simplified Arabic" w:cs="Simplified Arabic"/>
          <w:rtl/>
        </w:rPr>
      </w:pPr>
      <w:r w:rsidRPr="005272A4">
        <w:rPr>
          <w:rFonts w:ascii="Simplified Arabic" w:hAnsi="Simplified Arabic" w:cs="Simplified Arabic"/>
          <w:rtl/>
        </w:rPr>
        <w:t>جدار مهدوم</w:t>
      </w:r>
    </w:p>
    <w:p w14:paraId="7E177E47" w14:textId="77777777" w:rsidR="002A0F57" w:rsidRPr="005272A4"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t xml:space="preserve">تلقت محسان دعوة من إحدى جاراتها، واسمها ليلى، لتظهر لها الأخيرة كيف أزالت الجدار الفاصل نفسه لديها. في أعقاب إزالة الجدار رتبت ليلى أثاثها، أو جهازها، لوجه الدقة أكثر، بطريقة كانت مغايرة للاستخدام المقصود من ذلك الجزء. تشير كلمة "جهاز" إلى مجموعة العناصر التي تشكل منظومة أداء. على سبيل المثال "جهاز تنفس" يستدعي إلى الأذهان الأعضاء الداخلية التي تنظم عملية التنفس: الأنف والفم (تجويف الفم)، والبلعوم والحنجرة والقصبة الهوائية والشعب الهوائية والرئتين. وبالعامية الفارسية، تشير مفردة "جهاز" كذلك إلى المهر، وهو مجموعة من الأجهزة المنزلية التي يجري إعدادها وترتيبها وتقديمها كهدية إلى العروس لدى انتقالها من بيت والديها إلى بيت الزوجية. والمفترض في الجهاز أن يشتمل على مجموعة من المفروشات، تتفاوت من مكعبات السكر إلى المخللات وأطباق الصيني إلى قطع السجاد والأجهزة الكهربائية. وتُمكن تلك المتعلقات معا العروس من تدبير منزل غير مألوف لها وتطبيق عاداتها وطقوسها المرغوبة هناك. كانت ليلى قد رتبت أغلب العناصر الجمالية وعناصر الديكور في جهازها على حدود المساحة المفتوحة حديثا، المكونة من المطبخ وغرفة المعيشة، فقامت بتوزيعها على كل شيء له سطح مرتفع، بما في ذلك الأرفف، والفتارين وحواف الطاولات وأسطح الدواليب بل وسقف الثلاجة. ويبدو وكأن تلك الأشياء قد مكنتها من إزالة إمكانية استعمال المساحة لأعمال الطبخ والغسيل – الأعمال المنزلية بتعميم أكبر. </w:t>
      </w:r>
    </w:p>
    <w:p w14:paraId="66547023" w14:textId="209B9E4E" w:rsidR="002A0F57"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lastRenderedPageBreak/>
        <w:t xml:space="preserve">وعلى مدار السنوات التالية، أدى هذا التدخل الموضعي وإن كان حاسما، إلى آثار كان لها دوي غير متوقع في أجزاء أخرى من حياة ليلى، وفي النهاية، خرجت عن نطاق السيطرة. لقد حفز التصميم الجديد المفتوح حياة جديدة اعتمدت على الأطعمة سهلة التحضير وقضاء وقت محدود في الانهماك أمام المواقد الساخنة. لم يعد بإمكان ليلى أن تجهز أبسط الأطباق الإيرانية، كطبق القورمه سبزي، إذ يستغرق إعدادها ساعات، وفي أثناء سرعان ما تُطبق روائح الأعشاب على المنزل. كانت مشكلة الروائح مجرد نقطة في بحر: فعند استقبالها الضيوف، سواء كانوا من الأصدقاء أو الزائرين الغرباء، أو أصهارها، فإنهم كانوا يرونها وهي تعمل على الأواني والأطباق. وقد مزق هذا صورتها المرغوبة لمضيفة منعمة وكل شيء تحت سيطرتها. ولأنه لم يكن هناك فصل، فكل الأعمال التي كانت ستتوارى عن أنظار الضيوف، كانت مكشوفة، فخلقت وضعا غير مريح لكلا الطرفين. </w:t>
      </w:r>
    </w:p>
    <w:p w14:paraId="0D14DF65" w14:textId="77777777" w:rsidR="00FD0740" w:rsidRPr="005272A4" w:rsidRDefault="00FD0740" w:rsidP="00FD0740">
      <w:pPr>
        <w:autoSpaceDE w:val="0"/>
        <w:autoSpaceDN w:val="0"/>
        <w:bidi/>
        <w:adjustRightInd w:val="0"/>
        <w:spacing w:after="0" w:line="240" w:lineRule="auto"/>
        <w:rPr>
          <w:rFonts w:ascii="Simplified Arabic" w:hAnsi="Simplified Arabic" w:cs="Simplified Arabic"/>
          <w:rtl/>
        </w:rPr>
      </w:pPr>
    </w:p>
    <w:p w14:paraId="505EE2C7" w14:textId="77777777" w:rsidR="002A0F57" w:rsidRPr="005272A4" w:rsidRDefault="002A0F57" w:rsidP="00FD0740">
      <w:pPr>
        <w:autoSpaceDE w:val="0"/>
        <w:autoSpaceDN w:val="0"/>
        <w:bidi/>
        <w:adjustRightInd w:val="0"/>
        <w:spacing w:after="0" w:line="240" w:lineRule="auto"/>
        <w:rPr>
          <w:rFonts w:ascii="Simplified Arabic" w:hAnsi="Simplified Arabic" w:cs="Simplified Arabic"/>
          <w:rtl/>
        </w:rPr>
      </w:pPr>
      <w:r w:rsidRPr="005272A4">
        <w:rPr>
          <w:rFonts w:ascii="Simplified Arabic" w:hAnsi="Simplified Arabic" w:cs="Simplified Arabic"/>
          <w:rtl/>
        </w:rPr>
        <w:t xml:space="preserve">ولمعالجة هذه المشكلة، حاولت ليلى الاعتماد على الطعام الجهاز. لم تكن تطبيقات الهواتف الذكية لتوصيل طلبات الطعام، من قبيل "سناب فود" مفيدة، إذ كان محرك بحثها يعمل فقط في إطار بضعة كيلومترا، في حين أن مساكن مهر كانت على مسافة أبعد بكثير من أقرب المدن إليها. ولهذا فقد اضطرت ليلى إلى عمل ترتيبات خاصة مع المطاعم، حيث كانت تطلب منهم إرسال الطعام في سيارة أجرة. وكانت تطلب منهم ألا يُحضروا الأطباق إلى أعلى، وتركها بدل ذلك في مرآب السيارات. وبمجرد وصول الطعام، كانت تحمل نفسها عناء النزول لنزع الأغلفة البلاستيكية، ووضع الطعام في أوانيها الخاصة. وكان من شأن ذلك مساعدتها على إخفاء حقيقة أن الطعام لم يتم إعداده في المنزل. ومع هذا، ففي كثير من الأحيان كانت جرس الباب في النهاية أو مكالمة هاتفية من سائق سيارة الأجرة للاستفسار عن الاتجاهات تفضخ الخطة وتسبب حرجا. ولاحقا، حاولت ليلى إعداد أطابق أكثر سهولة في إعدادها، لكن مع مرور الوقت، صارت تدعو عددا أقل من الأشخاص إلى منزلها. كان عدم استقبال أي ضيوف أفضل من الفشل في القيام بدور المضيفة الكريمة. </w:t>
      </w:r>
    </w:p>
    <w:p w14:paraId="632ED3FE" w14:textId="77777777" w:rsidR="002A0F57" w:rsidRPr="005272A4" w:rsidRDefault="002A0F57" w:rsidP="00FD0740">
      <w:pPr>
        <w:autoSpaceDE w:val="0"/>
        <w:autoSpaceDN w:val="0"/>
        <w:bidi/>
        <w:adjustRightInd w:val="0"/>
        <w:spacing w:after="0" w:line="240" w:lineRule="auto"/>
        <w:rPr>
          <w:rFonts w:ascii="Simplified Arabic" w:hAnsi="Simplified Arabic" w:cs="Simplified Arabic"/>
          <w:rtl/>
        </w:rPr>
      </w:pPr>
    </w:p>
    <w:p w14:paraId="1687A01A" w14:textId="77777777" w:rsidR="002A0F57" w:rsidRPr="005272A4" w:rsidRDefault="002A0F57" w:rsidP="00FD0740">
      <w:pPr>
        <w:autoSpaceDE w:val="0"/>
        <w:autoSpaceDN w:val="0"/>
        <w:bidi/>
        <w:adjustRightInd w:val="0"/>
        <w:spacing w:after="0" w:line="240" w:lineRule="auto"/>
        <w:rPr>
          <w:rFonts w:ascii="Simplified Arabic" w:hAnsi="Simplified Arabic" w:cs="Simplified Arabic"/>
          <w:rtl/>
        </w:rPr>
      </w:pPr>
      <w:r w:rsidRPr="005272A4">
        <w:rPr>
          <w:rFonts w:ascii="Simplified Arabic" w:hAnsi="Simplified Arabic" w:cs="Simplified Arabic"/>
          <w:rtl/>
        </w:rPr>
        <w:t xml:space="preserve">بناء جدار </w:t>
      </w:r>
    </w:p>
    <w:p w14:paraId="6C15BD57" w14:textId="74CADCFC" w:rsidR="002A0F57"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t xml:space="preserve">كان كل وحدة في مشروع مهر قرب بلدة دولت آباد في أصفهان تستوعب 16 شقة في مبنى من أربعة طوابق يستند إلى أعمدة (ركائز ترفع الطابق الأول فوق مرآب للسيارات). وتحقيقا للاشتراطات القانونية للحد الأدنى من عدد المساحات المخصصة لركن السيارات، كان لزاما أن يتسم الطابق الأرضي بتصميم مفتوح تماما. محيطه مغلق، لكن الحوائط رفيعة، وتبلغ نصف الارتفاع المعتاد، ويجمعها سياج. ولقد سمح هذا النسق للبنائين بتوفير مواد البناء. وبمرور الوقت، أدرك الأطفال في أحد المجمعات السكنية المجاورة أن هذا النسق سمح لهم برؤية بعضهم البعض أثناء لعبهم في المرآبات أو في الشوارع. أوضحت لي مهدية، ابنة محسان، أن هذا الوضع كان مفيدا بصورة استثنائية في أوقات المساء في الصيف: فما إن يتجرأ واحد أو اثنان من الأطفال على الخوض في الجو الحار ببضع جولات بالدراجة، حتى يظهر عشرات آخرون بعد ثوان، وسرعان ما يجتمع الفريق بالكامل. </w:t>
      </w:r>
    </w:p>
    <w:p w14:paraId="258CB1B3" w14:textId="77777777" w:rsidR="00FD0740" w:rsidRPr="005272A4" w:rsidRDefault="00FD0740" w:rsidP="00FD0740">
      <w:pPr>
        <w:autoSpaceDE w:val="0"/>
        <w:autoSpaceDN w:val="0"/>
        <w:bidi/>
        <w:adjustRightInd w:val="0"/>
        <w:spacing w:after="0" w:line="240" w:lineRule="auto"/>
        <w:rPr>
          <w:rFonts w:ascii="Simplified Arabic" w:hAnsi="Simplified Arabic" w:cs="Simplified Arabic"/>
          <w:rtl/>
        </w:rPr>
      </w:pPr>
    </w:p>
    <w:p w14:paraId="190D9FC7" w14:textId="2189E723" w:rsidR="002A0F57"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t xml:space="preserve">في ربيع 2019، نظم عدد من الآباء في المبنى الذي تسكن به مهدية اجتماعا لبحث أحد الشواغل الطارئة بشأن حائط المرآب. كان لدى عدد منهم بنات في المرحلة الثانية والثالثة على مشارف بلوغ عامهن التاسع. وبالنسبة لأولئك الفتيات فإن وصولهن سن التاسعة من العمر يعني أنهن صرن بالغات، ومن ثم بلغن سن الرشد ليتحملن المسؤولية فيما يتعلق بالتعاليم </w:t>
      </w:r>
      <w:r w:rsidRPr="005272A4">
        <w:rPr>
          <w:rFonts w:ascii="Simplified Arabic" w:hAnsi="Simplified Arabic" w:cs="Simplified Arabic"/>
          <w:rtl/>
        </w:rPr>
        <w:lastRenderedPageBreak/>
        <w:t xml:space="preserve">الإسلامية فيما يتعلق بأدوار الجنسين وآداب اللباس. كما وأن هذه اللحظة تعد بمثابة نقطة فارقة بالنسبة لآباء الفتيات، الذين يصبحون مدركين لاحتمال أن يكون جسد بنتهن البالغة هدفا للنظرات غير المرغوبة. ويعني أن يصير المرء والدا لفتاة بالغة أن يضطلع بالمسؤولية الأبوية لحمايتها. ولم تكن مهدية وعدد من صديقاتها بمثل ذلك الحرص على الالتزام بقواعد اللباس الإسلامية – المتمثلة في ارتداء الحجاب والزي ذي الأكمام الطويلة – عند ركوب دراجاتهن في مساء حار. وكذلك لم يشأ الآباء إجبارهن على القيام بذلك، وإنما داخلهم إحساس بالمسؤولية. ونتيجة لهذا، فقد جمع هؤلاء الآباء أموالا فيما بينهم للحصول على عدد من الطبقات البلاستيكية التي قاموا بتثبيتها في القضبان الحديدية البيضان على امتداد محيط المرآب. وكان سكان المبنى السكني المجاور سبقوهم إلى استعمال طريقة مشابهة لمنع النظرات المحتملة من جانبهم. قالت مهدية هامسة إن هذه الطريقة جعلت من الصعب تنظيم جولاتهن الجماعية بالدراجات. </w:t>
      </w:r>
    </w:p>
    <w:p w14:paraId="4274EBA7" w14:textId="77777777" w:rsidR="00FD0740" w:rsidRPr="005272A4" w:rsidRDefault="00FD0740" w:rsidP="00FD0740">
      <w:pPr>
        <w:autoSpaceDE w:val="0"/>
        <w:autoSpaceDN w:val="0"/>
        <w:bidi/>
        <w:adjustRightInd w:val="0"/>
        <w:spacing w:after="0" w:line="240" w:lineRule="auto"/>
        <w:rPr>
          <w:rFonts w:ascii="Simplified Arabic" w:hAnsi="Simplified Arabic" w:cs="Simplified Arabic"/>
          <w:rtl/>
        </w:rPr>
      </w:pPr>
    </w:p>
    <w:p w14:paraId="3AB761CC" w14:textId="1A813984" w:rsidR="002A0F57"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t xml:space="preserve">ما الذي يمكن استجلاؤه إذن من تلك القصص؟ ما الذي نستمده من قصة حائط تم هدمه وآخر جرى بناؤه؟ إن هدم جدار الفصل بين المطبخ وغرفة المعيشة مرتبط بقصة امرأة من الطبقة العاملة كافحت لتصير متمتعة بالأهلية ثم ناضلت بعد ذلك لتجد لنفسها دورا بعد تلك النقطة الفارقة. وعلى نفس المنوال، فإن بناء جدار الفصل بين المرآبين المتجاورين مرتبط بقصة فتاة في الصف الثالث وصلت سن البلوغ، ثم كافحت بعد ذلك لتحافظ على اختيارها لملابسها ولأنواع العلاقات التي كانت تجمعها بصديقاتها. ونتاجا لهذا، فإن تلك الجدران مرتبطة كذلك بقصص قادة البلاد الرحماء الذين كافحوا لحماية الأمة ضد الإمبريالية الغربية وكذلك الآباء الرحماء المنتمون للطبقة العاملة، الذين هم بدورهم ناضلوا لحماية أجساد بناتهم. وسواء هُدمت تلك الجدران أم بُنيت، فإنها كلا منها يحمل قصصا فردية لنساء دخلن في "مساومة" مع بنيويات متعددة للهيرركية الأسرية وأبوية الدولة التي تدخلت في المساحة الحميمة داخل الوحدات السكنية تماما كما فعلت مع التراب الوطني. وفي تلك المساومات، في عمليات الشد والجذب المحلية والحاسمة تلك، "تتحق" كينونة امرأة من مهر. </w:t>
      </w:r>
    </w:p>
    <w:p w14:paraId="6A883A3E" w14:textId="77777777" w:rsidR="00FD0740" w:rsidRPr="005272A4" w:rsidRDefault="00FD0740" w:rsidP="00FD0740">
      <w:pPr>
        <w:autoSpaceDE w:val="0"/>
        <w:autoSpaceDN w:val="0"/>
        <w:bidi/>
        <w:adjustRightInd w:val="0"/>
        <w:spacing w:after="0" w:line="240" w:lineRule="auto"/>
        <w:rPr>
          <w:rFonts w:ascii="Simplified Arabic" w:hAnsi="Simplified Arabic" w:cs="Simplified Arabic"/>
          <w:rtl/>
        </w:rPr>
      </w:pPr>
      <w:bookmarkStart w:id="0" w:name="_GoBack"/>
      <w:bookmarkEnd w:id="0"/>
    </w:p>
    <w:p w14:paraId="282F940C" w14:textId="77777777" w:rsidR="002A0F57" w:rsidRPr="005272A4" w:rsidRDefault="002A0F57" w:rsidP="00FD0740">
      <w:pPr>
        <w:autoSpaceDE w:val="0"/>
        <w:autoSpaceDN w:val="0"/>
        <w:bidi/>
        <w:adjustRightInd w:val="0"/>
        <w:spacing w:after="0" w:line="240" w:lineRule="auto"/>
        <w:rPr>
          <w:rFonts w:ascii="Simplified Arabic" w:hAnsi="Simplified Arabic" w:cs="Simplified Arabic"/>
        </w:rPr>
      </w:pPr>
      <w:r w:rsidRPr="005272A4">
        <w:rPr>
          <w:rFonts w:ascii="Simplified Arabic" w:hAnsi="Simplified Arabic" w:cs="Simplified Arabic"/>
          <w:rtl/>
        </w:rPr>
        <w:t xml:space="preserve">على أن قصصا بديلة لعملية التحقق هذه يمكن أن تكون موجودة. يمكن أن تكون هنالك قصص تتعدى المساومات الفردية مع البنيويات الأبوية والهيرركية المتوحشة؛ قصص تقض مضاجع تلك الهيرركيات البالية وتلهم نماذج جديدة قريبة الشبه بها. يمكن أن تكون هنالك نماذج جماعية للتحقق: نماذج تحقق تتسع نطاقاتها لتتجاوز جدران الفصل المباشرة التي تفصل غرف المطبخ عن غرف المعيشة، والملاعب عن الشوارع، ومدن الطبقة العاملة عن المدن الكبرى. ومن بين العدد الأولي المستهدف لمساكن مشروع مهر، والمقدر بأربعة ملايين منزل، هناك 2.3 مليون منزل أقيمت بالفعل. ويمثل مشروع مهر – الممتد على رحابة التراب الوطني -من شواطئ بحر قزوين في الشمال إلى الخليج (الفارسي) جنوبا، ومن الحدود مع العراق في الغرب إلى الحدود مع أفغانستان في الشرق – يمثل أرخبيلا إضافيا يتشاطره ما يقرب من 6.9 ملايين إيراني من أبناء الطبقة العاملة. مهر أرض شاسعة، لم يكتب نساؤها قصص تحققهن بعد. </w:t>
      </w:r>
    </w:p>
    <w:p w14:paraId="444F4808" w14:textId="77777777" w:rsidR="002A0F57" w:rsidRPr="005272A4" w:rsidRDefault="002A0F57" w:rsidP="00FD0740">
      <w:pPr>
        <w:autoSpaceDE w:val="0"/>
        <w:autoSpaceDN w:val="0"/>
        <w:adjustRightInd w:val="0"/>
        <w:spacing w:after="0" w:line="240" w:lineRule="auto"/>
        <w:rPr>
          <w:rFonts w:ascii="Simplified Arabic" w:hAnsi="Simplified Arabic" w:cs="Simplified Arabic"/>
          <w:rtl/>
        </w:rPr>
      </w:pPr>
    </w:p>
    <w:p w14:paraId="308B332C" w14:textId="77777777" w:rsidR="00474917" w:rsidRPr="00436317" w:rsidRDefault="00474917" w:rsidP="00FD0740">
      <w:pPr>
        <w:spacing w:after="0" w:line="240" w:lineRule="auto"/>
        <w:rPr>
          <w:rFonts w:ascii="Simplified Arabic Fixed" w:hAnsi="Simplified Arabic Fixed" w:cs="Simplified Arabic Fixed"/>
        </w:rPr>
      </w:pPr>
    </w:p>
    <w:sectPr w:rsidR="00474917" w:rsidRPr="00436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F57"/>
    <w:rsid w:val="000A2B2A"/>
    <w:rsid w:val="000A56CF"/>
    <w:rsid w:val="001048D5"/>
    <w:rsid w:val="002A0F57"/>
    <w:rsid w:val="002A40EB"/>
    <w:rsid w:val="00436317"/>
    <w:rsid w:val="00474917"/>
    <w:rsid w:val="005272A4"/>
    <w:rsid w:val="005A0A70"/>
    <w:rsid w:val="00FD07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9DCEE"/>
  <w15:docId w15:val="{FFE2FCBD-717E-4D14-92BF-E2B0E814F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0F57"/>
    <w:pPr>
      <w:spacing w:after="160" w:line="256" w:lineRule="auto"/>
    </w:pPr>
    <w:rPr>
      <w:rFonts w:ascii="Helvetica Neue" w:hAnsi="Helvetica Neue" w:cs="Helvetica Neue"/>
      <w:color w:val="404040" w:themeColor="text1" w:themeTint="B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A0A70"/>
    <w:rPr>
      <w:sz w:val="16"/>
      <w:szCs w:val="16"/>
    </w:rPr>
  </w:style>
  <w:style w:type="paragraph" w:styleId="CommentText">
    <w:name w:val="annotation text"/>
    <w:basedOn w:val="Normal"/>
    <w:link w:val="CommentTextChar"/>
    <w:uiPriority w:val="99"/>
    <w:semiHidden/>
    <w:unhideWhenUsed/>
    <w:rsid w:val="005A0A70"/>
    <w:pPr>
      <w:spacing w:line="240" w:lineRule="auto"/>
    </w:pPr>
    <w:rPr>
      <w:sz w:val="20"/>
      <w:szCs w:val="20"/>
    </w:rPr>
  </w:style>
  <w:style w:type="character" w:customStyle="1" w:styleId="CommentTextChar">
    <w:name w:val="Comment Text Char"/>
    <w:basedOn w:val="DefaultParagraphFont"/>
    <w:link w:val="CommentText"/>
    <w:uiPriority w:val="99"/>
    <w:semiHidden/>
    <w:rsid w:val="005A0A70"/>
    <w:rPr>
      <w:rFonts w:ascii="Helvetica Neue" w:hAnsi="Helvetica Neue" w:cs="Helvetica Neue"/>
      <w:color w:val="404040" w:themeColor="text1" w:themeTint="BF"/>
      <w:sz w:val="20"/>
      <w:szCs w:val="20"/>
      <w:lang w:val="en-GB"/>
    </w:rPr>
  </w:style>
  <w:style w:type="paragraph" w:styleId="CommentSubject">
    <w:name w:val="annotation subject"/>
    <w:basedOn w:val="CommentText"/>
    <w:next w:val="CommentText"/>
    <w:link w:val="CommentSubjectChar"/>
    <w:uiPriority w:val="99"/>
    <w:semiHidden/>
    <w:unhideWhenUsed/>
    <w:rsid w:val="005A0A70"/>
    <w:rPr>
      <w:b/>
      <w:bCs/>
    </w:rPr>
  </w:style>
  <w:style w:type="character" w:customStyle="1" w:styleId="CommentSubjectChar">
    <w:name w:val="Comment Subject Char"/>
    <w:basedOn w:val="CommentTextChar"/>
    <w:link w:val="CommentSubject"/>
    <w:uiPriority w:val="99"/>
    <w:semiHidden/>
    <w:rsid w:val="005A0A70"/>
    <w:rPr>
      <w:rFonts w:ascii="Helvetica Neue" w:hAnsi="Helvetica Neue" w:cs="Helvetica Neue"/>
      <w:b/>
      <w:bCs/>
      <w:color w:val="404040" w:themeColor="text1" w:themeTint="BF"/>
      <w:sz w:val="20"/>
      <w:szCs w:val="20"/>
      <w:lang w:val="en-GB"/>
    </w:rPr>
  </w:style>
  <w:style w:type="paragraph" w:styleId="Revision">
    <w:name w:val="Revision"/>
    <w:hidden/>
    <w:uiPriority w:val="99"/>
    <w:semiHidden/>
    <w:rsid w:val="005A0A70"/>
    <w:pPr>
      <w:spacing w:after="0" w:line="240" w:lineRule="auto"/>
    </w:pPr>
    <w:rPr>
      <w:rFonts w:ascii="Helvetica Neue" w:hAnsi="Helvetica Neue" w:cs="Helvetica Neue"/>
      <w:color w:val="404040" w:themeColor="text1" w:themeTint="BF"/>
      <w:sz w:val="24"/>
      <w:szCs w:val="24"/>
      <w:lang w:val="en-GB"/>
    </w:rPr>
  </w:style>
  <w:style w:type="paragraph" w:styleId="BalloonText">
    <w:name w:val="Balloon Text"/>
    <w:basedOn w:val="Normal"/>
    <w:link w:val="BalloonTextChar"/>
    <w:uiPriority w:val="99"/>
    <w:semiHidden/>
    <w:unhideWhenUsed/>
    <w:rsid w:val="005A0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A70"/>
    <w:rPr>
      <w:rFonts w:ascii="Tahoma" w:hAnsi="Tahoma" w:cs="Tahoma"/>
      <w:color w:val="404040" w:themeColor="text1" w:themeTint="BF"/>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489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8</cp:revision>
  <dcterms:created xsi:type="dcterms:W3CDTF">2019-09-10T00:44:00Z</dcterms:created>
  <dcterms:modified xsi:type="dcterms:W3CDTF">2019-09-18T10:38:00Z</dcterms:modified>
</cp:coreProperties>
</file>