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00" w:after="200"/>
        <w:jc w:val="center"/>
        <w:rPr/>
      </w:pPr>
      <w:r>
        <w:rPr>
          <w:rFonts w:eastAsia="Arial" w:cs="Arial"/>
          <w:b/>
          <w:bCs/>
          <w:color w:val="1F3864"/>
          <w:sz w:val="52"/>
          <w:szCs w:val="52"/>
        </w:rPr>
        <w:t>SOFTWARE VERIFICATION PLAN</w:t>
      </w:r>
    </w:p>
    <w:p>
      <w:pPr>
        <w:pStyle w:val="Normal"/>
        <w:pBdr>
          <w:bottom w:val="single" w:sz="8" w:space="4" w:color="2E75B6"/>
        </w:pBdr>
        <w:spacing w:before="100" w:after="100"/>
        <w:jc w:val="center"/>
        <w:rPr/>
      </w:pPr>
      <w:r>
        <w:rPr>
          <w:rFonts w:eastAsia="Arial" w:cs="Arial"/>
          <w:b/>
          <w:bCs/>
          <w:color w:val="2E75B6"/>
          <w:sz w:val="40"/>
          <w:szCs w:val="40"/>
        </w:rPr>
        <w:t>SVP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spacing w:before="200" w:after="100"/>
        <w:jc w:val="center"/>
        <w:rPr/>
      </w:pPr>
      <w:r>
        <w:rPr>
          <w:rFonts w:eastAsia="Arial" w:cs="Arial"/>
          <w:b/>
          <w:bCs/>
          <w:i/>
          <w:iCs/>
          <w:color w:val="444444"/>
          <w:sz w:val="28"/>
          <w:szCs w:val="28"/>
        </w:rPr>
        <w:t>Intelligent Safety-Critical Engineering Environment Toolchain</w:t>
      </w:r>
    </w:p>
    <w:p>
      <w:pPr>
        <w:pStyle w:val="Normal"/>
        <w:spacing w:before="50" w:after="400"/>
        <w:jc w:val="center"/>
        <w:rPr/>
      </w:pPr>
      <w:r>
        <w:rPr>
          <w:rFonts w:eastAsia="Arial" w:cs="Arial"/>
          <w:color w:val="666666"/>
          <w:sz w:val="24"/>
          <w:szCs w:val="24"/>
        </w:rPr>
        <w:t>DO-178C Lifecycle Automation (M1 → M6)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>
          <w:tblHeader w:val="true"/>
        </w:trPr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Document ID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SVP-TOOLCHAIN-0xx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Version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2.2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Status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DRAFT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Date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I-SCEET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Institution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Capgemini Engineering / ESPRIT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DAL Level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 (Assumed for demonstration purposes in an Engine Control-like safety-critical context)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Standard</w:t>
            </w:r>
          </w:p>
        </w:tc>
        <w:tc>
          <w:tcPr>
            <w:tcW w:w="6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RTCA DO-178C / EUROCAE ED-12C + DO-330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1. Document Revision History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9"/>
        <w:gridCol w:w="1800"/>
        <w:gridCol w:w="2400"/>
        <w:gridCol w:w="3960"/>
      </w:tblGrid>
      <w:tr>
        <w:trPr>
          <w:tblHeader w:val="true"/>
        </w:trPr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Initial draft — project kickoff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2.0</w:t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2026-06-29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Added AI model independence verification (Sec. 3.3): M4 (Gemma3 27B) independent of M3 (Qwen2.5-Coder 32B); M5 (DeepSeek-R1 32B) independent of M1 (Qwen3 32B)</w:t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1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2. Introduction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2.1 Purpose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Software Verification Plan (SVP) defines the verification processes, methods, activities, and responsibilities for the Intelligent Safety-Critical Engineering Environment Toolchain (I-SCEET) project. The SVP establishes how each AI-generated lifecycle artifact will be verified against DO-178C objectives prior to use in downstream activities.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shall be reviewed and approved prior to the commencement of any verification activity and is a required deliverable for SOI #1.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2.2 Project Overview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I-SCEET project is an AI-powered toolchain composed of six intelligent modules (M1 to M6). Verification activities apply to the outputs of each module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81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600"/>
        <w:gridCol w:w="1500"/>
        <w:gridCol w:w="1699"/>
        <w:gridCol w:w="1300"/>
        <w:gridCol w:w="2101"/>
        <w:gridCol w:w="899"/>
      </w:tblGrid>
      <w:tr>
        <w:trPr>
          <w:tblHeader w:val="true"/>
        </w:trPr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Output Document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Verification Document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§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HLR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PDS + HW Doc + System Architecture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record + SRD-0xx sign-off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§5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 (HLRs)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record + SDDD-0xx sign-off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Code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 (LLRs)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Code review + static analysis report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§7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LLT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 (LLRs)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LLT review record + coverage report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§9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 (HLRs)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SVTC-0xx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 review record + coverage report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§9</w:t>
            </w:r>
          </w:p>
        </w:tc>
      </w:tr>
      <w:tr>
        <w:trPr/>
        <w:tc>
          <w:tcPr>
            <w:tcW w:w="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Generator</w:t>
            </w:r>
          </w:p>
        </w:tc>
        <w:tc>
          <w:tcPr>
            <w:tcW w:w="1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artifacts</w:t>
            </w:r>
          </w:p>
        </w:tc>
        <w:tc>
          <w:tcPr>
            <w:tcW w:w="13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TM-0xx</w:t>
            </w:r>
          </w:p>
        </w:tc>
        <w:tc>
          <w:tcPr>
            <w:tcW w:w="21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audit record</w:t>
            </w:r>
          </w:p>
        </w:tc>
        <w:tc>
          <w:tcPr>
            <w:tcW w:w="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§11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2.3 Scope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SVP covers all verification activities performed on AI-generated artifacts within the I-SCEET project. It applies to reviews, analyses, testing, coverage measurement, and traceability verification. It does not cover the development activities themselves, which are governed by SDP-TOOLCHAIN-0xx.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2.4 Referenced Documents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DO-178C — Software Considerations in Airborne Systems and Equipment Certification (2012)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RTCA DO-330 — Software Tool Qualification Considerations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SAE ARP4754A — Guidelines for Development of Civil Aircraft and Systems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SAE ARP4761 — Guidelines for Conducting Safety Assessments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PSAC-TOOLCHAIN-0xx — Plan for Software Aspects of Certification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SDP-TOOLCHAIN-0xx — Software Development Plan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SCMP-TOOLCHAIN-0xx — Software Configuration Management Plan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SQAP-TOOLCHAIN-0xx — Software Quality Assurance Plan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SRS-0xx — Software Requirements Standards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SDS-0xx — Software Design Standards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SCS-0xx — Software Code Standards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3. Verification Overview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3.1 Verification Objectives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verification process shall demonstrate that the software lifecycle data produced by each AI module satisfies the applicable DO-178C objectives. In accordance with DO-178C §6.3, verification shall establish that: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Requirements are accurate, consistent, verifiable, and traceable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software design correctly and completely implements the requirements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source code correctly implements the design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Test cases adequately cover all requirements and achieve required structural coverage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Traceability is complete and bidirectional across all lifecycle artifacts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3.2 Verification Approach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Each AI-generated artifact follows a generate-then-verify model. No artifact may be used as input to a subsequent module until it has been independently reviewed and all action items closed. The following verification methods are applied: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99"/>
        <w:gridCol w:w="3600"/>
        <w:gridCol w:w="3961"/>
      </w:tblGrid>
      <w:tr>
        <w:trPr>
          <w:tblHeader w:val="true"/>
        </w:trPr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Applied to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Review / Inspection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 reads the artifact against a DO-178C checklist and raises action items for any deficiency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SRD-0xx, SDDD-0xx, /src, SUTC-0xx, SVTC-0xx, TM-0xx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Analysis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Formal assessment of properties such as traceability completeness, complexity, MISRA-C compliance, orphan detection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LLRs, Source Code, Traceability Matrix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Testing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Execution of generated test cases (SUTC-0xx, SVTC-0xx) against source code and measurement of structural coverage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</w:t>
            </w:r>
          </w:p>
        </w:tc>
      </w:tr>
      <w:tr>
        <w:trPr/>
        <w:tc>
          <w:tcPr>
            <w:tcW w:w="1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Analysis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Measurement of statement, decision, and MC/DC coverage against DAL A objectives using a qualified coverage tool</w:t>
            </w:r>
          </w:p>
        </w:tc>
        <w:tc>
          <w:tcPr>
            <w:tcW w:w="3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folder — all modules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3.3 Verification Independence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Per DO-178C §6.3.2, verification activities shall be performed by personnel independent from those who produced the artifact under review. Independence is defined as: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reviewer has not configured, prompted, or tuned the AI module that produced the artifact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The reviewer has not authored the input document(s) fed to the AI module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At the AI module level, independent verification modules (M4, M5) shall use a distinct model and prompt from the generation modules they verify: M4 (Gemma3 27B) is independent of M3 (Qwen2.5-Coder 32B); M5 (DeepSeek-R1-Distill 32B) is independent of M1 (Qwen3 32B), per SCMP-TOOLCHAIN-0xx §3.3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For DAL A, tool-generated verification outputs (coverage reports, static analysis) shall additionally be reviewed by an independent engineer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4. Verification Activities by Module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4.1 M1 Output Verification — SRD-0xx (HLRs)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HLRs generated by M1 and the System Architecture section provided by the engineer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2000"/>
        <w:gridCol w:w="2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HLR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conforms to SRS-0xx format rules (ID, 'shall' language, no ambiguity)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§6.3.1a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Completeness Check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Every PDS item has at least one HLR child; no unaddressed system requirement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§6.3.1b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Consistency Check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contradictions exist between HLRs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§6.3.1c — Consistency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Verifiability Check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can be verified by inspection, analysis, or test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§6.3.1d — Verifiability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Derived Req.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[DERIVED] HLRs identified, justified, and submitted to safety process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§6.3.1e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Systems Engineer + QA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Check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is linked to at least one PDS item; TM-0xx updated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§6.3.1f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System Architecture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Architecture section is consistent with HW doc and PDS inputs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Engineer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4.2 M2 Output Verification — SDDD-0xx (Software Architecture + LLRs)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Software Architecture and LLRs generated by M2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2000"/>
        <w:gridCol w:w="2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LLR conforms to SRS-0xx format; correct 'shall' language; no ambiguity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§6.3.2a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HLR-to-LLR Completeness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is fully addressed by at least one LLR; no HLR left unimplemented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§6.3.2b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Undocumented Functions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LLR introduces functionality not traceable to an HLR (unless [DERIVED])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§6.3.2c — Consistency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Architecture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Module decomposition, interfaces, and data flows correctly implement HLRs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§6.3.2d — Design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Complexity Analysis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module exceeds complexity limits defined in SDS-0xx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§6.3.2e — Standards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Traceability Update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LLR-to-HLR links established and recorded in TM-0xx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§6.3.2f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4.3 M3 Output Verification — /src Folder (Source Code)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source code generated by M3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2000"/>
        <w:gridCol w:w="2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Code Review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source file reviewed against SCS-0xx checklist: naming, commenting, structure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§6.3.3a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LLR-to-Code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LLR is implemented by at least one function; header comments reference LLR IDs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§6.3.3b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MISRA-C Analysis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Static analysis tool run on all /src files; all mandatory rules satisfied; deviations logged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§6.3.3c — Standards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Dead Code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unreachable code paths exist in any /src file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§6.3.3d — Consistency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Stack / Memory Usage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dynamic memory allocation; stack depth estimated and within hardware limits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§6.3.3e — Safety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Code-to-LLR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code traced to at least one LLR; orphan code reported to M6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§6.3.3f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4.4 M4 Output Verification — SUTC-0xx (Low Level Tests)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M4 reads EXCLUSIVELY from SDDD-0xx (LLRs). The generated LLT cases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99"/>
        <w:gridCol w:w="2801"/>
        <w:gridCol w:w="2000"/>
        <w:gridCol w:w="2359"/>
      </w:tblGrid>
      <w:tr>
        <w:trPr>
          <w:tblHeader w:val="true"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LLR Coverage Review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LLR has at least one normal-range test case and one robustness test case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§6.4.2.1a — Coverage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Case Accuracy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Expected results defined for each test case; no ambiguous pass/fail criteria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§6.4.2.1b — Accuracy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Structural Coverage (DAL A)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Statement + Decision + MC/DC coverage achieved on all /src files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§6.4.4.2 — MC/DC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Tool +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Input Boundary Analysis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Boundary values, equivalence classes, and invalid inputs covered per LLR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§6.4.2.1c — Robustness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LLT-to-LLR Traceability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test case traces to at least one LLR; no orphan test cases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§6.4.2.2 — Traceability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Independence</w:t>
            </w:r>
          </w:p>
        </w:tc>
        <w:tc>
          <w:tcPr>
            <w:tcW w:w="28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LLT author has not configured M4 or authored SDDD-0xx LLRs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 — Independence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4.5 M5 Output Verification — SVTC-0xx (High Level Tests)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M5 reads EXCLUSIVELY from SRD-0xx (HLRs). The generated HLT cases shall be verified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2899"/>
        <w:gridCol w:w="2001"/>
        <w:gridCol w:w="24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HLR Coverage Review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has at least one normal-range test case validating functional behavior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§6.4.1.1a — Coverage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Case Accuracy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Expected results defined for each test case; no ambiguous pass/fail criteria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§6.4.1.1b — Accuracy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Boundary &amp; Robustness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Performance and timing requirements verified; out-of-range inputs tested per HLR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§6.4.1.1c — Robustness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HLT-to-HLR Traceability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test case traces to at least one HLR in SRD-0xx; no orphan test cases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§6.4.1.2 — Traceability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LLR Leakage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 cases reference only HLRs from SRD-0xx — never LLRs from SDDD-0xx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§6.4.1 — Independence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Functional Independence</w:t>
            </w:r>
          </w:p>
        </w:tc>
        <w:tc>
          <w:tcPr>
            <w:tcW w:w="28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HLT author has not configured M5 or authored SRD-0xx HLRs</w:t>
            </w:r>
          </w:p>
        </w:tc>
        <w:tc>
          <w:tcPr>
            <w:tcW w:w="20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§6.3.2 — Independence</w:t>
            </w:r>
          </w:p>
        </w:tc>
        <w:tc>
          <w:tcPr>
            <w:tcW w:w="24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4.6 M6 Output Verification — TM-0xx (Traceability Matrix)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The traceability matrix generated by M6 shall be audited as follows: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3000"/>
        <w:gridCol w:w="2000"/>
        <w:gridCol w:w="2359"/>
      </w:tblGrid>
      <w:tr>
        <w:trPr>
          <w:tblHeader w:val="true"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Activity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DO-178C Objective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Performed By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Upward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traces to at least one PDS item; each LLR traces to at least one HLR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§6.5a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Downward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PDS item covered by HLR; each HLR covered by LLR; each LLR covered by code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§6.5b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Test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Each HLR covered by at least one HLT; each LLR covered by at least one LLT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§6.5c — Coverage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Orphan Detection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HLR, LLR, source file, or test case exists without a parent link in TM-0xx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§6.5d — Completeness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 + Engineer</w:t>
            </w:r>
          </w:p>
        </w:tc>
      </w:tr>
      <w:tr>
        <w:trPr/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Traceability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results (MC/DC) linked to corresponding LLR and test case IDs in TM-0xx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§6.5e — Coverage</w:t>
            </w:r>
          </w:p>
        </w:tc>
        <w:tc>
          <w:tcPr>
            <w:tcW w:w="2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5. Coverage Objectives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5.1 Structural Coverage by DAL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As this project assumes DAL A (Engine Control context), ALL three coverage levels are required on all /src files: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00"/>
        <w:gridCol w:w="1399"/>
        <w:gridCol w:w="1401"/>
        <w:gridCol w:w="1400"/>
        <w:gridCol w:w="4260"/>
      </w:tblGrid>
      <w:tr>
        <w:trPr>
          <w:tblHeader w:val="true"/>
        </w:trPr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DAL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Statement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MC/DC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Status for I-SCEET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✓ </w:t>
            </w:r>
            <w:r>
              <w:rPr>
                <w:rFonts w:eastAsia="Arial" w:cs="Arial"/>
                <w:sz w:val="20"/>
                <w:szCs w:val="20"/>
              </w:rPr>
              <w:t>APPLIES — all /src files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N/A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Required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N/A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Not Required</w:t>
            </w:r>
          </w:p>
        </w:tc>
        <w:tc>
          <w:tcPr>
            <w:tcW w:w="42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N/A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5.2 MC/DC Coverage Requirements (DAL A)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Modified Condition/Decision Coverage (MC/DC) requires that for every Boolean decision: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Each condition in the decision has been shown to independently affect the outcome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Each condition has been shown to take both a TRUE and FALSE value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Each decision has been shown to take both a TRUE and FALSE outcome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M4-generated test cases (SUTC-0xx) must achieve full MC/DC on all /src files. Coverage gaps identified during execution must be reported as problem reports and resolved before SOI #3.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5.3 Coverage Tool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 qualified coverage analysis tool shall be used to measure structural coverage. The tool shall be qualified per DO-330 at the appropriate TQL level. Coverage results shall be recorded in the Software Verification Test Result (SVTR-0xx) and linked to TM-0xx.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6. Verification Environment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6.1 Verification Tools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99"/>
        <w:gridCol w:w="4200"/>
        <w:gridCol w:w="2761"/>
      </w:tblGrid>
      <w:tr>
        <w:trPr>
          <w:tblHeader w:val="true"/>
        </w:trPr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Qualification Required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 — AI LLT Agent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Generate low level test cases from SDDD-0xx LLRs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TQL-4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M5 — AI HLT Agent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Generate high level test cases from SRD-0xx HLRs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TQL-4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 — Traceability Agent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Generate and audit TM-0xx traceability matrix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TQL-5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Static Analysis Tool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MISRA-C compliance check on /src folder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TQL-5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Coverage Analysis Tool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Statement / Decision / MC/DC coverage on /src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Yes — DO-330 TQL-4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[Test Execution Tool]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Execute SUTC-0xx and SVTC-0xx on target or host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TBD</w:t>
            </w:r>
          </w:p>
        </w:tc>
      </w:tr>
      <w:tr>
        <w:trPr/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[Version Control — Git]</w:t>
            </w:r>
          </w:p>
        </w:tc>
        <w:tc>
          <w:tcPr>
            <w:tcW w:w="4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Baseline verification artifacts</w:t>
            </w:r>
          </w:p>
        </w:tc>
        <w:tc>
          <w:tcPr>
            <w:tcW w:w="27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6.2 Target Environment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Verification activities shall be performed on the following environment: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Host OS: Linux (Debian 12) or Windows 11 — version controlled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Target Hardware: STM32F303-based embedded system (for integration testing)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Compiler: [TBD — version locked and configuration-managed]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All tool versions and configurations shall be recorded in the Software Configuration Index (SCI)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7. Verification Results and Problem Reports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7.1 Software Verification Test Result (SVTR-0xx)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verification activities shall produce recorded results stored in SVTR-0xx. For each verification activity, SVTR-0xx shall capture: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Artifact verified (document ID, version, date)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Verification method applied (review / analysis / test / coverage)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Pass / Fail status for each criterion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Reviewer name and independence confirmation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Reference to any problem reports raised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Final sign-off and date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7.2 Problem Reports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Any deficiency identified during a verification activity shall be recorded as a Problem Report (PR) in the project tracking system. Problem reports shall: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Be assigned a unique ID (PR-NNN)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Classify severity: Critical / Major / Minor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Reference the artifact and criterion that failed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Be resolved and closed before the artifact is accepted as verified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Be tracked through to SOI gate closure per SCMP-TOOLCHAIN-0xx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7.3 Re-Verification Rules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a verified artifact is modified after acceptance (e.g., due to a change request), the following re-verification rules apply: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Any change to SRD-0xx HLRs triggers re-verification of SDDD-0xx, /src, SVTC-0xx, and TM-0xx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Any change to SDDD-0xx LLRs triggers re-verification of /src, SUTC-0xx, and TM-0xx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Any change to /src triggers re-execution of SUTC-0xx and re-measurement of coverage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Impact analysis must be performed and documented before re-verification scope is agreed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8. Transition Criteria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99"/>
        <w:gridCol w:w="2201"/>
        <w:gridCol w:w="2699"/>
        <w:gridCol w:w="2860"/>
      </w:tblGrid>
      <w:tr>
        <w:trPr>
          <w:tblHeader w:val="true"/>
        </w:trPr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Phase Transition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Entry Criteria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Exit Criteria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Responsible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 → M1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PSAC, SDP, SVP, SCMP, SQAP, SRS-0xx, SDS-0xx, SCS-0xx all approved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authority SOI #1 review passed; all planning docs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Supervisor + QA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M1 → M2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 produced by M1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 §2 (HLRs) reviewed; all PRs closed; SRD-0xx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M2 → M3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 produced by M2; SRD-0xx verified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 reviewed (architecture + LLRs); no undocumented functions; SDDD-0xx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M3 → M4/M5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SDDD-0xx verified; /src produced by M3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/src reviewed; MISRA-C clean; LLR-to-code traceability complete; /src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M4/M5 → M6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 and SVTC-0xx produced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Both test sets reviewed; coverage executed; MC/DC achieved; SVTR-0xx updated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Independent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M6 → SOI #3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TM-0xx produced by M6; all prior verifications complete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TM-0xx audited; no orphan requirements or code; TM-0xx baselined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QA + Engineer</w:t>
            </w:r>
          </w:p>
        </w:tc>
      </w:tr>
      <w:tr>
        <w:trPr/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 → SOI #4</w:t>
            </w:r>
          </w:p>
        </w:tc>
        <w:tc>
          <w:tcPr>
            <w:tcW w:w="2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lifecycle data complete and baselined</w:t>
            </w:r>
          </w:p>
        </w:tc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SAS-0xx compiled; certification authority SOI #4 review passed</w:t>
            </w:r>
          </w:p>
        </w:tc>
        <w:tc>
          <w:tcPr>
            <w:tcW w:w="2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 + QA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9. SOI Review Plan</w:t>
      </w:r>
    </w:p>
    <w:p>
      <w:pPr>
        <w:pStyle w:val="Normal"/>
        <w:spacing w:before="100" w:after="10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00"/>
        <w:gridCol w:w="1499"/>
        <w:gridCol w:w="3000"/>
        <w:gridCol w:w="3960"/>
      </w:tblGrid>
      <w:tr>
        <w:trPr>
          <w:tblHeader w:val="true"/>
        </w:trPr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SOI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Timing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Verification Items Reviewed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#1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Before M1 starts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SVP-TOOLCHAIN-0xx (this document), PSAC, SDP, SCMP, SQAP, SRS-0xx, SDS-0xx, SCS-0xx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planning and standards documents approved; verification approach accepted by certification authority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#2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After M1 + M2 + M3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SRD-0xx review record, SDDD-0xx review record, /src review record, MISRA-C report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artifacts reviewed, PRs closed, baselines established; no open critical or major issues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#3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After M4 + M5 + M6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SUTC-0xx review, SVTC-0xx review, SVTR-0xx (coverage results), TM-0xx audit record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MC/DC coverage achieved on all /src; traceability complete; no orphans; all PRs resolved</w:t>
            </w:r>
          </w:p>
        </w:tc>
      </w:tr>
      <w:tr>
        <w:trPr/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SOI #4</w:t>
            </w:r>
          </w:p>
        </w:tc>
        <w:tc>
          <w:tcPr>
            <w:tcW w:w="14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 end</w:t>
            </w:r>
          </w:p>
        </w:tc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SAS-0xx, full lifecycle data package</w:t>
            </w:r>
          </w:p>
        </w:tc>
        <w:tc>
          <w:tcPr>
            <w:tcW w:w="39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All DO-178C objectives for DAL A satisfied; SAS-0xx signed off</w:t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10. Configuration Management and Quality Assurance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10.1 Configuration Management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All verification artifacts (review records, SVTR-0xx, PRs, coverage reports) shall be placed under configuration management per SCMP-TOOLCHAIN-0xx. Key rules: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Verification records shall be baselined at each SOI gate alongside the artifacts they verify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Any re-verification triggered by a change shall reference the original PR and be linked to the updated artifact baseline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SVTR-0xx shall be version-controlled and updated with each new verification cycle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10.2 Quality Assurance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SQA verification activities are governed by SQAP-TOOLCHAIN-0xx. Verification-phase SQA activities include: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Confirmation that no artifact was accepted as verified without a completed review record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Audit that M4 only reads SDDD-0xx and M5 only reads SRD-0xx — mixing is a non-conformance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Confirmation that coverage results meet DAL A MC/DC objectives before SOI #3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Review of all open PRs before each SOI gate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11. Additional Considerations</w:t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11.1 Verification of Derived Requirements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HLRs tagged [DERIVED] in SRD-0xx shall undergo an additional verification step: safety impact assessment per ARP4761. Derived LLRs in SDDD-0xx shall similarly be flagged and reviewed. No derived requirement shall propagate to M3 or M4/M5 without explicit engineer approval.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11.2 AI Non-Determinism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AI modules (M4, M5) may produce different test cases across runs for identical inputs. To mitigate this: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Model version and generation parameters (temperature, seed) shall be locked and configuration-managed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If re-generation is required, all previously accepted test cases shall be re-reviewed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Differences between generations shall be documented as a change request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11.3 Coverage Gaps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If structural coverage analysis reveals uncovered code paths after M4 test execution, the following process applies: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 problem report (PR) shall be raised identifying the uncovered path and its source LLR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M4 may be re-run with additional constraints to generate supplementary test cases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If coverage cannot be achieved, a formal justification (dead code analysis) shall be produced and accepted by QA</w:t>
      </w:r>
    </w:p>
    <w:p>
      <w:pPr>
        <w:pStyle w:val="Normal"/>
        <w:spacing w:before="100" w:after="100"/>
        <w:rPr/>
      </w:pPr>
      <w:r>
        <w:rPr/>
      </w:r>
    </w:p>
    <w:p>
      <w:pPr>
        <w:pStyle w:val="Heading2"/>
        <w:spacing w:before="300" w:after="150"/>
        <w:rPr/>
      </w:pPr>
      <w:r>
        <w:rPr>
          <w:rFonts w:eastAsia="Arial" w:cs="Arial" w:ascii="Arial" w:hAnsi="Arial"/>
          <w:b/>
          <w:bCs/>
          <w:color w:val="2E75B6"/>
          <w:sz w:val="24"/>
          <w:szCs w:val="24"/>
        </w:rPr>
        <w:t>11.4 Limitations of AI-Generated Test Cases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AI-generated test cases may not cover all corner cases — mitigated by mandatory independent review against DO-178C §9 objectives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AI-generated expected results may contain errors — mitigated by engineer validation of each expected result prior to test execution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sz w:val="22"/>
          <w:szCs w:val="22"/>
        </w:rPr>
        <w:t>Coverage tool results are only valid if the tool is qualified per DO-330 — tool qualification must be confirmed before SOI #3</w:t>
      </w:r>
    </w:p>
    <w:p>
      <w:pPr>
        <w:pStyle w:val="Normal"/>
        <w:spacing w:before="100" w:after="1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4" w:color="2E75B6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1F3864"/>
          <w:sz w:val="28"/>
          <w:szCs w:val="28"/>
        </w:rPr>
        <w:t>12. Approvals</w:t>
      </w:r>
    </w:p>
    <w:p>
      <w:pPr>
        <w:pStyle w:val="Normal"/>
        <w:spacing w:before="80" w:after="80"/>
        <w:rPr/>
      </w:pPr>
      <w:r>
        <w:rPr>
          <w:rFonts w:eastAsia="Arial" w:cs="Arial"/>
          <w:sz w:val="22"/>
          <w:szCs w:val="22"/>
        </w:rPr>
        <w:t>This document requires the following approvals before SOI #1:</w:t>
      </w:r>
    </w:p>
    <w:p>
      <w:pPr>
        <w:pStyle w:val="Normal"/>
        <w:spacing w:before="100" w:after="100"/>
        <w:rPr/>
      </w:pPr>
      <w:r>
        <w:rPr/>
      </w:r>
    </w:p>
    <w:tbl>
      <w:tblPr>
        <w:tblW w:w="8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2199"/>
        <w:gridCol w:w="2481"/>
        <w:gridCol w:w="1479"/>
      </w:tblGrid>
      <w:tr>
        <w:trPr>
          <w:tblHeader w:val="true"/>
        </w:trPr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F3864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Hatem ADOUANI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Project Supervisor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[Supervisor Name]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Quality Assurance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[QA Name]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2F2F2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2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Certification Authority</w:t>
            </w:r>
          </w:p>
        </w:tc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[Authority Rep]</w:t>
            </w:r>
          </w:p>
        </w:tc>
        <w:tc>
          <w:tcPr>
            <w:tcW w:w="24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14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FFFFFF" w:val="clear"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100" w:after="100"/>
        <w:rPr/>
      </w:pPr>
      <w:r>
        <w:rPr/>
      </w:r>
    </w:p>
    <w:sectPr>
      <w:headerReference w:type="default" r:id="rId2"/>
      <w:footerReference w:type="default" r:id="rId3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6" w:space="4" w:color="2E75B6"/>
      </w:pBdr>
      <w:tabs>
        <w:tab w:val="clear" w:pos="720"/>
        <w:tab w:val="right" w:pos="9026" w:leader="none"/>
      </w:tabs>
      <w:rPr/>
    </w:pPr>
    <w:r>
      <w:rPr>
        <w:rFonts w:eastAsia="Arial" w:cs="Arial"/>
        <w:color w:val="666666"/>
        <w:sz w:val="18"/>
        <w:szCs w:val="18"/>
      </w:rPr>
      <w:t>CONFIDENTIAL — Capgemini Engineering / ESPRIT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4" w:color="2E75B6"/>
      </w:pBdr>
      <w:rPr/>
    </w:pPr>
    <w:r>
      <w:rPr>
        <w:rFonts w:eastAsia="Arial" w:cs="Arial"/>
        <w:color w:val="666666"/>
        <w:sz w:val="18"/>
        <w:szCs w:val="18"/>
      </w:rPr>
      <w:t>SVP — I-SCEET   |   S</w:t>
    </w:r>
    <w:r>
      <w:rPr>
        <w:rFonts w:eastAsia="Arial" w:cs="Arial"/>
        <w:color w:val="666666"/>
        <w:sz w:val="18"/>
        <w:szCs w:val="18"/>
      </w:rPr>
      <w:t>oftware</w:t>
    </w:r>
    <w:r>
      <w:rPr>
        <w:rFonts w:eastAsia="Arial" w:cs="Arial"/>
        <w:color w:val="666666"/>
        <w:sz w:val="18"/>
        <w:szCs w:val="18"/>
      </w:rPr>
      <w:t xml:space="preserve"> V</w:t>
    </w:r>
    <w:r>
      <w:rPr>
        <w:rFonts w:eastAsia="Arial" w:cs="Arial"/>
        <w:color w:val="666666"/>
        <w:sz w:val="18"/>
        <w:szCs w:val="18"/>
      </w:rPr>
      <w:t>erification</w:t>
    </w:r>
    <w:r>
      <w:rPr>
        <w:rFonts w:eastAsia="Arial" w:cs="Arial"/>
        <w:color w:val="666666"/>
        <w:sz w:val="18"/>
        <w:szCs w:val="18"/>
      </w:rPr>
      <w:t xml:space="preserve"> P</w:t>
    </w:r>
    <w:r>
      <w:rPr>
        <w:rFonts w:eastAsia="Arial" w:cs="Arial"/>
        <w:color w:val="666666"/>
        <w:sz w:val="18"/>
        <w:szCs w:val="18"/>
      </w:rPr>
      <w:t>lan</w:t>
    </w:r>
    <w:r>
      <w:rPr>
        <w:rFonts w:eastAsia="Arial" w:cs="Arial"/>
        <w:color w:val="666666"/>
        <w:sz w:val="18"/>
        <w:szCs w:val="18"/>
      </w:rPr>
      <w:t xml:space="preserve">   |   v2.2   |   DRAFT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1F3864"/>
      <w:sz w:val="28"/>
      <w:szCs w:val="28"/>
    </w:rPr>
  </w:style>
  <w:style w:type="paragraph" w:styleId="Heading2">
    <w:name w:val="Heading 2"/>
    <w:basedOn w:val="Heading"/>
    <w:qFormat/>
    <w:pPr>
      <w:spacing w:before="300" w:after="150"/>
      <w:outlineLvl w:val="1"/>
    </w:pPr>
    <w:rPr>
      <w:rFonts w:ascii="Arial" w:hAnsi="Arial" w:eastAsia="Arial" w:cs="Arial"/>
      <w:b/>
      <w:bCs/>
      <w:color w:val="2E75B6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2026-04-21T21:17:07Z</dcterms:created>
  <dc:creator>Un-named</dc:creator>
  <dc:description/>
  <dc:language>en-US</dc:language>
  <cp:lastModifiedBy/>
  <dcterms:modified xsi:type="dcterms:W3CDTF">2026-06-30T23:32:09Z</dcterms:modified>
  <cp:revision>2</cp:revision>
  <dc:subject/>
  <dc:title/>
</cp:coreProperties>
</file>