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00"/>
        <w:jc w:val="center"/>
        <w:rPr/>
      </w:pPr>
      <w:r>
        <w:rPr>
          <w:rFonts w:eastAsia="Arial" w:cs="Arial"/>
          <w:b/>
          <w:bCs/>
          <w:color w:val="1F3864"/>
          <w:sz w:val="52"/>
          <w:szCs w:val="52"/>
        </w:rPr>
        <w:t>PLAN FOR SOFTWARE ASPECTS OF CERTIFICATION</w:t>
      </w:r>
    </w:p>
    <w:p>
      <w:pPr>
        <w:pStyle w:val="Normal"/>
        <w:pBdr>
          <w:bottom w:val="single" w:sz="8" w:space="4" w:color="2E75B6"/>
        </w:pBdr>
        <w:spacing w:before="100" w:after="100"/>
        <w:jc w:val="center"/>
        <w:rPr/>
      </w:pPr>
      <w:r>
        <w:rPr>
          <w:rFonts w:eastAsia="Arial" w:cs="Arial"/>
          <w:b/>
          <w:bCs/>
          <w:color w:val="2E75B6"/>
          <w:sz w:val="40"/>
          <w:szCs w:val="40"/>
        </w:rPr>
        <w:t>PSAC</w:t>
      </w:r>
    </w:p>
    <w:p>
      <w:pPr>
        <w:pStyle w:val="Normal"/>
        <w:spacing w:before="100" w:after="100"/>
        <w:rPr/>
      </w:pPr>
      <w:r>
        <w:rPr/>
      </w:r>
    </w:p>
    <w:p>
      <w:pPr>
        <w:pStyle w:val="Normal"/>
        <w:spacing w:before="200" w:after="100"/>
        <w:jc w:val="center"/>
        <w:rPr/>
      </w:pPr>
      <w:r>
        <w:rPr>
          <w:rFonts w:eastAsia="Arial" w:cs="Arial"/>
          <w:b/>
          <w:bCs/>
          <w:i/>
          <w:iCs/>
          <w:color w:val="444444"/>
          <w:sz w:val="28"/>
          <w:szCs w:val="28"/>
        </w:rPr>
        <w:t>Intelligent Safety-Critical Engineering Environment Toolchain</w:t>
      </w:r>
    </w:p>
    <w:p>
      <w:pPr>
        <w:pStyle w:val="Normal"/>
        <w:spacing w:before="50" w:after="400"/>
        <w:jc w:val="center"/>
        <w:rPr/>
      </w:pPr>
      <w:r>
        <w:rPr>
          <w:rFonts w:eastAsia="Arial" w:cs="Arial"/>
          <w:color w:val="666666"/>
          <w:sz w:val="24"/>
          <w:szCs w:val="24"/>
        </w:rPr>
        <w:t>DO-178C Lifecycle Automation (M1 → M6)</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Field</w:t>
            </w:r>
          </w:p>
        </w:tc>
        <w:tc>
          <w:tcPr>
            <w:tcW w:w="636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Value</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Document ID</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PSAC-TOOLCHAIN-001</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Version</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1.0</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Status</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DRAFT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Date</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2026-03-15</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Author</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Hatem A</w:t>
            </w:r>
            <w:r>
              <w:rPr>
                <w:rFonts w:eastAsia="Arial" w:cs="Arial"/>
                <w:sz w:val="20"/>
                <w:szCs w:val="20"/>
              </w:rPr>
              <w:t>DOUANI</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Project</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I-SCEET</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Institution</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Capgemini Engineering / ESPRIT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Supervisor</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[Supervisor Name]</w:t>
            </w:r>
          </w:p>
        </w:tc>
      </w:tr>
      <w:tr>
        <w:trPr/>
        <w:tc>
          <w:tcPr>
            <w:tcW w:w="299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DAL Level</w:t>
            </w:r>
          </w:p>
        </w:tc>
        <w:tc>
          <w:tcPr>
            <w:tcW w:w="63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 (Assumed for demonstration purposes in a Engine Control-like safety-critical context)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Standard</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RTCA DO-178C / EUROCAE ED-12C + DO-330</w:t>
            </w:r>
          </w:p>
        </w:tc>
      </w:tr>
    </w:tbl>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 Document Revision History</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199"/>
        <w:gridCol w:w="1799"/>
        <w:gridCol w:w="2401"/>
        <w:gridCol w:w="3960"/>
      </w:tblGrid>
      <w:tr>
        <w:trPr>
          <w:tblHeader w:val="true"/>
        </w:trPr>
        <w:tc>
          <w:tcPr>
            <w:tcW w:w="11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Version</w:t>
            </w:r>
          </w:p>
        </w:tc>
        <w:tc>
          <w:tcPr>
            <w:tcW w:w="17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Date</w:t>
            </w:r>
          </w:p>
        </w:tc>
        <w:tc>
          <w:tcPr>
            <w:tcW w:w="24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Author</w:t>
            </w:r>
          </w:p>
        </w:tc>
        <w:tc>
          <w:tcPr>
            <w:tcW w:w="39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Description</w:t>
            </w:r>
          </w:p>
        </w:tc>
      </w:tr>
      <w:tr>
        <w:trPr/>
        <w:tc>
          <w:tcPr>
            <w:tcW w:w="1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1.0</w:t>
            </w:r>
          </w:p>
        </w:tc>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2026-03-15</w:t>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Hatem Adouani</w:t>
            </w:r>
          </w:p>
        </w:tc>
        <w:tc>
          <w:tcPr>
            <w:tcW w:w="3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Initial draft — project kickoff</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r>
      <w:tr>
        <w:trPr/>
        <w:tc>
          <w:tcPr>
            <w:tcW w:w="1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24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39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2. Introduction</w:t>
      </w:r>
    </w:p>
    <w:p>
      <w:pPr>
        <w:pStyle w:val="Heading2"/>
        <w:spacing w:before="300" w:after="150"/>
        <w:rPr/>
      </w:pPr>
      <w:r>
        <w:rPr>
          <w:rFonts w:eastAsia="Arial" w:cs="Arial" w:ascii="Arial" w:hAnsi="Arial"/>
          <w:b/>
          <w:bCs/>
          <w:color w:val="2E75B6"/>
          <w:sz w:val="24"/>
          <w:szCs w:val="24"/>
        </w:rPr>
        <w:t>2.1 Purpose</w:t>
      </w:r>
    </w:p>
    <w:p>
      <w:pPr>
        <w:pStyle w:val="Normal"/>
        <w:spacing w:before="80" w:after="80"/>
        <w:rPr/>
      </w:pPr>
      <w:r>
        <w:rPr>
          <w:rFonts w:eastAsia="Arial" w:cs="Arial"/>
          <w:sz w:val="22"/>
          <w:szCs w:val="22"/>
        </w:rPr>
        <w:t>This Plan for Software Aspects of Certification (PSAC) defines the software lifecycle processes, activities, and documentation for the Intelligent Safety-Critical Engineering Environment Toolchain project. This document is the master certification planning document, submitted to the certification authority prior to commencement of any development activity.</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2.2 Project Overview</w:t>
      </w:r>
    </w:p>
    <w:p>
      <w:pPr>
        <w:pStyle w:val="Normal"/>
        <w:spacing w:before="80" w:after="80"/>
        <w:rPr/>
      </w:pPr>
      <w:r>
        <w:rPr>
          <w:rFonts w:eastAsia="Arial" w:cs="Arial"/>
          <w:sz w:val="22"/>
          <w:szCs w:val="22"/>
        </w:rPr>
        <w:t>The project consists of an AI-powered toolchain composed of six intelligent modules (M1 to M6), each automating a specific phase of the DO-178C software development lifecycle:</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900"/>
        <w:gridCol w:w="2000"/>
        <w:gridCol w:w="2197"/>
        <w:gridCol w:w="2202"/>
        <w:gridCol w:w="1061"/>
      </w:tblGrid>
      <w:tr>
        <w:trPr>
          <w:tblHeader w:val="true"/>
        </w:trPr>
        <w:tc>
          <w:tcPr>
            <w:tcW w:w="9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Module</w:t>
            </w:r>
          </w:p>
        </w:tc>
        <w:tc>
          <w:tcPr>
            <w:tcW w:w="20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2197"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Input</w:t>
            </w:r>
          </w:p>
        </w:tc>
        <w:tc>
          <w:tcPr>
            <w:tcW w:w="22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Output</w:t>
            </w:r>
          </w:p>
        </w:tc>
        <w:tc>
          <w:tcPr>
            <w:tcW w:w="106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DO-178C §</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w:t>
            </w:r>
          </w:p>
        </w:tc>
        <w:tc>
          <w:tcPr>
            <w:tcW w:w="20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HLR Generator</w:t>
            </w:r>
          </w:p>
        </w:tc>
        <w:tc>
          <w:tcPr>
            <w:tcW w:w="2197"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PDS + Hardware Doc + System Architecture</w:t>
            </w:r>
          </w:p>
        </w:tc>
        <w:tc>
          <w:tcPr>
            <w:tcW w:w="2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High Level Requirements (HLR)</w:t>
            </w:r>
          </w:p>
        </w:tc>
        <w:tc>
          <w:tcPr>
            <w:tcW w:w="10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§5</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LLR Generator</w:t>
            </w:r>
          </w:p>
        </w:tc>
        <w:tc>
          <w:tcPr>
            <w:tcW w:w="2197"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HLR</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Low Level Requirements (LLR)</w:t>
            </w:r>
          </w:p>
        </w:tc>
        <w:tc>
          <w:tcPr>
            <w:tcW w:w="10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§6</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w:t>
            </w:r>
          </w:p>
        </w:tc>
        <w:tc>
          <w:tcPr>
            <w:tcW w:w="20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Code Generator</w:t>
            </w:r>
          </w:p>
        </w:tc>
        <w:tc>
          <w:tcPr>
            <w:tcW w:w="2197"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LLR</w:t>
            </w:r>
          </w:p>
        </w:tc>
        <w:tc>
          <w:tcPr>
            <w:tcW w:w="2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Source Code</w:t>
            </w:r>
          </w:p>
        </w:tc>
        <w:tc>
          <w:tcPr>
            <w:tcW w:w="10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§7</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LLT Generator</w:t>
            </w:r>
          </w:p>
        </w:tc>
        <w:tc>
          <w:tcPr>
            <w:tcW w:w="2197"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LLR</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Low Level Tests (LLT)</w:t>
            </w:r>
          </w:p>
        </w:tc>
        <w:tc>
          <w:tcPr>
            <w:tcW w:w="10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§9</w:t>
            </w:r>
          </w:p>
        </w:tc>
      </w:tr>
      <w:tr>
        <w:trPr/>
        <w:tc>
          <w:tcPr>
            <w:tcW w:w="9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w:t>
            </w:r>
          </w:p>
        </w:tc>
        <w:tc>
          <w:tcPr>
            <w:tcW w:w="20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HLT Generator</w:t>
            </w:r>
          </w:p>
        </w:tc>
        <w:tc>
          <w:tcPr>
            <w:tcW w:w="2197"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HLR</w:t>
            </w:r>
          </w:p>
        </w:tc>
        <w:tc>
          <w:tcPr>
            <w:tcW w:w="2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High Level Tests (HLT)</w:t>
            </w:r>
          </w:p>
        </w:tc>
        <w:tc>
          <w:tcPr>
            <w:tcW w:w="106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§9</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 Generator</w:t>
            </w:r>
          </w:p>
        </w:tc>
        <w:tc>
          <w:tcPr>
            <w:tcW w:w="2197"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All artifacts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 Matrix</w:t>
            </w:r>
          </w:p>
        </w:tc>
        <w:tc>
          <w:tcPr>
            <w:tcW w:w="106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§11</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2.3 Scope</w:t>
      </w:r>
    </w:p>
    <w:p>
      <w:pPr>
        <w:pStyle w:val="Normal"/>
        <w:spacing w:before="80" w:after="80"/>
        <w:rPr/>
      </w:pPr>
      <w:r>
        <w:rPr>
          <w:rFonts w:eastAsia="Arial" w:cs="Arial"/>
          <w:sz w:val="22"/>
          <w:szCs w:val="22"/>
        </w:rPr>
        <w:t>This PSAC covers all software lifecycle data produced by the toolchain, including requirements, design, code, tests, and traceability data. All AI-generated outputs are subject to human review and verification in accordance with DO-178C objectives.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2.4 Referenced Documents</w:t>
      </w:r>
    </w:p>
    <w:p>
      <w:pPr>
        <w:pStyle w:val="ListParagraph"/>
        <w:numPr>
          <w:ilvl w:val="0"/>
          <w:numId w:val="35"/>
        </w:numPr>
        <w:spacing w:before="60" w:after="60"/>
        <w:rPr/>
      </w:pPr>
      <w:r>
        <w:rPr>
          <w:rFonts w:eastAsia="Arial" w:cs="Arial"/>
          <w:sz w:val="22"/>
          <w:szCs w:val="22"/>
        </w:rPr>
        <w:t>RTCA DO-178C — Software Considerations in Airborne Systems and Equipment Certification (2012)</w:t>
      </w:r>
    </w:p>
    <w:p>
      <w:pPr>
        <w:pStyle w:val="ListParagraph"/>
        <w:numPr>
          <w:ilvl w:val="0"/>
          <w:numId w:val="36"/>
        </w:numPr>
        <w:spacing w:before="60" w:after="60"/>
        <w:rPr/>
      </w:pPr>
      <w:r>
        <w:rPr>
          <w:rFonts w:eastAsia="Arial" w:cs="Arial"/>
          <w:sz w:val="22"/>
          <w:szCs w:val="22"/>
        </w:rPr>
        <w:t>RTCA DO-330 — Software Tool Qualification Considerations</w:t>
      </w:r>
    </w:p>
    <w:p>
      <w:pPr>
        <w:pStyle w:val="ListParagraph"/>
        <w:numPr>
          <w:ilvl w:val="0"/>
          <w:numId w:val="37"/>
        </w:numPr>
        <w:spacing w:before="60" w:after="60"/>
        <w:rPr/>
      </w:pPr>
      <w:r>
        <w:rPr>
          <w:rFonts w:eastAsia="Arial" w:cs="Arial"/>
          <w:sz w:val="22"/>
          <w:szCs w:val="22"/>
        </w:rPr>
        <w:t>RTCA DO-331 — Model-Based Development and Verification Supplement</w:t>
      </w:r>
    </w:p>
    <w:p>
      <w:pPr>
        <w:pStyle w:val="ListParagraph"/>
        <w:numPr>
          <w:ilvl w:val="0"/>
          <w:numId w:val="38"/>
        </w:numPr>
        <w:spacing w:before="60" w:after="60"/>
        <w:rPr/>
      </w:pPr>
      <w:r>
        <w:rPr>
          <w:rFonts w:eastAsia="Arial" w:cs="Arial"/>
          <w:sz w:val="22"/>
          <w:szCs w:val="22"/>
        </w:rPr>
        <w:t>SAE ARP4754A — Guidelines for Development of Civil Aircraft and Systems</w:t>
      </w:r>
    </w:p>
    <w:p>
      <w:pPr>
        <w:pStyle w:val="ListParagraph"/>
        <w:numPr>
          <w:ilvl w:val="0"/>
          <w:numId w:val="39"/>
        </w:numPr>
        <w:spacing w:before="60" w:after="60"/>
        <w:rPr/>
      </w:pPr>
      <w:r>
        <w:rPr>
          <w:rFonts w:eastAsia="Arial" w:cs="Arial"/>
          <w:sz w:val="22"/>
          <w:szCs w:val="22"/>
        </w:rPr>
        <w:t>SAE ARP4761 — Guidelines for Conducting Safety Assessments</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3. Software Overview</w:t>
      </w:r>
    </w:p>
    <w:p>
      <w:pPr>
        <w:pStyle w:val="Heading2"/>
        <w:spacing w:before="300" w:after="150"/>
        <w:rPr/>
      </w:pPr>
      <w:r>
        <w:rPr>
          <w:rFonts w:eastAsia="Arial" w:cs="Arial" w:ascii="Arial" w:hAnsi="Arial"/>
          <w:b/>
          <w:bCs/>
          <w:color w:val="2E75B6"/>
          <w:sz w:val="24"/>
          <w:szCs w:val="24"/>
        </w:rPr>
        <w:t>3.1 System Description</w:t>
      </w:r>
    </w:p>
    <w:p>
      <w:pPr>
        <w:pStyle w:val="Normal"/>
        <w:spacing w:before="80" w:after="80"/>
        <w:rPr/>
      </w:pPr>
      <w:r>
        <w:rPr>
          <w:rFonts w:eastAsia="Arial" w:cs="Arial"/>
          <w:sz w:val="22"/>
          <w:szCs w:val="22"/>
        </w:rPr>
        <w:t>The toolchain operates as an end-to-end software development and verification automation environment for safety-critical airborne software. It ingests product-level documentation and produces all required DO-178C lifecycle artifacts through a chain of specialized AI agents.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3.2 Software Function</w:t>
      </w:r>
    </w:p>
    <w:p>
      <w:pPr>
        <w:pStyle w:val="Normal"/>
        <w:spacing w:before="80" w:after="80"/>
        <w:rPr/>
      </w:pPr>
      <w:r>
        <w:rPr>
          <w:rFonts w:eastAsia="Arial" w:cs="Arial"/>
          <w:sz w:val="22"/>
          <w:szCs w:val="22"/>
        </w:rPr>
        <w:t>The primary software functions are:</w:t>
      </w:r>
    </w:p>
    <w:p>
      <w:pPr>
        <w:pStyle w:val="ListParagraph"/>
        <w:numPr>
          <w:ilvl w:val="0"/>
          <w:numId w:val="40"/>
        </w:numPr>
        <w:spacing w:before="60" w:after="60"/>
        <w:rPr/>
      </w:pPr>
      <w:r>
        <w:rPr>
          <w:rFonts w:eastAsia="Arial" w:cs="Arial"/>
          <w:sz w:val="22"/>
          <w:szCs w:val="22"/>
        </w:rPr>
        <w:t>Automated extraction and generation of High Level Requirements (HLR) from system-level inputs</w:t>
      </w:r>
    </w:p>
    <w:p>
      <w:pPr>
        <w:pStyle w:val="ListParagraph"/>
        <w:numPr>
          <w:ilvl w:val="0"/>
          <w:numId w:val="41"/>
        </w:numPr>
        <w:spacing w:before="60" w:after="60"/>
        <w:rPr/>
      </w:pPr>
      <w:r>
        <w:rPr>
          <w:rFonts w:eastAsia="Arial" w:cs="Arial"/>
          <w:sz w:val="22"/>
          <w:szCs w:val="22"/>
        </w:rPr>
        <w:t>Derivation of Low Level Requirements (LLR) ensuring completeness and consistency with HLR</w:t>
      </w:r>
    </w:p>
    <w:p>
      <w:pPr>
        <w:pStyle w:val="ListParagraph"/>
        <w:numPr>
          <w:ilvl w:val="0"/>
          <w:numId w:val="42"/>
        </w:numPr>
        <w:spacing w:before="60" w:after="60"/>
        <w:rPr/>
      </w:pPr>
      <w:r>
        <w:rPr>
          <w:rFonts w:eastAsia="Arial" w:cs="Arial"/>
          <w:sz w:val="22"/>
          <w:szCs w:val="22"/>
        </w:rPr>
        <w:t>Source code generation conforming to applicable coding standards (e.g., MISRA-C)</w:t>
      </w:r>
    </w:p>
    <w:p>
      <w:pPr>
        <w:pStyle w:val="ListParagraph"/>
        <w:numPr>
          <w:ilvl w:val="0"/>
          <w:numId w:val="43"/>
        </w:numPr>
        <w:spacing w:before="60" w:after="60"/>
        <w:rPr/>
      </w:pPr>
      <w:r>
        <w:rPr>
          <w:rFonts w:eastAsia="Arial" w:cs="Arial"/>
          <w:sz w:val="22"/>
          <w:szCs w:val="22"/>
        </w:rPr>
        <w:t>Automated test case generation for both HLR-based (HLT) and LLR-based (LLT) verification</w:t>
      </w:r>
    </w:p>
    <w:p>
      <w:pPr>
        <w:pStyle w:val="ListParagraph"/>
        <w:numPr>
          <w:ilvl w:val="0"/>
          <w:numId w:val="44"/>
        </w:numPr>
        <w:spacing w:before="60" w:after="60"/>
        <w:rPr/>
      </w:pPr>
      <w:r>
        <w:rPr>
          <w:rFonts w:eastAsia="Arial" w:cs="Arial"/>
          <w:sz w:val="22"/>
          <w:szCs w:val="22"/>
        </w:rPr>
        <w:t>Bidirectional traceability matrix generation linking all lifecycle artifacts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3.3 Design Assurance Level (DAL)</w:t>
      </w:r>
    </w:p>
    <w:p>
      <w:pPr>
        <w:pStyle w:val="Normal"/>
        <w:spacing w:before="80" w:after="80"/>
        <w:rPr/>
      </w:pPr>
      <w:r>
        <w:rPr>
          <w:rFonts w:eastAsia="Arial" w:cs="Arial"/>
          <w:sz w:val="22"/>
          <w:szCs w:val="22"/>
        </w:rPr>
        <w:t>The DAL level shall be determined by the system safety assessment conducted per ARP4761. The toolchain is designed to support up to DAL A objectives, consistent with the assumed Eengine Control like safety-critical context used for demonstration purposes. The applicable DAL for this project is:</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500"/>
        <w:gridCol w:w="2500"/>
        <w:gridCol w:w="999"/>
        <w:gridCol w:w="3360"/>
      </w:tblGrid>
      <w:tr>
        <w:trPr>
          <w:tblHeader w:val="true"/>
        </w:trPr>
        <w:tc>
          <w:tcPr>
            <w:tcW w:w="25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Software Item</w:t>
            </w:r>
          </w:p>
        </w:tc>
        <w:tc>
          <w:tcPr>
            <w:tcW w:w="25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Failure Condition</w:t>
            </w:r>
          </w:p>
        </w:tc>
        <w:tc>
          <w:tcPr>
            <w:tcW w:w="9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DAL</w:t>
            </w:r>
          </w:p>
        </w:tc>
        <w:tc>
          <w:tcPr>
            <w:tcW w:w="33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Rationale</w:t>
            </w:r>
          </w:p>
        </w:tc>
      </w:tr>
      <w:tr>
        <w:trPr/>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I-SCEET Generated Artifacts</w:t>
            </w:r>
          </w:p>
        </w:tc>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Incorrect or incomplete generated lifecycle artifacts</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w:t>
            </w:r>
          </w:p>
        </w:tc>
        <w:tc>
          <w:tcPr>
            <w:tcW w:w="33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May introduce undetected errors affecting all downstream development phases in a safety-critical environment</w:t>
            </w:r>
          </w:p>
        </w:tc>
      </w:tr>
      <w:tr>
        <w:trPr/>
        <w:tc>
          <w:tcPr>
            <w:tcW w:w="25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HLR/LLR Documents</w:t>
            </w:r>
          </w:p>
        </w:tc>
        <w:tc>
          <w:tcPr>
            <w:tcW w:w="25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Incomplete, ambiguous, or inconsistent requirements</w:t>
            </w:r>
          </w:p>
        </w:tc>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Requirement defects propagate through the lifecycle and may lead to unsafe system behavior</w:t>
            </w:r>
          </w:p>
        </w:tc>
      </w:tr>
      <w:tr>
        <w:trPr/>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Generated Source Code</w:t>
            </w:r>
          </w:p>
        </w:tc>
        <w:tc>
          <w:tcPr>
            <w:tcW w:w="2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Incorrect or non-compliant implementation</w:t>
            </w:r>
          </w:p>
        </w:tc>
        <w:tc>
          <w:tcPr>
            <w:tcW w:w="9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w:t>
            </w:r>
          </w:p>
        </w:tc>
        <w:tc>
          <w:tcPr>
            <w:tcW w:w="33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Direct impact on system execution potentially leading to catastrophic failure in engine control context</w:t>
            </w:r>
          </w:p>
        </w:tc>
      </w:tr>
    </w:tbl>
    <w:p>
      <w:pPr>
        <w:pStyle w:val="Normal"/>
        <w:spacing w:before="100" w:after="100"/>
        <w:rPr>
          <w:rFonts w:ascii="Arial" w:hAnsi="Arial" w:eastAsia="Arial" w:cs="Arial"/>
          <w:color w:val="auto"/>
          <w:kern w:val="0"/>
          <w:sz w:val="22"/>
          <w:szCs w:val="22"/>
          <w:lang w:val="en-US" w:eastAsia="zh-CN" w:bidi="hi-IN"/>
        </w:rPr>
      </w:pPr>
      <w:r>
        <w:rPr>
          <w:rFonts w:eastAsia="Arial" w:cs="Arial"/>
          <w:color w:val="auto"/>
          <w:kern w:val="0"/>
          <w:sz w:val="22"/>
          <w:szCs w:val="22"/>
          <w:lang w:val="en-US" w:eastAsia="zh-CN" w:bidi="hi-IN"/>
        </w:rPr>
        <w:t>The assumption of DAL A is based on the FADEC-like context, where software failure may lead to catastrophic consequences affecting engine control and aircraft safety.</w:t>
      </w:r>
    </w:p>
    <w:p>
      <w:pPr>
        <w:pStyle w:val="Heading2"/>
        <w:spacing w:before="300" w:after="150"/>
        <w:rPr/>
      </w:pPr>
      <w:r>
        <w:rPr>
          <w:rFonts w:eastAsia="Arial" w:cs="Arial" w:ascii="Arial" w:hAnsi="Arial"/>
          <w:b/>
          <w:bCs/>
          <w:color w:val="2E75B6"/>
          <w:sz w:val="24"/>
          <w:szCs w:val="24"/>
        </w:rPr>
        <w:t>3.4 Software Partitioning</w:t>
      </w:r>
    </w:p>
    <w:p>
      <w:pPr>
        <w:pStyle w:val="Normal"/>
        <w:spacing w:before="80" w:after="80"/>
        <w:rPr/>
      </w:pPr>
      <w:r>
        <w:rPr>
          <w:rFonts w:eastAsia="Arial" w:cs="Arial"/>
          <w:sz w:val="22"/>
          <w:szCs w:val="22"/>
        </w:rPr>
        <w:t>The toolchain is logically partitioned into six independent modules (M1–M6). Each module receives verified inputs and produces outputs subject to independent review. No shared state exists between modules during execution that could propagate undetected errors.</w:t>
      </w:r>
    </w:p>
    <w:p>
      <w:pPr>
        <w:pStyle w:val="Normal"/>
        <w:spacing w:before="100" w:after="100"/>
        <w:rPr/>
      </w:pPr>
      <w:r>
        <w:rPr/>
      </w:r>
    </w:p>
    <w:p>
      <w:pPr>
        <w:pStyle w:val="Heading1"/>
        <w:pBdr>
          <w:bottom w:val="single" w:sz="6" w:space="4" w:color="2E75B6"/>
        </w:pBdr>
        <w:spacing w:before="400" w:after="200"/>
        <w:rPr>
          <w:rFonts w:ascii="Arial" w:hAnsi="Arial" w:eastAsia="Arial" w:cs="Arial"/>
          <w:b/>
          <w:b/>
          <w:bCs/>
          <w:color w:val="1F3864"/>
          <w:sz w:val="28"/>
          <w:szCs w:val="28"/>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4. Software Lifecycle</w:t>
      </w:r>
    </w:p>
    <w:p>
      <w:pPr>
        <w:pStyle w:val="Heading2"/>
        <w:spacing w:before="300" w:after="150"/>
        <w:rPr/>
      </w:pPr>
      <w:r>
        <w:rPr>
          <w:rFonts w:eastAsia="Arial" w:cs="Arial" w:ascii="Arial" w:hAnsi="Arial"/>
          <w:b/>
          <w:bCs/>
          <w:color w:val="2E75B6"/>
          <w:sz w:val="24"/>
          <w:szCs w:val="24"/>
        </w:rPr>
        <w:t>4.1 Lifecycle Model</w:t>
      </w:r>
    </w:p>
    <w:p>
      <w:pPr>
        <w:pStyle w:val="Normal"/>
        <w:spacing w:before="80" w:after="80"/>
        <w:rPr/>
      </w:pPr>
      <w:r>
        <w:rPr>
          <w:rFonts w:eastAsia="Arial" w:cs="Arial"/>
          <w:sz w:val="22"/>
          <w:szCs w:val="22"/>
        </w:rPr>
        <w:t>The project follows the sequential DO-178C software lifecycle model, aligned with the V-model. All planning documents must be completed and reviewed before development activities commence (SOI #1).</w:t>
      </w:r>
    </w:p>
    <w:p>
      <w:pPr>
        <w:pStyle w:val="Normal"/>
        <w:spacing w:before="80" w:after="80"/>
        <w:rPr/>
      </w:pPr>
      <w:r>
        <w:rPr>
          <w:rFonts w:eastAsia="Arial" w:cs="Arial"/>
          <w:sz w:val="22"/>
          <w:szCs w:val="22"/>
        </w:rPr>
        <w:t>The lifecycle ensures full traceability from requirements to verification in accordance with DO-178C objectives.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4.2 Lifecycle Phases &amp; Milestones</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1799"/>
        <w:gridCol w:w="2800"/>
        <w:gridCol w:w="2802"/>
        <w:gridCol w:w="958"/>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Phase</w:t>
            </w:r>
          </w:p>
        </w:tc>
        <w:tc>
          <w:tcPr>
            <w:tcW w:w="28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Activities</w:t>
            </w:r>
          </w:p>
        </w:tc>
        <w:tc>
          <w:tcPr>
            <w:tcW w:w="28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Outputs</w:t>
            </w:r>
          </w:p>
        </w:tc>
        <w:tc>
          <w:tcPr>
            <w:tcW w:w="95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SOI Gate</w:t>
            </w:r>
          </w:p>
        </w:tc>
      </w:tr>
      <w:tr>
        <w:trPr/>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Planning</w:t>
            </w:r>
          </w:p>
        </w:tc>
        <w:tc>
          <w:tcPr>
            <w:tcW w:w="28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Write PSAC, SDP, SVP, SCMP, SQAP</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5 Planning Documents</w:t>
            </w:r>
          </w:p>
        </w:tc>
        <w:tc>
          <w:tcPr>
            <w:tcW w:w="9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#1</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Requirements (M1, M2)</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&amp; review HLR, LLR</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Requirements Data</w:t>
            </w:r>
          </w:p>
        </w:tc>
        <w:tc>
          <w:tcPr>
            <w:tcW w:w="9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#2</w:t>
            </w:r>
          </w:p>
        </w:tc>
      </w:tr>
      <w:tr>
        <w:trPr/>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Design &amp; Coding (M3)</w:t>
            </w:r>
          </w:p>
        </w:tc>
        <w:tc>
          <w:tcPr>
            <w:tcW w:w="28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&amp; review Source Code</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Source Code, Coding Standards compliance</w:t>
            </w:r>
          </w:p>
        </w:tc>
        <w:tc>
          <w:tcPr>
            <w:tcW w:w="9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#2</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Verification (M4, M5)</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&amp; execute HLT, LLT</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Test Results, Coverage Data</w:t>
            </w:r>
          </w:p>
        </w:tc>
        <w:tc>
          <w:tcPr>
            <w:tcW w:w="9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#3</w:t>
            </w:r>
          </w:p>
        </w:tc>
      </w:tr>
      <w:tr>
        <w:trPr/>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Traceability (M6)</w:t>
            </w:r>
          </w:p>
        </w:tc>
        <w:tc>
          <w:tcPr>
            <w:tcW w:w="28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traceability matrix</w:t>
            </w:r>
          </w:p>
        </w:tc>
        <w:tc>
          <w:tcPr>
            <w:tcW w:w="2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Traceability Data</w:t>
            </w:r>
          </w:p>
        </w:tc>
        <w:tc>
          <w:tcPr>
            <w:tcW w:w="9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#3</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Certification</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Compile SAS, final review</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Software Accomplishment Summary (SAS)</w:t>
            </w:r>
          </w:p>
        </w:tc>
        <w:tc>
          <w:tcPr>
            <w:tcW w:w="9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#4</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4.3 Transition Criteria</w:t>
      </w:r>
    </w:p>
    <w:p>
      <w:pPr>
        <w:pStyle w:val="Normal"/>
        <w:spacing w:before="80" w:after="80"/>
        <w:rPr/>
      </w:pPr>
      <w:r>
        <w:rPr>
          <w:rFonts w:eastAsia="Arial" w:cs="Arial"/>
          <w:sz w:val="22"/>
          <w:szCs w:val="22"/>
        </w:rPr>
        <w:t>Transition from one lifecycle phase to the next requires:</w:t>
      </w:r>
    </w:p>
    <w:p>
      <w:pPr>
        <w:pStyle w:val="ListParagraph"/>
        <w:numPr>
          <w:ilvl w:val="0"/>
          <w:numId w:val="45"/>
        </w:numPr>
        <w:spacing w:before="60" w:after="60"/>
        <w:rPr/>
      </w:pPr>
      <w:r>
        <w:rPr>
          <w:rFonts w:eastAsia="Arial" w:cs="Arial"/>
          <w:sz w:val="22"/>
          <w:szCs w:val="22"/>
        </w:rPr>
        <w:t>All outputs of the current phase reviewed and approved</w:t>
      </w:r>
    </w:p>
    <w:p>
      <w:pPr>
        <w:pStyle w:val="ListParagraph"/>
        <w:numPr>
          <w:ilvl w:val="0"/>
          <w:numId w:val="46"/>
        </w:numPr>
        <w:spacing w:before="60" w:after="60"/>
        <w:rPr/>
      </w:pPr>
      <w:r>
        <w:rPr>
          <w:rFonts w:eastAsia="Arial" w:cs="Arial"/>
          <w:sz w:val="22"/>
          <w:szCs w:val="22"/>
        </w:rPr>
        <w:t>All action items from review closed or tracked</w:t>
      </w:r>
    </w:p>
    <w:p>
      <w:pPr>
        <w:pStyle w:val="ListParagraph"/>
        <w:numPr>
          <w:ilvl w:val="0"/>
          <w:numId w:val="47"/>
        </w:numPr>
        <w:spacing w:before="60" w:after="60"/>
        <w:rPr/>
      </w:pPr>
      <w:r>
        <w:rPr>
          <w:rFonts w:eastAsia="Arial" w:cs="Arial"/>
          <w:sz w:val="22"/>
          <w:szCs w:val="22"/>
        </w:rPr>
        <w:t>Configuration management baseline established</w:t>
      </w:r>
    </w:p>
    <w:p>
      <w:pPr>
        <w:pStyle w:val="ListParagraph"/>
        <w:numPr>
          <w:ilvl w:val="0"/>
          <w:numId w:val="48"/>
        </w:numPr>
        <w:spacing w:before="60" w:after="60"/>
        <w:rPr/>
      </w:pPr>
      <w:r>
        <w:rPr>
          <w:rFonts w:eastAsia="Arial" w:cs="Arial"/>
          <w:sz w:val="22"/>
          <w:szCs w:val="22"/>
        </w:rPr>
        <w:t>Quality assurance sign-off obtained</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5. Software Development Environment</w:t>
      </w:r>
    </w:p>
    <w:p>
      <w:pPr>
        <w:pStyle w:val="Heading2"/>
        <w:spacing w:before="300" w:after="150"/>
        <w:rPr/>
      </w:pPr>
      <w:r>
        <w:rPr>
          <w:rFonts w:eastAsia="Arial" w:cs="Arial" w:ascii="Arial" w:hAnsi="Arial"/>
          <w:b/>
          <w:bCs/>
          <w:color w:val="2E75B6"/>
          <w:sz w:val="24"/>
          <w:szCs w:val="24"/>
        </w:rPr>
        <w:t>5.1 Development Tools</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2200"/>
        <w:gridCol w:w="2699"/>
        <w:gridCol w:w="1202"/>
        <w:gridCol w:w="2258"/>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Tool</w:t>
            </w:r>
          </w:p>
        </w:tc>
        <w:tc>
          <w:tcPr>
            <w:tcW w:w="26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Purpose</w:t>
            </w:r>
          </w:p>
        </w:tc>
        <w:tc>
          <w:tcPr>
            <w:tcW w:w="12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Version</w:t>
            </w:r>
          </w:p>
        </w:tc>
        <w:tc>
          <w:tcPr>
            <w:tcW w:w="225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Qualification Required</w:t>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 — AI HLR Agent</w:t>
            </w:r>
          </w:p>
        </w:tc>
        <w:tc>
          <w:tcPr>
            <w:tcW w:w="26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HLR from PDS/HW/Architecture</w:t>
            </w:r>
          </w:p>
        </w:tc>
        <w:tc>
          <w:tcPr>
            <w:tcW w:w="1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1.0</w:t>
            </w:r>
          </w:p>
        </w:tc>
        <w:tc>
          <w:tcPr>
            <w:tcW w:w="22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Yes — DO-330 TQL-5</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 — AI LLR Agent</w:t>
            </w:r>
          </w:p>
        </w:tc>
        <w:tc>
          <w:tcPr>
            <w:tcW w:w="26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LLR from HLR</w:t>
            </w:r>
          </w:p>
        </w:tc>
        <w:tc>
          <w:tcPr>
            <w:tcW w:w="1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1.0</w:t>
            </w:r>
          </w:p>
        </w:tc>
        <w:tc>
          <w:tcPr>
            <w:tcW w:w="22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Yes — DO-330 TQL-5</w:t>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 — AI Code Agent</w:t>
            </w:r>
          </w:p>
        </w:tc>
        <w:tc>
          <w:tcPr>
            <w:tcW w:w="26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Source Code from LLR</w:t>
            </w:r>
          </w:p>
        </w:tc>
        <w:tc>
          <w:tcPr>
            <w:tcW w:w="1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1.0</w:t>
            </w:r>
          </w:p>
        </w:tc>
        <w:tc>
          <w:tcPr>
            <w:tcW w:w="22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Yes — DO-330 TQL-4</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 — AI LLT Agent</w:t>
            </w:r>
          </w:p>
        </w:tc>
        <w:tc>
          <w:tcPr>
            <w:tcW w:w="26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Low Level Tests</w:t>
            </w:r>
          </w:p>
        </w:tc>
        <w:tc>
          <w:tcPr>
            <w:tcW w:w="1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1.0</w:t>
            </w:r>
          </w:p>
        </w:tc>
        <w:tc>
          <w:tcPr>
            <w:tcW w:w="22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Yes — DO-330 TQL-4</w:t>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 — AI HLT Agent</w:t>
            </w:r>
          </w:p>
        </w:tc>
        <w:tc>
          <w:tcPr>
            <w:tcW w:w="26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Generate High Level Tests</w:t>
            </w:r>
          </w:p>
        </w:tc>
        <w:tc>
          <w:tcPr>
            <w:tcW w:w="1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1.0</w:t>
            </w:r>
          </w:p>
        </w:tc>
        <w:tc>
          <w:tcPr>
            <w:tcW w:w="22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Yes — DO-330 TQL-4</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 — Traceability Agent</w:t>
            </w:r>
          </w:p>
        </w:tc>
        <w:tc>
          <w:tcPr>
            <w:tcW w:w="26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Generate Traceability Matrix</w:t>
            </w:r>
          </w:p>
        </w:tc>
        <w:tc>
          <w:tcPr>
            <w:tcW w:w="1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1.0</w:t>
            </w:r>
          </w:p>
        </w:tc>
        <w:tc>
          <w:tcPr>
            <w:tcW w:w="22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Yes — DO-330 TQL-5</w:t>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[Requirements Tool]</w:t>
            </w:r>
          </w:p>
        </w:tc>
        <w:tc>
          <w:tcPr>
            <w:tcW w:w="26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Requirements management (e.g., DOORS)</w:t>
            </w:r>
          </w:p>
        </w:tc>
        <w:tc>
          <w:tcPr>
            <w:tcW w:w="12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TBD</w:t>
            </w:r>
          </w:p>
        </w:tc>
        <w:tc>
          <w:tcPr>
            <w:tcW w:w="22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TBD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[Version Control]</w:t>
            </w:r>
          </w:p>
        </w:tc>
        <w:tc>
          <w:tcPr>
            <w:tcW w:w="26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Configuration management (e.g., Git)</w:t>
            </w:r>
          </w:p>
        </w:tc>
        <w:tc>
          <w:tcPr>
            <w:tcW w:w="12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TBD</w:t>
            </w:r>
          </w:p>
        </w:tc>
        <w:tc>
          <w:tcPr>
            <w:tcW w:w="22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5.2 Tool Qualification Strategy</w:t>
      </w:r>
    </w:p>
    <w:p>
      <w:pPr>
        <w:pStyle w:val="Normal"/>
        <w:spacing w:before="80" w:after="80"/>
        <w:rPr/>
      </w:pPr>
      <w:r>
        <w:rPr>
          <w:rFonts w:eastAsia="Arial" w:cs="Arial"/>
          <w:sz w:val="22"/>
          <w:szCs w:val="22"/>
        </w:rPr>
        <w:t>Per RTCA DO-330, AI modules generating safety-critical outputs (HLR, LLR, Code, Tests) must be qualified. The qualification level depends on the DAL and whether errors in the tool output could be detected by subsequent activities. The following strategy applies:</w:t>
      </w:r>
    </w:p>
    <w:p>
      <w:pPr>
        <w:pStyle w:val="ListParagraph"/>
        <w:numPr>
          <w:ilvl w:val="0"/>
          <w:numId w:val="49"/>
        </w:numPr>
        <w:spacing w:before="60" w:after="60"/>
        <w:rPr/>
      </w:pPr>
      <w:r>
        <w:rPr>
          <w:rFonts w:eastAsia="Arial" w:cs="Arial"/>
          <w:sz w:val="22"/>
          <w:szCs w:val="22"/>
        </w:rPr>
        <w:t>TQL-5: Tools whose output is verified by a subsequent activity (e.g., M1 HLR reviewed by engineer)</w:t>
      </w:r>
    </w:p>
    <w:p>
      <w:pPr>
        <w:pStyle w:val="ListParagraph"/>
        <w:numPr>
          <w:ilvl w:val="0"/>
          <w:numId w:val="50"/>
        </w:numPr>
        <w:spacing w:before="60" w:after="60"/>
        <w:rPr/>
      </w:pPr>
      <w:r>
        <w:rPr>
          <w:rFonts w:eastAsia="Arial" w:cs="Arial"/>
          <w:sz w:val="22"/>
          <w:szCs w:val="22"/>
        </w:rPr>
        <w:t>TQL-4: Tools that automate verification activities (e.g., M4/M5 test generators)</w:t>
      </w:r>
    </w:p>
    <w:p>
      <w:pPr>
        <w:pStyle w:val="ListParagraph"/>
        <w:numPr>
          <w:ilvl w:val="0"/>
          <w:numId w:val="51"/>
        </w:numPr>
        <w:spacing w:before="60" w:after="60"/>
        <w:rPr/>
      </w:pPr>
      <w:r>
        <w:rPr>
          <w:rFonts w:eastAsia="Arial" w:cs="Arial"/>
          <w:sz w:val="22"/>
          <w:szCs w:val="22"/>
        </w:rPr>
        <w:t>Each AI module will have a Tool Qualification Plan (TQP) documenting: tool operational requirements, tool qualification data, and known limitations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5.3 Coding Standards</w:t>
      </w:r>
    </w:p>
    <w:p>
      <w:pPr>
        <w:pStyle w:val="Normal"/>
        <w:spacing w:before="80" w:after="80"/>
        <w:rPr/>
      </w:pPr>
      <w:r>
        <w:rPr>
          <w:rFonts w:eastAsia="Arial" w:cs="Arial"/>
          <w:sz w:val="22"/>
          <w:szCs w:val="22"/>
        </w:rPr>
        <w:t>Generated source code (M3 output) shall comply with the following coding standards:</w:t>
      </w:r>
    </w:p>
    <w:p>
      <w:pPr>
        <w:pStyle w:val="ListParagraph"/>
        <w:numPr>
          <w:ilvl w:val="0"/>
          <w:numId w:val="52"/>
        </w:numPr>
        <w:spacing w:before="60" w:after="60"/>
        <w:rPr/>
      </w:pPr>
      <w:r>
        <w:rPr>
          <w:rFonts w:eastAsia="Arial" w:cs="Arial"/>
          <w:sz w:val="22"/>
          <w:szCs w:val="22"/>
        </w:rPr>
        <w:t>MISRA-C:2012 (for C language implementations)</w:t>
      </w:r>
    </w:p>
    <w:p>
      <w:pPr>
        <w:pStyle w:val="ListParagraph"/>
        <w:numPr>
          <w:ilvl w:val="0"/>
          <w:numId w:val="53"/>
        </w:numPr>
        <w:spacing w:before="60" w:after="60"/>
        <w:rPr/>
      </w:pPr>
      <w:r>
        <w:rPr>
          <w:rFonts w:eastAsia="Arial" w:cs="Arial"/>
          <w:sz w:val="22"/>
          <w:szCs w:val="22"/>
        </w:rPr>
        <w:t>Project-specific Software Coding Standards document (reference: SCS-TOOLCHAIN-001)</w:t>
      </w:r>
    </w:p>
    <w:p>
      <w:pPr>
        <w:pStyle w:val="Normal"/>
        <w:spacing w:before="100" w:after="100"/>
        <w:rPr/>
      </w:pPr>
      <w:r>
        <w:rPr/>
      </w:r>
    </w:p>
    <w:p>
      <w:pPr>
        <w:pStyle w:val="Heading1"/>
        <w:pBdr>
          <w:bottom w:val="single" w:sz="6" w:space="4" w:color="2E75B6"/>
        </w:pBdr>
        <w:spacing w:before="400" w:after="200"/>
        <w:rPr/>
      </w:pPr>
      <w:r>
        <w:rPr>
          <w:rFonts w:eastAsia="Arial" w:cs="Arial" w:ascii="Arial" w:hAnsi="Arial"/>
          <w:b/>
          <w:bCs/>
          <w:color w:val="1F3864"/>
          <w:sz w:val="28"/>
          <w:szCs w:val="28"/>
        </w:rPr>
        <w:t>6. Software Verification</w:t>
      </w:r>
    </w:p>
    <w:p>
      <w:pPr>
        <w:pStyle w:val="Heading2"/>
        <w:spacing w:before="300" w:after="150"/>
        <w:rPr/>
      </w:pPr>
      <w:r>
        <w:rPr>
          <w:rFonts w:eastAsia="Arial" w:cs="Arial" w:ascii="Arial" w:hAnsi="Arial"/>
          <w:b/>
          <w:bCs/>
          <w:color w:val="2E75B6"/>
          <w:sz w:val="24"/>
          <w:szCs w:val="24"/>
        </w:rPr>
        <w:t>6.1 Verification Overview</w:t>
      </w:r>
    </w:p>
    <w:p>
      <w:pPr>
        <w:pStyle w:val="Normal"/>
        <w:spacing w:before="80" w:after="80"/>
        <w:rPr/>
      </w:pPr>
      <w:r>
        <w:rPr>
          <w:rFonts w:eastAsia="Arial" w:cs="Arial"/>
          <w:sz w:val="22"/>
          <w:szCs w:val="22"/>
        </w:rPr>
        <w:t xml:space="preserve">All AI-generated artifacts shall be subject to independent verification. Verification activities include reviews, analyses, and testing as defined in the Software Verification Plan (SVP). </w:t>
      </w:r>
    </w:p>
    <w:p>
      <w:pPr>
        <w:pStyle w:val="Normal"/>
        <w:spacing w:before="80" w:after="80"/>
        <w:rPr/>
      </w:pPr>
      <w:r>
        <w:rPr>
          <w:rFonts w:eastAsia="Arial" w:cs="Arial"/>
          <w:sz w:val="22"/>
          <w:szCs w:val="22"/>
        </w:rPr>
        <w:t>AI-generated artifacts are not considered verified unless independently reviewed and validated by qualified personnel.</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6.2 Verification of AI-Generated Artifacts</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1400"/>
        <w:gridCol w:w="1600"/>
        <w:gridCol w:w="3601"/>
        <w:gridCol w:w="1758"/>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Artifact</w:t>
            </w:r>
          </w:p>
        </w:tc>
        <w:tc>
          <w:tcPr>
            <w:tcW w:w="16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Generating Module</w:t>
            </w:r>
          </w:p>
        </w:tc>
        <w:tc>
          <w:tcPr>
            <w:tcW w:w="36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Verification Activity</w:t>
            </w:r>
          </w:p>
        </w:tc>
        <w:tc>
          <w:tcPr>
            <w:tcW w:w="175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Performed By</w:t>
            </w:r>
          </w:p>
        </w:tc>
      </w:tr>
      <w:tr>
        <w:trPr/>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HLR</w:t>
            </w:r>
          </w:p>
        </w:tc>
        <w:tc>
          <w:tcPr>
            <w:tcW w:w="1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M1</w:t>
            </w:r>
          </w:p>
        </w:tc>
        <w:tc>
          <w:tcPr>
            <w:tcW w:w="3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Review against PDS, completeness check, DO-178C §5 objectives</w:t>
            </w:r>
          </w:p>
        </w:tc>
        <w:tc>
          <w:tcPr>
            <w:tcW w:w="17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Independent Engineer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LLR</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M2</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Review against HLR, no undocumented functions check</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Independent Engineer</w:t>
            </w:r>
          </w:p>
        </w:tc>
      </w:tr>
      <w:tr>
        <w:trPr/>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Source Code</w:t>
            </w:r>
          </w:p>
        </w:tc>
        <w:tc>
          <w:tcPr>
            <w:tcW w:w="1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M3</w:t>
            </w:r>
          </w:p>
        </w:tc>
        <w:tc>
          <w:tcPr>
            <w:tcW w:w="3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Code review, MISRA compliance analysis, structural coverage</w:t>
            </w:r>
          </w:p>
        </w:tc>
        <w:tc>
          <w:tcPr>
            <w:tcW w:w="17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Independent Engineer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LLT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M4</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Review test cases against LLR, structural coverage verification</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Independent Engineer</w:t>
            </w:r>
          </w:p>
        </w:tc>
      </w:tr>
      <w:tr>
        <w:trPr/>
        <w:tc>
          <w:tcPr>
            <w:tcW w:w="14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HLT</w:t>
            </w:r>
          </w:p>
        </w:tc>
        <w:tc>
          <w:tcPr>
            <w:tcW w:w="1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M5</w:t>
            </w:r>
          </w:p>
        </w:tc>
        <w:tc>
          <w:tcPr>
            <w:tcW w:w="36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Review test cases against HLR, functional coverage check</w:t>
            </w:r>
          </w:p>
        </w:tc>
        <w:tc>
          <w:tcPr>
            <w:tcW w:w="175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Independent Engineer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Traceability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M6</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Bidirectional trace check, orphan detection</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QA + Engineer</w:t>
            </w:r>
          </w:p>
        </w:tc>
      </w:tr>
    </w:tbl>
    <w:p>
      <w:pPr>
        <w:pStyle w:val="Normal"/>
        <w:spacing w:before="100" w:after="100"/>
        <w:rPr/>
      </w:pPr>
      <w:r>
        <w:rPr/>
      </w:r>
    </w:p>
    <w:p>
      <w:pPr>
        <w:pStyle w:val="Heading2"/>
        <w:spacing w:before="300" w:after="150"/>
        <w:rPr/>
      </w:pPr>
      <w:r>
        <w:rPr>
          <w:rFonts w:eastAsia="Arial" w:cs="Arial" w:ascii="Arial" w:hAnsi="Arial"/>
          <w:b/>
          <w:bCs/>
          <w:color w:val="2E75B6"/>
          <w:sz w:val="24"/>
          <w:szCs w:val="24"/>
        </w:rPr>
        <w:t>6.3 Coverage Objectives</w:t>
      </w:r>
    </w:p>
    <w:p>
      <w:pPr>
        <w:pStyle w:val="Normal"/>
        <w:spacing w:before="80" w:after="80"/>
        <w:rPr/>
      </w:pPr>
      <w:r>
        <w:rPr>
          <w:rFonts w:eastAsia="Arial" w:cs="Arial"/>
          <w:sz w:val="22"/>
          <w:szCs w:val="22"/>
        </w:rPr>
        <w:t>Structural coverage objectives depend on the assigned DAL:</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500"/>
        <w:gridCol w:w="2599"/>
        <w:gridCol w:w="2600"/>
        <w:gridCol w:w="2660"/>
      </w:tblGrid>
      <w:tr>
        <w:trPr>
          <w:tblHeader w:val="true"/>
        </w:trPr>
        <w:tc>
          <w:tcPr>
            <w:tcW w:w="15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DAL</w:t>
            </w:r>
          </w:p>
        </w:tc>
        <w:tc>
          <w:tcPr>
            <w:tcW w:w="25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Statement Coverage</w:t>
            </w:r>
          </w:p>
        </w:tc>
        <w:tc>
          <w:tcPr>
            <w:tcW w:w="26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Decision Coverage</w:t>
            </w:r>
          </w:p>
        </w:tc>
        <w:tc>
          <w:tcPr>
            <w:tcW w:w="266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MC/DC Coverage</w:t>
            </w:r>
          </w:p>
        </w:tc>
      </w:tr>
      <w:tr>
        <w:trPr/>
        <w:tc>
          <w:tcPr>
            <w:tcW w:w="1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w:t>
            </w:r>
          </w:p>
        </w:tc>
        <w:tc>
          <w:tcPr>
            <w:tcW w:w="25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2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26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r>
      <w:tr>
        <w:trPr/>
        <w:tc>
          <w:tcPr>
            <w:tcW w:w="15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B</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Required</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Required</w:t>
            </w:r>
          </w:p>
        </w:tc>
        <w:tc>
          <w:tcPr>
            <w:tcW w:w="26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r>
      <w:tr>
        <w:trPr/>
        <w:tc>
          <w:tcPr>
            <w:tcW w:w="15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C</w:t>
            </w:r>
          </w:p>
        </w:tc>
        <w:tc>
          <w:tcPr>
            <w:tcW w:w="25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Required</w:t>
            </w:r>
          </w:p>
        </w:tc>
        <w:tc>
          <w:tcPr>
            <w:tcW w:w="26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Not Required</w:t>
            </w:r>
          </w:p>
        </w:tc>
        <w:tc>
          <w:tcPr>
            <w:tcW w:w="266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Not Required</w:t>
            </w:r>
          </w:p>
        </w:tc>
      </w:tr>
      <w:tr>
        <w:trPr/>
        <w:tc>
          <w:tcPr>
            <w:tcW w:w="15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c>
          <w:tcPr>
            <w:tcW w:w="266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Not Required</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7. Software Configuration Management</w:t>
      </w:r>
    </w:p>
    <w:p>
      <w:pPr>
        <w:pStyle w:val="Normal"/>
        <w:spacing w:before="80" w:after="80"/>
        <w:rPr/>
      </w:pPr>
      <w:r>
        <w:rPr>
          <w:rFonts w:eastAsia="Arial" w:cs="Arial"/>
          <w:sz w:val="22"/>
          <w:szCs w:val="22"/>
        </w:rPr>
        <w:t>All lifecycle artifacts produced by the toolchain shall be placed under configuration management per the Software Configuration Management Plan (SCMP). Key principles:</w:t>
      </w:r>
    </w:p>
    <w:p>
      <w:pPr>
        <w:pStyle w:val="ListParagraph"/>
        <w:numPr>
          <w:ilvl w:val="0"/>
          <w:numId w:val="54"/>
        </w:numPr>
        <w:spacing w:before="60" w:after="60"/>
        <w:rPr/>
      </w:pPr>
      <w:r>
        <w:rPr>
          <w:rFonts w:eastAsia="Arial" w:cs="Arial"/>
          <w:sz w:val="22"/>
          <w:szCs w:val="22"/>
        </w:rPr>
        <w:t>All artifacts (PDS, HLR, LLR, Code, Tests, Traceability) shall be baselined at each SOI gate</w:t>
      </w:r>
    </w:p>
    <w:p>
      <w:pPr>
        <w:pStyle w:val="ListParagraph"/>
        <w:numPr>
          <w:ilvl w:val="0"/>
          <w:numId w:val="55"/>
        </w:numPr>
        <w:spacing w:before="60" w:after="60"/>
        <w:rPr/>
      </w:pPr>
      <w:r>
        <w:rPr>
          <w:rFonts w:eastAsia="Arial" w:cs="Arial"/>
          <w:sz w:val="22"/>
          <w:szCs w:val="22"/>
        </w:rPr>
        <w:t>Change control process required for any post-baseline modification</w:t>
      </w:r>
    </w:p>
    <w:p>
      <w:pPr>
        <w:pStyle w:val="ListParagraph"/>
        <w:numPr>
          <w:ilvl w:val="0"/>
          <w:numId w:val="56"/>
        </w:numPr>
        <w:spacing w:before="60" w:after="60"/>
        <w:rPr/>
      </w:pPr>
      <w:r>
        <w:rPr>
          <w:rFonts w:eastAsia="Arial" w:cs="Arial"/>
          <w:sz w:val="22"/>
          <w:szCs w:val="22"/>
        </w:rPr>
        <w:t>Problem reports shall be tracked and resolved before SOI reviews</w:t>
      </w:r>
    </w:p>
    <w:p>
      <w:pPr>
        <w:pStyle w:val="ListParagraph"/>
        <w:numPr>
          <w:ilvl w:val="0"/>
          <w:numId w:val="57"/>
        </w:numPr>
        <w:spacing w:before="60" w:after="60"/>
        <w:rPr/>
      </w:pPr>
      <w:r>
        <w:rPr>
          <w:rFonts w:eastAsia="Arial" w:cs="Arial"/>
          <w:sz w:val="22"/>
          <w:szCs w:val="22"/>
        </w:rPr>
        <w:t>Version control tool: [Git / DOORS / other — TBD]</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8. Software Quality Assurance</w:t>
      </w:r>
    </w:p>
    <w:p>
      <w:pPr>
        <w:pStyle w:val="Normal"/>
        <w:spacing w:before="80" w:after="80"/>
        <w:rPr/>
      </w:pPr>
      <w:r>
        <w:rPr>
          <w:rFonts w:eastAsia="Arial" w:cs="Arial"/>
          <w:sz w:val="22"/>
          <w:szCs w:val="22"/>
        </w:rPr>
        <w:t>Software Quality Assurance (SQA) activities ensure the software lifecycle processes comply with DO-178C objectives. SQA is defined in detail in the Software Quality Assurance Plan (SQAP). Key activities include:</w:t>
      </w:r>
    </w:p>
    <w:p>
      <w:pPr>
        <w:pStyle w:val="ListParagraph"/>
        <w:numPr>
          <w:ilvl w:val="0"/>
          <w:numId w:val="58"/>
        </w:numPr>
        <w:spacing w:before="60" w:after="60"/>
        <w:rPr/>
      </w:pPr>
      <w:r>
        <w:rPr>
          <w:rFonts w:eastAsia="Arial" w:cs="Arial"/>
          <w:sz w:val="22"/>
          <w:szCs w:val="22"/>
        </w:rPr>
        <w:t>Process audits at each lifecycle phase transition</w:t>
      </w:r>
    </w:p>
    <w:p>
      <w:pPr>
        <w:pStyle w:val="ListParagraph"/>
        <w:numPr>
          <w:ilvl w:val="0"/>
          <w:numId w:val="59"/>
        </w:numPr>
        <w:spacing w:before="60" w:after="60"/>
        <w:rPr/>
      </w:pPr>
      <w:r>
        <w:rPr>
          <w:rFonts w:eastAsia="Arial" w:cs="Arial"/>
          <w:sz w:val="22"/>
          <w:szCs w:val="22"/>
        </w:rPr>
        <w:t>Verification of AI module outputs against applicable DO-178C objectives</w:t>
      </w:r>
    </w:p>
    <w:p>
      <w:pPr>
        <w:pStyle w:val="ListParagraph"/>
        <w:numPr>
          <w:ilvl w:val="0"/>
          <w:numId w:val="60"/>
        </w:numPr>
        <w:spacing w:before="60" w:after="60"/>
        <w:rPr/>
      </w:pPr>
      <w:r>
        <w:rPr>
          <w:rFonts w:eastAsia="Arial" w:cs="Arial"/>
          <w:sz w:val="22"/>
          <w:szCs w:val="22"/>
        </w:rPr>
        <w:t>Independence: SQA activities shall be performed by personnel not directly involved in development</w:t>
      </w:r>
    </w:p>
    <w:p>
      <w:pPr>
        <w:pStyle w:val="ListParagraph"/>
        <w:numPr>
          <w:ilvl w:val="0"/>
          <w:numId w:val="61"/>
        </w:numPr>
        <w:spacing w:before="60" w:after="60"/>
        <w:rPr/>
      </w:pPr>
      <w:r>
        <w:rPr>
          <w:rFonts w:eastAsia="Arial" w:cs="Arial"/>
          <w:sz w:val="22"/>
          <w:szCs w:val="22"/>
        </w:rPr>
        <w:t>Non-conformances shall be documented, tracked, and resolved prior to SOI reviews</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9. SOI Review Plan</w:t>
      </w:r>
    </w:p>
    <w:p>
      <w:pPr>
        <w:pStyle w:val="Normal"/>
        <w:spacing w:before="80" w:after="80"/>
        <w:rPr/>
      </w:pPr>
      <w:r>
        <w:rPr>
          <w:rFonts w:eastAsia="Arial" w:cs="Arial"/>
          <w:sz w:val="22"/>
          <w:szCs w:val="22"/>
        </w:rPr>
        <w:t>The following Stage of Involvement (SOI) reviews are planned with the certification authority:</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997"/>
        <w:gridCol w:w="1802"/>
        <w:gridCol w:w="2201"/>
        <w:gridCol w:w="4359"/>
      </w:tblGrid>
      <w:tr>
        <w:trPr>
          <w:tblHeader w:val="true"/>
        </w:trPr>
        <w:tc>
          <w:tcPr>
            <w:tcW w:w="997"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SOI</w:t>
            </w:r>
          </w:p>
        </w:tc>
        <w:tc>
          <w:tcPr>
            <w:tcW w:w="180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Timing</w:t>
            </w:r>
          </w:p>
        </w:tc>
        <w:tc>
          <w:tcPr>
            <w:tcW w:w="2201"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Scope</w:t>
            </w:r>
          </w:p>
        </w:tc>
        <w:tc>
          <w:tcPr>
            <w:tcW w:w="435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Key Items Reviewed</w:t>
            </w:r>
          </w:p>
        </w:tc>
      </w:tr>
      <w:tr>
        <w:trPr/>
        <w:tc>
          <w:tcPr>
            <w:tcW w:w="997"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#1</w:t>
            </w:r>
          </w:p>
        </w:tc>
        <w:tc>
          <w:tcPr>
            <w:tcW w:w="1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Before M1 starts</w:t>
            </w:r>
          </w:p>
        </w:tc>
        <w:tc>
          <w:tcPr>
            <w:tcW w:w="22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Planning Review</w:t>
            </w:r>
          </w:p>
        </w:tc>
        <w:tc>
          <w:tcPr>
            <w:tcW w:w="435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PSAC, SDP, SVP, SCMP, SQAP approved</w:t>
            </w:r>
          </w:p>
        </w:tc>
      </w:tr>
      <w:tr>
        <w:trPr/>
        <w:tc>
          <w:tcPr>
            <w:tcW w:w="997"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#2</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After M1/M2/M3</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Development Review</w:t>
            </w:r>
          </w:p>
        </w:tc>
        <w:tc>
          <w:tcPr>
            <w:tcW w:w="435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HLR, LLR, Source Code, Standards compliance</w:t>
            </w:r>
          </w:p>
        </w:tc>
      </w:tr>
      <w:tr>
        <w:trPr/>
        <w:tc>
          <w:tcPr>
            <w:tcW w:w="997"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SOI #3</w:t>
            </w:r>
          </w:p>
        </w:tc>
        <w:tc>
          <w:tcPr>
            <w:tcW w:w="180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After M4/M5/M6</w:t>
            </w:r>
          </w:p>
        </w:tc>
        <w:tc>
          <w:tcPr>
            <w:tcW w:w="2201"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Verification Review</w:t>
            </w:r>
          </w:p>
        </w:tc>
        <w:tc>
          <w:tcPr>
            <w:tcW w:w="435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Test results, Coverage data, Traceability matrix</w:t>
            </w:r>
          </w:p>
        </w:tc>
      </w:tr>
      <w:tr>
        <w:trPr/>
        <w:tc>
          <w:tcPr>
            <w:tcW w:w="997"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SOI #4</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Project end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Final Certification</w:t>
            </w:r>
          </w:p>
        </w:tc>
        <w:tc>
          <w:tcPr>
            <w:tcW w:w="435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SAS, all lifecycle data complete</w:t>
            </w:r>
          </w:p>
        </w:tc>
      </w:tr>
    </w:tbl>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10. Additional Considerations</w:t>
      </w:r>
    </w:p>
    <w:p>
      <w:pPr>
        <w:pStyle w:val="Heading2"/>
        <w:spacing w:before="300" w:after="150"/>
        <w:rPr/>
      </w:pPr>
      <w:r>
        <w:rPr>
          <w:rFonts w:eastAsia="Arial" w:cs="Arial" w:ascii="Arial" w:hAnsi="Arial"/>
          <w:b/>
          <w:bCs/>
          <w:color w:val="2E75B6"/>
          <w:sz w:val="24"/>
          <w:szCs w:val="24"/>
        </w:rPr>
        <w:t>10.1 Derived Requirements</w:t>
      </w:r>
    </w:p>
    <w:p>
      <w:pPr>
        <w:pStyle w:val="Normal"/>
        <w:spacing w:before="80" w:after="80"/>
        <w:rPr/>
      </w:pPr>
      <w:r>
        <w:rPr>
          <w:rFonts w:eastAsia="Arial" w:cs="Arial"/>
          <w:sz w:val="22"/>
          <w:szCs w:val="22"/>
        </w:rPr>
        <w:t>AI-generated requirements (HLR from M1, LLR from M2) may produce derived requirements — requirements with no direct parent in the PDS. All derived requirements shall be:</w:t>
      </w:r>
    </w:p>
    <w:p>
      <w:pPr>
        <w:pStyle w:val="ListParagraph"/>
        <w:numPr>
          <w:ilvl w:val="0"/>
          <w:numId w:val="62"/>
        </w:numPr>
        <w:spacing w:before="60" w:after="60"/>
        <w:rPr/>
      </w:pPr>
      <w:r>
        <w:rPr>
          <w:rFonts w:eastAsia="Arial" w:cs="Arial"/>
          <w:sz w:val="22"/>
          <w:szCs w:val="22"/>
        </w:rPr>
        <w:t>Explicitly identified and tagged as 'derived' in the requirements data</w:t>
      </w:r>
    </w:p>
    <w:p>
      <w:pPr>
        <w:pStyle w:val="ListParagraph"/>
        <w:numPr>
          <w:ilvl w:val="0"/>
          <w:numId w:val="63"/>
        </w:numPr>
        <w:spacing w:before="60" w:after="60"/>
        <w:rPr/>
      </w:pPr>
      <w:r>
        <w:rPr>
          <w:rFonts w:eastAsia="Arial" w:cs="Arial"/>
          <w:sz w:val="22"/>
          <w:szCs w:val="22"/>
        </w:rPr>
        <w:t>Reviewed and approved by the systems engineer</w:t>
      </w:r>
    </w:p>
    <w:p>
      <w:pPr>
        <w:pStyle w:val="ListParagraph"/>
        <w:numPr>
          <w:ilvl w:val="0"/>
          <w:numId w:val="64"/>
        </w:numPr>
        <w:spacing w:before="60" w:after="60"/>
        <w:rPr/>
      </w:pPr>
      <w:r>
        <w:rPr>
          <w:rFonts w:eastAsia="Arial" w:cs="Arial"/>
          <w:sz w:val="22"/>
          <w:szCs w:val="22"/>
        </w:rPr>
        <w:t>Submitted to the safety process for assessment (per ARP4761)</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10.2 Previously Developed Software (PDS Reuse)</w:t>
      </w:r>
    </w:p>
    <w:p>
      <w:pPr>
        <w:pStyle w:val="Normal"/>
        <w:spacing w:before="80" w:after="80"/>
        <w:rPr/>
      </w:pPr>
      <w:r>
        <w:rPr>
          <w:rFonts w:eastAsia="Arial" w:cs="Arial"/>
          <w:sz w:val="22"/>
          <w:szCs w:val="22"/>
        </w:rPr>
        <w:t>Not applicable to this project. All software artifacts are generated fresh by the AI toolchain.</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10.3 Commercial Off-The-Shelf (COTS) Software</w:t>
      </w:r>
    </w:p>
    <w:p>
      <w:pPr>
        <w:pStyle w:val="Normal"/>
        <w:spacing w:before="80" w:after="80"/>
        <w:rPr/>
      </w:pPr>
      <w:r>
        <w:rPr>
          <w:rFonts w:eastAsia="Arial" w:cs="Arial"/>
          <w:sz w:val="22"/>
          <w:szCs w:val="22"/>
        </w:rPr>
        <w:t>COTS components used within AI modules (e.g., LLM frameworks, libraries) shall be identified, documented, and assessed for their impact on certification objectives.</w:t>
      </w:r>
    </w:p>
    <w:p>
      <w:pPr>
        <w:pStyle w:val="Normal"/>
        <w:spacing w:before="100" w:after="100"/>
        <w:rPr/>
      </w:pPr>
      <w:r>
        <w:rPr/>
      </w:r>
    </w:p>
    <w:p>
      <w:pPr>
        <w:pStyle w:val="Heading2"/>
        <w:spacing w:before="300" w:after="150"/>
        <w:rPr/>
      </w:pPr>
      <w:r>
        <w:rPr>
          <w:rFonts w:eastAsia="Arial" w:cs="Arial" w:ascii="Arial" w:hAnsi="Arial"/>
          <w:b/>
          <w:bCs/>
          <w:color w:val="2E75B6"/>
          <w:sz w:val="24"/>
          <w:szCs w:val="24"/>
        </w:rPr>
        <w:t>10.4 Limitations of AI-Generated Outputs</w:t>
      </w:r>
    </w:p>
    <w:p>
      <w:pPr>
        <w:pStyle w:val="Normal"/>
        <w:spacing w:before="80" w:after="80"/>
        <w:rPr/>
      </w:pPr>
      <w:r>
        <w:rPr>
          <w:rFonts w:eastAsia="Arial" w:cs="Arial"/>
          <w:sz w:val="22"/>
          <w:szCs w:val="22"/>
        </w:rPr>
        <w:t>The following limitations of AI-generated outputs are acknowledged and mitigated through human review:</w:t>
      </w:r>
    </w:p>
    <w:p>
      <w:pPr>
        <w:pStyle w:val="ListParagraph"/>
        <w:numPr>
          <w:ilvl w:val="0"/>
          <w:numId w:val="65"/>
        </w:numPr>
        <w:spacing w:before="60" w:after="60"/>
        <w:rPr/>
      </w:pPr>
      <w:r>
        <w:rPr>
          <w:rFonts w:eastAsia="Arial" w:cs="Arial"/>
          <w:sz w:val="22"/>
          <w:szCs w:val="22"/>
        </w:rPr>
        <w:t>AI models may produce plausible but incorrect requirements — mitigated by mandatory engineer review</w:t>
      </w:r>
    </w:p>
    <w:p>
      <w:pPr>
        <w:pStyle w:val="ListParagraph"/>
        <w:numPr>
          <w:ilvl w:val="0"/>
          <w:numId w:val="66"/>
        </w:numPr>
        <w:spacing w:before="60" w:after="60"/>
        <w:rPr/>
      </w:pPr>
      <w:r>
        <w:rPr>
          <w:rFonts w:eastAsia="Arial" w:cs="Arial"/>
          <w:sz w:val="22"/>
          <w:szCs w:val="22"/>
        </w:rPr>
        <w:t>AI models may not be aware of all hardware constraints — mitigated by providing full hardware documentation as M1 input</w:t>
      </w:r>
    </w:p>
    <w:p>
      <w:pPr>
        <w:pStyle w:val="ListParagraph"/>
        <w:numPr>
          <w:ilvl w:val="0"/>
          <w:numId w:val="67"/>
        </w:numPr>
        <w:spacing w:before="60" w:after="60"/>
        <w:rPr/>
      </w:pPr>
      <w:r>
        <w:rPr>
          <w:rFonts w:eastAsia="Arial" w:cs="Arial"/>
          <w:sz w:val="22"/>
          <w:szCs w:val="22"/>
        </w:rPr>
        <w:t>Generated code may not achieve required structural coverage without iteration — mitigated by coverage analysis in verification phase</w:t>
      </w:r>
    </w:p>
    <w:p>
      <w:pPr>
        <w:pStyle w:val="Normal"/>
        <w:spacing w:before="100" w:after="100"/>
        <w:rPr/>
      </w:pPr>
      <w:r>
        <w:rPr/>
      </w:r>
    </w:p>
    <w:p>
      <w:pPr>
        <w:pStyle w:val="Normal"/>
        <w:rPr/>
      </w:pPr>
      <w:r>
        <w:rPr/>
      </w:r>
      <w:r>
        <w:br w:type="page"/>
      </w:r>
    </w:p>
    <w:p>
      <w:pPr>
        <w:pStyle w:val="Heading1"/>
        <w:pBdr>
          <w:bottom w:val="single" w:sz="6" w:space="4" w:color="2E75B6"/>
        </w:pBdr>
        <w:spacing w:before="400" w:after="200"/>
        <w:rPr/>
      </w:pPr>
      <w:r>
        <w:rPr>
          <w:rFonts w:eastAsia="Arial" w:cs="Arial" w:ascii="Arial" w:hAnsi="Arial"/>
          <w:b/>
          <w:bCs/>
          <w:color w:val="1F3864"/>
          <w:sz w:val="28"/>
          <w:szCs w:val="28"/>
        </w:rPr>
        <w:t>11. Approvals</w:t>
      </w:r>
    </w:p>
    <w:p>
      <w:pPr>
        <w:pStyle w:val="Normal"/>
        <w:spacing w:before="80" w:after="80"/>
        <w:rPr/>
      </w:pPr>
      <w:r>
        <w:rPr>
          <w:rFonts w:eastAsia="Arial" w:cs="Arial"/>
          <w:sz w:val="22"/>
          <w:szCs w:val="22"/>
        </w:rPr>
        <w:t>This document requires the following approvals before SOI #1:</w:t>
      </w:r>
    </w:p>
    <w:p>
      <w:pPr>
        <w:pStyle w:val="Normal"/>
        <w:spacing w:before="100" w:after="100"/>
        <w:rPr/>
      </w:pPr>
      <w:r>
        <w:rPr/>
      </w:r>
    </w:p>
    <w:tbl>
      <w:tblPr>
        <w:tblW w:w="8360" w:type="dxa"/>
        <w:jc w:val="left"/>
        <w:tblInd w:w="0" w:type="dxa"/>
        <w:tblLayout w:type="fixed"/>
        <w:tblCellMar>
          <w:top w:w="80" w:type="dxa"/>
          <w:left w:w="120" w:type="dxa"/>
          <w:bottom w:w="80" w:type="dxa"/>
          <w:right w:w="120" w:type="dxa"/>
        </w:tblCellMar>
      </w:tblPr>
      <w:tblGrid>
        <w:gridCol w:w="2200"/>
        <w:gridCol w:w="2199"/>
        <w:gridCol w:w="2482"/>
        <w:gridCol w:w="1478"/>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Role</w:t>
            </w:r>
          </w:p>
        </w:tc>
        <w:tc>
          <w:tcPr>
            <w:tcW w:w="2199"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Name</w:t>
            </w:r>
          </w:p>
        </w:tc>
        <w:tc>
          <w:tcPr>
            <w:tcW w:w="2482"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Signature</w:t>
            </w:r>
          </w:p>
        </w:tc>
        <w:tc>
          <w:tcPr>
            <w:tcW w:w="1478" w:type="dxa"/>
            <w:tcBorders>
              <w:top w:val="single" w:sz="2" w:space="0" w:color="BBBBBB"/>
              <w:left w:val="single" w:sz="2" w:space="0" w:color="BBBBBB"/>
              <w:bottom w:val="single" w:sz="2" w:space="0" w:color="BBBBBB"/>
              <w:right w:val="single" w:sz="2" w:space="0" w:color="BBBBBB"/>
            </w:tcBorders>
            <w:shd w:fill="1F3864" w:val="clear"/>
          </w:tcPr>
          <w:p>
            <w:pPr>
              <w:pStyle w:val="Normal"/>
              <w:widowControl w:val="false"/>
              <w:rPr/>
            </w:pPr>
            <w:r>
              <w:rPr>
                <w:rFonts w:eastAsia="Arial" w:cs="Arial"/>
                <w:b/>
                <w:bCs/>
                <w:color w:val="FFFFFF"/>
                <w:sz w:val="20"/>
                <w:szCs w:val="20"/>
              </w:rPr>
              <w:t>Date</w:t>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Author</w:t>
            </w:r>
          </w:p>
        </w:tc>
        <w:tc>
          <w:tcPr>
            <w:tcW w:w="2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Hatem Adouani</w:t>
            </w:r>
          </w:p>
        </w:tc>
        <w:tc>
          <w:tcPr>
            <w:tcW w:w="248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Project Supervisor</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[Supervisor Name]</w:t>
            </w:r>
          </w:p>
        </w:tc>
        <w:tc>
          <w:tcPr>
            <w:tcW w:w="248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r>
      <w:tr>
        <w:trPr/>
        <w:tc>
          <w:tcPr>
            <w:tcW w:w="2200"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Quality Assurance</w:t>
            </w:r>
          </w:p>
        </w:tc>
        <w:tc>
          <w:tcPr>
            <w:tcW w:w="2199"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Fonts w:eastAsia="Arial" w:cs="Arial"/>
                <w:sz w:val="20"/>
                <w:szCs w:val="20"/>
              </w:rPr>
              <w:t>[QA Name]</w:t>
            </w:r>
          </w:p>
        </w:tc>
        <w:tc>
          <w:tcPr>
            <w:tcW w:w="2482"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2F2F2" w:val="clear"/>
          </w:tcPr>
          <w:p>
            <w:pPr>
              <w:pStyle w:val="Normal"/>
              <w:widowControl w:val="false"/>
              <w:rPr/>
            </w:pPr>
            <w:r>
              <w:rPr/>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Certification Authority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Fonts w:eastAsia="Arial" w:cs="Arial"/>
                <w:sz w:val="20"/>
                <w:szCs w:val="20"/>
              </w:rPr>
              <w:t>[Authority Rep]</w:t>
            </w:r>
          </w:p>
        </w:tc>
        <w:tc>
          <w:tcPr>
            <w:tcW w:w="2482"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c>
          <w:tcPr>
            <w:tcW w:w="1478" w:type="dxa"/>
            <w:tcBorders>
              <w:top w:val="single" w:sz="2" w:space="0" w:color="BBBBBB"/>
              <w:left w:val="single" w:sz="2" w:space="0" w:color="BBBBBB"/>
              <w:bottom w:val="single" w:sz="2" w:space="0" w:color="BBBBBB"/>
              <w:right w:val="single" w:sz="2" w:space="0" w:color="BBBBBB"/>
            </w:tcBorders>
            <w:shd w:fill="FFFFFF" w:val="clear"/>
          </w:tcPr>
          <w:p>
            <w:pPr>
              <w:pStyle w:val="Normal"/>
              <w:widowControl w:val="false"/>
              <w:rPr/>
            </w:pPr>
            <w:r>
              <w:rPr/>
            </w:r>
          </w:p>
        </w:tc>
      </w:tr>
    </w:tbl>
    <w:p>
      <w:pPr>
        <w:pStyle w:val="Normal"/>
        <w:spacing w:before="100" w:after="10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026" w:leader="none"/>
      </w:tabs>
      <w:rPr/>
    </w:pPr>
    <w:r>
      <w:rPr>
        <w:rFonts w:eastAsia="Arial" w:cs="Arial"/>
        <w:color w:val="666666"/>
        <w:sz w:val="18"/>
        <w:szCs w:val="18"/>
      </w:rPr>
      <w:t>CONFIDENTIAL — End of Study Project</w:t>
      <w:tab/>
      <w:t xml:space="preserve">Page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color w:val="666666"/>
        <w:sz w:val="18"/>
        <w:szCs w:val="18"/>
      </w:rPr>
      <w:t>PSAC — I-SCEET  |   PSAC-TOOLCHAIN-001   |   v1.0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lvlOverride w:ilvl="0">
      <w:startOverride w:val="1"/>
    </w:lvlOverride>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28"/>
      <w:szCs w:val="28"/>
    </w:rPr>
  </w:style>
  <w:style w:type="paragraph" w:styleId="Heading2">
    <w:name w:val="Heading 2"/>
    <w:basedOn w:val="Heading"/>
    <w:qFormat/>
    <w:pPr>
      <w:spacing w:before="300" w:after="15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124</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2026-03-15T22:41:00Z</dcterms:created>
  <dc:creator>Un-named</dc:creator>
  <dc:description/>
  <dc:language>en-US</dc:language>
  <cp:lastModifiedBy/>
  <dcterms:modified xsi:type="dcterms:W3CDTF">2026-04-18T20:05:20Z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