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2470" w:rsidRPr="003B731C" w:rsidRDefault="0076535E" w:rsidP="003B731C">
      <w:pPr>
        <w:jc w:val="center"/>
        <w:rPr>
          <w:rFonts w:ascii="Palatino Linotype" w:hAnsi="Palatino Linotype" w:cstheme="majorBidi"/>
          <w:b/>
          <w:bCs/>
          <w:sz w:val="36"/>
          <w:szCs w:val="36"/>
        </w:rPr>
      </w:pPr>
      <w:r w:rsidRPr="003B731C">
        <w:rPr>
          <w:rFonts w:ascii="Palatino Linotype" w:hAnsi="Palatino Linotype" w:cstheme="majorBidi"/>
          <w:b/>
          <w:bCs/>
          <w:sz w:val="36"/>
          <w:szCs w:val="36"/>
        </w:rPr>
        <w:t>2018 Inventory Report for Khalifa University of Science and Technology Libraries</w:t>
      </w:r>
    </w:p>
    <w:p w:rsidR="0076535E" w:rsidRDefault="00216604" w:rsidP="00182735">
      <w:pPr>
        <w:rPr>
          <w:rFonts w:cstheme="majorBidi"/>
          <w:sz w:val="28"/>
          <w:szCs w:val="28"/>
        </w:rPr>
      </w:pPr>
      <w:r>
        <w:rPr>
          <w:rFonts w:cstheme="majorBidi"/>
          <w:sz w:val="28"/>
          <w:szCs w:val="28"/>
        </w:rPr>
        <w:t>After successfully combining</w:t>
      </w:r>
      <w:r w:rsidR="0076535E">
        <w:rPr>
          <w:rFonts w:cstheme="majorBidi"/>
          <w:sz w:val="28"/>
          <w:szCs w:val="28"/>
        </w:rPr>
        <w:t xml:space="preserve"> </w:t>
      </w:r>
      <w:r>
        <w:rPr>
          <w:rFonts w:cstheme="majorBidi"/>
          <w:sz w:val="28"/>
          <w:szCs w:val="28"/>
        </w:rPr>
        <w:t>the collections and catalogs of the libraries of Khalifa University of Science, Technology, and Research</w:t>
      </w:r>
      <w:r w:rsidR="00182735">
        <w:rPr>
          <w:rFonts w:cstheme="majorBidi"/>
          <w:sz w:val="28"/>
          <w:szCs w:val="28"/>
        </w:rPr>
        <w:t>,</w:t>
      </w:r>
      <w:r>
        <w:rPr>
          <w:rFonts w:cstheme="majorBidi"/>
          <w:sz w:val="28"/>
          <w:szCs w:val="28"/>
        </w:rPr>
        <w:t xml:space="preserve"> The </w:t>
      </w:r>
      <w:proofErr w:type="spellStart"/>
      <w:r>
        <w:rPr>
          <w:rFonts w:cstheme="majorBidi"/>
          <w:sz w:val="28"/>
          <w:szCs w:val="28"/>
        </w:rPr>
        <w:t>Masdar</w:t>
      </w:r>
      <w:proofErr w:type="spellEnd"/>
      <w:r>
        <w:rPr>
          <w:rFonts w:cstheme="majorBidi"/>
          <w:sz w:val="28"/>
          <w:szCs w:val="28"/>
        </w:rPr>
        <w:t xml:space="preserve"> Institute</w:t>
      </w:r>
      <w:r w:rsidR="00182735">
        <w:rPr>
          <w:rFonts w:cstheme="majorBidi"/>
          <w:sz w:val="28"/>
          <w:szCs w:val="28"/>
        </w:rPr>
        <w:t>,</w:t>
      </w:r>
      <w:r>
        <w:rPr>
          <w:rFonts w:cstheme="majorBidi"/>
          <w:sz w:val="28"/>
          <w:szCs w:val="28"/>
        </w:rPr>
        <w:t xml:space="preserve"> and The Petroleum Institute in 2017, the librarians of the unified Khalifa University of Science and Technology in the summer of 2018 undertook an inventory of the items </w:t>
      </w:r>
      <w:r w:rsidR="00182735">
        <w:rPr>
          <w:rFonts w:cstheme="majorBidi"/>
          <w:sz w:val="28"/>
          <w:szCs w:val="28"/>
        </w:rPr>
        <w:t>within</w:t>
      </w:r>
      <w:r>
        <w:rPr>
          <w:rFonts w:cstheme="majorBidi"/>
          <w:sz w:val="28"/>
          <w:szCs w:val="28"/>
        </w:rPr>
        <w:t xml:space="preserve"> that unified collection. Since two</w:t>
      </w:r>
      <w:r w:rsidR="00182735">
        <w:rPr>
          <w:rFonts w:cstheme="majorBidi"/>
          <w:sz w:val="28"/>
          <w:szCs w:val="28"/>
        </w:rPr>
        <w:t xml:space="preserve"> of</w:t>
      </w:r>
      <w:r>
        <w:rPr>
          <w:rFonts w:cstheme="majorBidi"/>
          <w:sz w:val="28"/>
          <w:szCs w:val="28"/>
        </w:rPr>
        <w:t xml:space="preserve"> the previous institutions ha</w:t>
      </w:r>
      <w:r w:rsidR="00182735">
        <w:rPr>
          <w:rFonts w:cstheme="majorBidi"/>
          <w:sz w:val="28"/>
          <w:szCs w:val="28"/>
        </w:rPr>
        <w:t>d</w:t>
      </w:r>
      <w:r>
        <w:rPr>
          <w:rFonts w:cstheme="majorBidi"/>
          <w:sz w:val="28"/>
          <w:szCs w:val="28"/>
        </w:rPr>
        <w:t xml:space="preserve"> either never or not in </w:t>
      </w:r>
      <w:r w:rsidR="00182735">
        <w:rPr>
          <w:rFonts w:cstheme="majorBidi"/>
          <w:sz w:val="28"/>
          <w:szCs w:val="28"/>
        </w:rPr>
        <w:t>many</w:t>
      </w:r>
      <w:r>
        <w:rPr>
          <w:rFonts w:cstheme="majorBidi"/>
          <w:sz w:val="28"/>
          <w:szCs w:val="28"/>
        </w:rPr>
        <w:t xml:space="preserve"> years undertaken such an inventory, there were concerns about how accurate the list of items in the catalog actually was.</w:t>
      </w:r>
    </w:p>
    <w:p w:rsidR="00216604" w:rsidRDefault="00216604" w:rsidP="00182735">
      <w:pPr>
        <w:rPr>
          <w:rFonts w:cstheme="majorBidi"/>
          <w:sz w:val="28"/>
          <w:szCs w:val="28"/>
        </w:rPr>
      </w:pPr>
      <w:r>
        <w:rPr>
          <w:rFonts w:cstheme="majorBidi"/>
          <w:sz w:val="28"/>
          <w:szCs w:val="28"/>
        </w:rPr>
        <w:t>According to the library catalog, the merged collection, including items of all types</w:t>
      </w:r>
      <w:r w:rsidR="00182735">
        <w:rPr>
          <w:rFonts w:cstheme="majorBidi"/>
          <w:sz w:val="28"/>
          <w:szCs w:val="28"/>
        </w:rPr>
        <w:t>,</w:t>
      </w:r>
      <w:r>
        <w:rPr>
          <w:rFonts w:cstheme="majorBidi"/>
          <w:sz w:val="28"/>
          <w:szCs w:val="28"/>
        </w:rPr>
        <w:t xml:space="preserve"> is well over 100,000. Many of those items are checked out to users or already marked as lost or withdrawn, however. The total number of items that should have been found as part of the inventory </w:t>
      </w:r>
      <w:r w:rsidR="00182735">
        <w:rPr>
          <w:rFonts w:cstheme="majorBidi"/>
          <w:sz w:val="28"/>
          <w:szCs w:val="28"/>
        </w:rPr>
        <w:t>wa</w:t>
      </w:r>
      <w:r>
        <w:rPr>
          <w:rFonts w:cstheme="majorBidi"/>
          <w:sz w:val="28"/>
          <w:szCs w:val="28"/>
        </w:rPr>
        <w:t xml:space="preserve">s about 106,000. The librarians of each branch were given a list of items for their </w:t>
      </w:r>
      <w:r w:rsidR="009D4930">
        <w:rPr>
          <w:rFonts w:cstheme="majorBidi"/>
          <w:sz w:val="28"/>
          <w:szCs w:val="28"/>
        </w:rPr>
        <w:t xml:space="preserve">branch and either RFID scanners (Main Campus and the </w:t>
      </w:r>
      <w:proofErr w:type="spellStart"/>
      <w:r w:rsidR="009D4930">
        <w:rPr>
          <w:rFonts w:cstheme="majorBidi"/>
          <w:sz w:val="28"/>
          <w:szCs w:val="28"/>
        </w:rPr>
        <w:t>Sas</w:t>
      </w:r>
      <w:proofErr w:type="spellEnd"/>
      <w:r w:rsidR="009D4930">
        <w:rPr>
          <w:rFonts w:cstheme="majorBidi"/>
          <w:sz w:val="28"/>
          <w:szCs w:val="28"/>
        </w:rPr>
        <w:t xml:space="preserve"> Al </w:t>
      </w:r>
      <w:proofErr w:type="spellStart"/>
      <w:r w:rsidR="009D4930">
        <w:rPr>
          <w:rFonts w:cstheme="majorBidi"/>
          <w:sz w:val="28"/>
          <w:szCs w:val="28"/>
        </w:rPr>
        <w:t>Nakhl</w:t>
      </w:r>
      <w:proofErr w:type="spellEnd"/>
      <w:r w:rsidR="009D4930">
        <w:rPr>
          <w:rFonts w:cstheme="majorBidi"/>
          <w:sz w:val="28"/>
          <w:szCs w:val="28"/>
        </w:rPr>
        <w:t xml:space="preserve"> branches)</w:t>
      </w:r>
      <w:r w:rsidR="00182735">
        <w:rPr>
          <w:rFonts w:cstheme="majorBidi"/>
          <w:sz w:val="28"/>
          <w:szCs w:val="28"/>
        </w:rPr>
        <w:t xml:space="preserve"> or</w:t>
      </w:r>
      <w:r w:rsidR="009D4930">
        <w:rPr>
          <w:rFonts w:cstheme="majorBidi"/>
          <w:sz w:val="28"/>
          <w:szCs w:val="28"/>
        </w:rPr>
        <w:t xml:space="preserve"> an optical barcode scanner (</w:t>
      </w:r>
      <w:proofErr w:type="spellStart"/>
      <w:r w:rsidR="009D4930">
        <w:rPr>
          <w:rFonts w:cstheme="majorBidi"/>
          <w:sz w:val="28"/>
          <w:szCs w:val="28"/>
        </w:rPr>
        <w:t>Masdar</w:t>
      </w:r>
      <w:proofErr w:type="spellEnd"/>
      <w:r w:rsidR="009D4930">
        <w:rPr>
          <w:rFonts w:cstheme="majorBidi"/>
          <w:sz w:val="28"/>
          <w:szCs w:val="28"/>
        </w:rPr>
        <w:t xml:space="preserve"> Library – this is because the RFID tags at </w:t>
      </w:r>
      <w:proofErr w:type="spellStart"/>
      <w:r w:rsidR="009D4930">
        <w:rPr>
          <w:rFonts w:cstheme="majorBidi"/>
          <w:sz w:val="28"/>
          <w:szCs w:val="28"/>
        </w:rPr>
        <w:t>Masdar</w:t>
      </w:r>
      <w:proofErr w:type="spellEnd"/>
      <w:r w:rsidR="009D4930">
        <w:rPr>
          <w:rFonts w:cstheme="majorBidi"/>
          <w:sz w:val="28"/>
          <w:szCs w:val="28"/>
        </w:rPr>
        <w:t xml:space="preserve"> are currently incompatible with the technology at the other branches). </w:t>
      </w:r>
    </w:p>
    <w:p w:rsidR="009D4930" w:rsidRDefault="009D4930" w:rsidP="00182735">
      <w:pPr>
        <w:rPr>
          <w:rFonts w:cstheme="majorBidi"/>
          <w:sz w:val="28"/>
          <w:szCs w:val="28"/>
        </w:rPr>
      </w:pPr>
      <w:r>
        <w:rPr>
          <w:rFonts w:cstheme="majorBidi"/>
          <w:sz w:val="28"/>
          <w:szCs w:val="28"/>
        </w:rPr>
        <w:t>The inventory procedure followed was this: Library staff scanned all the shelves in the branch, then the resulting list of barcodes was uploaded into an ad hoc database. After all the scanning was completed, a list of missing items was printed out and librarians looked manually to see if the item could be located. Some items did not scan in the initial pass (</w:t>
      </w:r>
      <w:r w:rsidR="00182735">
        <w:rPr>
          <w:rFonts w:cstheme="majorBidi"/>
          <w:sz w:val="28"/>
          <w:szCs w:val="28"/>
        </w:rPr>
        <w:t xml:space="preserve">most often due to </w:t>
      </w:r>
      <w:r>
        <w:rPr>
          <w:rFonts w:cstheme="majorBidi"/>
          <w:sz w:val="28"/>
          <w:szCs w:val="28"/>
        </w:rPr>
        <w:t xml:space="preserve">some combination of equipment malfunction, user error, or defective or missing RFID tags). </w:t>
      </w:r>
    </w:p>
    <w:p w:rsidR="009D4930" w:rsidRDefault="009D4930" w:rsidP="003B731C">
      <w:pPr>
        <w:rPr>
          <w:rFonts w:cstheme="majorBidi"/>
          <w:sz w:val="28"/>
          <w:szCs w:val="28"/>
        </w:rPr>
      </w:pPr>
      <w:r>
        <w:rPr>
          <w:rFonts w:cstheme="majorBidi"/>
          <w:sz w:val="28"/>
          <w:szCs w:val="28"/>
        </w:rPr>
        <w:t>The results of the inventory are shown in the below table:</w:t>
      </w:r>
    </w:p>
    <w:tbl>
      <w:tblPr>
        <w:tblW w:w="9640" w:type="dxa"/>
        <w:tblInd w:w="93" w:type="dxa"/>
        <w:tblLook w:val="04A0" w:firstRow="1" w:lastRow="0" w:firstColumn="1" w:lastColumn="0" w:noHBand="0" w:noVBand="1"/>
      </w:tblPr>
      <w:tblGrid>
        <w:gridCol w:w="3000"/>
        <w:gridCol w:w="1834"/>
        <w:gridCol w:w="1856"/>
        <w:gridCol w:w="1833"/>
        <w:gridCol w:w="1117"/>
      </w:tblGrid>
      <w:tr w:rsidR="009D4930" w:rsidRPr="009D4930" w:rsidTr="009D4930">
        <w:trPr>
          <w:trHeight w:val="375"/>
        </w:trPr>
        <w:tc>
          <w:tcPr>
            <w:tcW w:w="3000" w:type="dxa"/>
            <w:tcBorders>
              <w:top w:val="nil"/>
              <w:left w:val="nil"/>
              <w:bottom w:val="nil"/>
              <w:right w:val="nil"/>
            </w:tcBorders>
            <w:shd w:val="clear" w:color="auto" w:fill="auto"/>
            <w:noWrap/>
            <w:vAlign w:val="bottom"/>
            <w:hideMark/>
          </w:tcPr>
          <w:p w:rsidR="009D4930" w:rsidRPr="009D4930" w:rsidRDefault="009D4930" w:rsidP="009D4930">
            <w:pPr>
              <w:spacing w:after="0" w:line="240" w:lineRule="auto"/>
              <w:rPr>
                <w:rFonts w:ascii="Calibri" w:eastAsia="Times New Roman" w:hAnsi="Calibri" w:cs="Times New Roman"/>
                <w:color w:val="000000"/>
              </w:rPr>
            </w:pPr>
          </w:p>
        </w:tc>
        <w:tc>
          <w:tcPr>
            <w:tcW w:w="6640" w:type="dxa"/>
            <w:gridSpan w:val="4"/>
            <w:tcBorders>
              <w:top w:val="nil"/>
              <w:left w:val="nil"/>
              <w:bottom w:val="nil"/>
              <w:right w:val="nil"/>
            </w:tcBorders>
            <w:shd w:val="clear" w:color="auto" w:fill="auto"/>
            <w:noWrap/>
            <w:vAlign w:val="bottom"/>
            <w:hideMark/>
          </w:tcPr>
          <w:p w:rsidR="009D4930" w:rsidRPr="009D4930" w:rsidRDefault="009D4930" w:rsidP="003B731C">
            <w:pPr>
              <w:spacing w:after="0" w:line="240" w:lineRule="auto"/>
              <w:rPr>
                <w:rFonts w:ascii="Calibri" w:eastAsia="Times New Roman" w:hAnsi="Calibri" w:cs="Times New Roman"/>
                <w:b/>
                <w:bCs/>
                <w:color w:val="000000"/>
                <w:sz w:val="28"/>
                <w:szCs w:val="28"/>
              </w:rPr>
            </w:pPr>
          </w:p>
        </w:tc>
      </w:tr>
      <w:tr w:rsidR="009D4930" w:rsidRPr="009D4930" w:rsidTr="009D4930">
        <w:trPr>
          <w:trHeight w:val="375"/>
        </w:trPr>
        <w:tc>
          <w:tcPr>
            <w:tcW w:w="3000" w:type="dxa"/>
            <w:tcBorders>
              <w:top w:val="nil"/>
              <w:left w:val="nil"/>
              <w:bottom w:val="nil"/>
              <w:right w:val="nil"/>
            </w:tcBorders>
            <w:shd w:val="clear" w:color="auto" w:fill="auto"/>
            <w:noWrap/>
            <w:vAlign w:val="bottom"/>
            <w:hideMark/>
          </w:tcPr>
          <w:p w:rsidR="009D4930" w:rsidRPr="009D4930" w:rsidRDefault="009D4930" w:rsidP="009D4930">
            <w:pPr>
              <w:spacing w:after="0" w:line="240" w:lineRule="auto"/>
              <w:rPr>
                <w:rFonts w:ascii="Calibri" w:eastAsia="Times New Roman" w:hAnsi="Calibri" w:cs="Times New Roman"/>
                <w:color w:val="000000"/>
              </w:rPr>
            </w:pPr>
          </w:p>
        </w:tc>
        <w:tc>
          <w:tcPr>
            <w:tcW w:w="1834" w:type="dxa"/>
            <w:tcBorders>
              <w:top w:val="nil"/>
              <w:left w:val="nil"/>
              <w:bottom w:val="nil"/>
              <w:right w:val="nil"/>
            </w:tcBorders>
            <w:shd w:val="clear" w:color="auto" w:fill="auto"/>
            <w:noWrap/>
            <w:vAlign w:val="bottom"/>
            <w:hideMark/>
          </w:tcPr>
          <w:p w:rsidR="009D4930" w:rsidRPr="009D4930" w:rsidRDefault="009D4930" w:rsidP="009D4930">
            <w:pPr>
              <w:spacing w:after="0" w:line="240" w:lineRule="auto"/>
              <w:rPr>
                <w:rFonts w:ascii="Calibri" w:eastAsia="Times New Roman" w:hAnsi="Calibri" w:cs="Times New Roman"/>
                <w:b/>
                <w:bCs/>
                <w:color w:val="000000"/>
                <w:sz w:val="28"/>
                <w:szCs w:val="28"/>
              </w:rPr>
            </w:pPr>
            <w:r>
              <w:rPr>
                <w:rFonts w:ascii="Calibri" w:eastAsia="Times New Roman" w:hAnsi="Calibri" w:cs="Times New Roman"/>
                <w:b/>
                <w:bCs/>
                <w:color w:val="000000"/>
                <w:sz w:val="28"/>
                <w:szCs w:val="28"/>
              </w:rPr>
              <w:t>Items</w:t>
            </w:r>
            <w:r>
              <w:rPr>
                <w:rFonts w:ascii="Calibri" w:eastAsia="Times New Roman" w:hAnsi="Calibri" w:cs="Times New Roman"/>
                <w:b/>
                <w:bCs/>
                <w:color w:val="000000"/>
                <w:sz w:val="28"/>
                <w:szCs w:val="28"/>
              </w:rPr>
              <w:br/>
            </w:r>
            <w:r w:rsidRPr="009D4930">
              <w:rPr>
                <w:rFonts w:ascii="Calibri" w:eastAsia="Times New Roman" w:hAnsi="Calibri" w:cs="Times New Roman"/>
                <w:b/>
                <w:bCs/>
                <w:color w:val="000000"/>
                <w:sz w:val="28"/>
                <w:szCs w:val="28"/>
              </w:rPr>
              <w:t>Found</w:t>
            </w:r>
          </w:p>
        </w:tc>
        <w:tc>
          <w:tcPr>
            <w:tcW w:w="1856" w:type="dxa"/>
            <w:tcBorders>
              <w:top w:val="nil"/>
              <w:left w:val="nil"/>
              <w:bottom w:val="nil"/>
              <w:right w:val="nil"/>
            </w:tcBorders>
            <w:shd w:val="clear" w:color="auto" w:fill="auto"/>
            <w:noWrap/>
            <w:vAlign w:val="bottom"/>
            <w:hideMark/>
          </w:tcPr>
          <w:p w:rsidR="009D4930" w:rsidRPr="009D4930" w:rsidRDefault="009D4930" w:rsidP="009D4930">
            <w:pPr>
              <w:spacing w:after="0" w:line="240" w:lineRule="auto"/>
              <w:rPr>
                <w:rFonts w:ascii="Calibri" w:eastAsia="Times New Roman" w:hAnsi="Calibri" w:cs="Times New Roman"/>
                <w:b/>
                <w:bCs/>
                <w:color w:val="000000"/>
                <w:sz w:val="28"/>
                <w:szCs w:val="28"/>
              </w:rPr>
            </w:pPr>
            <w:r>
              <w:rPr>
                <w:rFonts w:ascii="Calibri" w:eastAsia="Times New Roman" w:hAnsi="Calibri" w:cs="Times New Roman"/>
                <w:b/>
                <w:bCs/>
                <w:color w:val="000000"/>
                <w:sz w:val="28"/>
                <w:szCs w:val="28"/>
              </w:rPr>
              <w:t xml:space="preserve">Items </w:t>
            </w:r>
            <w:r w:rsidRPr="009D4930">
              <w:rPr>
                <w:rFonts w:ascii="Calibri" w:eastAsia="Times New Roman" w:hAnsi="Calibri" w:cs="Times New Roman"/>
                <w:b/>
                <w:bCs/>
                <w:color w:val="000000"/>
                <w:sz w:val="28"/>
                <w:szCs w:val="28"/>
              </w:rPr>
              <w:t>Not Found</w:t>
            </w:r>
          </w:p>
        </w:tc>
        <w:tc>
          <w:tcPr>
            <w:tcW w:w="1833" w:type="dxa"/>
            <w:tcBorders>
              <w:top w:val="nil"/>
              <w:left w:val="nil"/>
              <w:bottom w:val="nil"/>
              <w:right w:val="nil"/>
            </w:tcBorders>
            <w:shd w:val="clear" w:color="auto" w:fill="auto"/>
            <w:noWrap/>
            <w:vAlign w:val="bottom"/>
            <w:hideMark/>
          </w:tcPr>
          <w:p w:rsidR="009D4930" w:rsidRPr="009D4930" w:rsidRDefault="009D4930" w:rsidP="009D4930">
            <w:pPr>
              <w:spacing w:after="0" w:line="240" w:lineRule="auto"/>
              <w:rPr>
                <w:rFonts w:ascii="Calibri" w:eastAsia="Times New Roman" w:hAnsi="Calibri" w:cs="Times New Roman"/>
                <w:b/>
                <w:bCs/>
                <w:color w:val="000000"/>
                <w:sz w:val="28"/>
                <w:szCs w:val="28"/>
              </w:rPr>
            </w:pPr>
            <w:r w:rsidRPr="009D4930">
              <w:rPr>
                <w:rFonts w:ascii="Calibri" w:eastAsia="Times New Roman" w:hAnsi="Calibri" w:cs="Times New Roman"/>
                <w:b/>
                <w:bCs/>
                <w:color w:val="000000"/>
                <w:sz w:val="28"/>
                <w:szCs w:val="28"/>
              </w:rPr>
              <w:t>Total</w:t>
            </w:r>
            <w:r>
              <w:rPr>
                <w:rFonts w:ascii="Calibri" w:eastAsia="Times New Roman" w:hAnsi="Calibri" w:cs="Times New Roman"/>
                <w:b/>
                <w:bCs/>
                <w:color w:val="000000"/>
                <w:sz w:val="28"/>
                <w:szCs w:val="28"/>
              </w:rPr>
              <w:t xml:space="preserve"> Items</w:t>
            </w:r>
          </w:p>
        </w:tc>
        <w:tc>
          <w:tcPr>
            <w:tcW w:w="1117" w:type="dxa"/>
            <w:tcBorders>
              <w:top w:val="nil"/>
              <w:left w:val="nil"/>
              <w:bottom w:val="nil"/>
              <w:right w:val="nil"/>
            </w:tcBorders>
            <w:shd w:val="clear" w:color="auto" w:fill="auto"/>
            <w:noWrap/>
            <w:vAlign w:val="bottom"/>
            <w:hideMark/>
          </w:tcPr>
          <w:p w:rsidR="009D4930" w:rsidRPr="009D4930" w:rsidRDefault="009D4930" w:rsidP="009D4930">
            <w:pPr>
              <w:spacing w:after="0" w:line="240" w:lineRule="auto"/>
              <w:rPr>
                <w:rFonts w:ascii="Calibri" w:eastAsia="Times New Roman" w:hAnsi="Calibri" w:cs="Times New Roman"/>
                <w:b/>
                <w:bCs/>
                <w:color w:val="000000"/>
                <w:sz w:val="28"/>
                <w:szCs w:val="28"/>
              </w:rPr>
            </w:pPr>
            <w:r w:rsidRPr="009D4930">
              <w:rPr>
                <w:rFonts w:ascii="Calibri" w:eastAsia="Times New Roman" w:hAnsi="Calibri" w:cs="Times New Roman"/>
                <w:b/>
                <w:bCs/>
                <w:color w:val="000000"/>
                <w:sz w:val="28"/>
                <w:szCs w:val="28"/>
              </w:rPr>
              <w:t>% Found</w:t>
            </w:r>
          </w:p>
        </w:tc>
      </w:tr>
      <w:tr w:rsidR="009D4930" w:rsidRPr="009D4930" w:rsidTr="009D4930">
        <w:trPr>
          <w:trHeight w:val="375"/>
        </w:trPr>
        <w:tc>
          <w:tcPr>
            <w:tcW w:w="3000" w:type="dxa"/>
            <w:tcBorders>
              <w:top w:val="single" w:sz="4" w:space="0" w:color="auto"/>
              <w:left w:val="nil"/>
              <w:bottom w:val="nil"/>
              <w:right w:val="nil"/>
            </w:tcBorders>
            <w:shd w:val="clear" w:color="auto" w:fill="auto"/>
            <w:noWrap/>
            <w:vAlign w:val="bottom"/>
            <w:hideMark/>
          </w:tcPr>
          <w:p w:rsidR="009D4930" w:rsidRPr="009D4930" w:rsidRDefault="009D4930" w:rsidP="009D4930">
            <w:pPr>
              <w:spacing w:after="0" w:line="240" w:lineRule="auto"/>
              <w:rPr>
                <w:rFonts w:ascii="Calibri" w:eastAsia="Times New Roman" w:hAnsi="Calibri" w:cs="Times New Roman"/>
                <w:b/>
                <w:bCs/>
                <w:color w:val="000000"/>
                <w:sz w:val="28"/>
                <w:szCs w:val="28"/>
              </w:rPr>
            </w:pPr>
            <w:proofErr w:type="spellStart"/>
            <w:r w:rsidRPr="009D4930">
              <w:rPr>
                <w:rFonts w:ascii="Calibri" w:eastAsia="Times New Roman" w:hAnsi="Calibri" w:cs="Times New Roman"/>
                <w:b/>
                <w:bCs/>
                <w:color w:val="000000"/>
                <w:sz w:val="28"/>
                <w:szCs w:val="28"/>
              </w:rPr>
              <w:t>Arzanah</w:t>
            </w:r>
            <w:proofErr w:type="spellEnd"/>
            <w:r w:rsidRPr="009D4930">
              <w:rPr>
                <w:rFonts w:ascii="Calibri" w:eastAsia="Times New Roman" w:hAnsi="Calibri" w:cs="Times New Roman"/>
                <w:b/>
                <w:bCs/>
                <w:color w:val="000000"/>
                <w:sz w:val="28"/>
                <w:szCs w:val="28"/>
              </w:rPr>
              <w:t xml:space="preserve"> Library</w:t>
            </w:r>
          </w:p>
        </w:tc>
        <w:tc>
          <w:tcPr>
            <w:tcW w:w="1834" w:type="dxa"/>
            <w:tcBorders>
              <w:top w:val="single" w:sz="4" w:space="0" w:color="auto"/>
              <w:left w:val="nil"/>
              <w:bottom w:val="nil"/>
              <w:right w:val="nil"/>
            </w:tcBorders>
            <w:shd w:val="clear" w:color="auto" w:fill="auto"/>
            <w:noWrap/>
            <w:vAlign w:val="bottom"/>
            <w:hideMark/>
          </w:tcPr>
          <w:p w:rsidR="009D4930" w:rsidRPr="009D4930" w:rsidRDefault="009D4930" w:rsidP="009D4930">
            <w:pPr>
              <w:spacing w:after="0" w:line="240" w:lineRule="auto"/>
              <w:rPr>
                <w:rFonts w:ascii="Calibri" w:eastAsia="Times New Roman" w:hAnsi="Calibri" w:cs="Times New Roman"/>
                <w:color w:val="000000"/>
              </w:rPr>
            </w:pPr>
            <w:r w:rsidRPr="009D4930">
              <w:rPr>
                <w:rFonts w:ascii="Calibri" w:eastAsia="Times New Roman" w:hAnsi="Calibri" w:cs="Times New Roman"/>
                <w:color w:val="000000"/>
              </w:rPr>
              <w:t xml:space="preserve">                     15,834 </w:t>
            </w:r>
          </w:p>
        </w:tc>
        <w:tc>
          <w:tcPr>
            <w:tcW w:w="1856" w:type="dxa"/>
            <w:tcBorders>
              <w:top w:val="single" w:sz="4" w:space="0" w:color="auto"/>
              <w:left w:val="nil"/>
              <w:bottom w:val="nil"/>
              <w:right w:val="nil"/>
            </w:tcBorders>
            <w:shd w:val="clear" w:color="auto" w:fill="auto"/>
            <w:noWrap/>
            <w:vAlign w:val="bottom"/>
            <w:hideMark/>
          </w:tcPr>
          <w:p w:rsidR="009D4930" w:rsidRPr="009D4930" w:rsidRDefault="009D4930" w:rsidP="009D4930">
            <w:pPr>
              <w:spacing w:after="0" w:line="240" w:lineRule="auto"/>
              <w:rPr>
                <w:rFonts w:ascii="Calibri" w:eastAsia="Times New Roman" w:hAnsi="Calibri" w:cs="Times New Roman"/>
                <w:color w:val="000000"/>
              </w:rPr>
            </w:pPr>
            <w:r w:rsidRPr="009D4930">
              <w:rPr>
                <w:rFonts w:ascii="Calibri" w:eastAsia="Times New Roman" w:hAnsi="Calibri" w:cs="Times New Roman"/>
                <w:color w:val="000000"/>
              </w:rPr>
              <w:t xml:space="preserve">                           369 </w:t>
            </w:r>
          </w:p>
        </w:tc>
        <w:tc>
          <w:tcPr>
            <w:tcW w:w="1833" w:type="dxa"/>
            <w:tcBorders>
              <w:top w:val="single" w:sz="4" w:space="0" w:color="auto"/>
              <w:left w:val="nil"/>
              <w:bottom w:val="nil"/>
              <w:right w:val="nil"/>
            </w:tcBorders>
            <w:shd w:val="clear" w:color="auto" w:fill="auto"/>
            <w:noWrap/>
            <w:vAlign w:val="bottom"/>
            <w:hideMark/>
          </w:tcPr>
          <w:p w:rsidR="009D4930" w:rsidRPr="009D4930" w:rsidRDefault="009D4930" w:rsidP="009D4930">
            <w:pPr>
              <w:spacing w:after="0" w:line="240" w:lineRule="auto"/>
              <w:rPr>
                <w:rFonts w:ascii="Calibri" w:eastAsia="Times New Roman" w:hAnsi="Calibri" w:cs="Times New Roman"/>
                <w:color w:val="000000"/>
              </w:rPr>
            </w:pPr>
            <w:r w:rsidRPr="009D4930">
              <w:rPr>
                <w:rFonts w:ascii="Calibri" w:eastAsia="Times New Roman" w:hAnsi="Calibri" w:cs="Times New Roman"/>
                <w:color w:val="000000"/>
              </w:rPr>
              <w:t xml:space="preserve">                     16,203 </w:t>
            </w:r>
          </w:p>
        </w:tc>
        <w:tc>
          <w:tcPr>
            <w:tcW w:w="1117" w:type="dxa"/>
            <w:tcBorders>
              <w:top w:val="single" w:sz="4" w:space="0" w:color="auto"/>
              <w:left w:val="nil"/>
              <w:bottom w:val="nil"/>
              <w:right w:val="nil"/>
            </w:tcBorders>
            <w:shd w:val="clear" w:color="auto" w:fill="auto"/>
            <w:noWrap/>
            <w:vAlign w:val="bottom"/>
            <w:hideMark/>
          </w:tcPr>
          <w:p w:rsidR="009D4930" w:rsidRPr="009D4930" w:rsidRDefault="009D4930" w:rsidP="009D4930">
            <w:pPr>
              <w:spacing w:after="0" w:line="240" w:lineRule="auto"/>
              <w:jc w:val="right"/>
              <w:rPr>
                <w:rFonts w:ascii="Calibri" w:eastAsia="Times New Roman" w:hAnsi="Calibri" w:cs="Times New Roman"/>
                <w:color w:val="000000"/>
              </w:rPr>
            </w:pPr>
            <w:r w:rsidRPr="009D4930">
              <w:rPr>
                <w:rFonts w:ascii="Calibri" w:eastAsia="Times New Roman" w:hAnsi="Calibri" w:cs="Times New Roman"/>
                <w:color w:val="000000"/>
              </w:rPr>
              <w:t>97.72%</w:t>
            </w:r>
          </w:p>
        </w:tc>
      </w:tr>
      <w:tr w:rsidR="009D4930" w:rsidRPr="009D4930" w:rsidTr="009D4930">
        <w:trPr>
          <w:trHeight w:val="375"/>
        </w:trPr>
        <w:tc>
          <w:tcPr>
            <w:tcW w:w="3000" w:type="dxa"/>
            <w:tcBorders>
              <w:top w:val="nil"/>
              <w:left w:val="nil"/>
              <w:bottom w:val="nil"/>
              <w:right w:val="nil"/>
            </w:tcBorders>
            <w:shd w:val="clear" w:color="000000" w:fill="FCD5B4"/>
            <w:noWrap/>
            <w:vAlign w:val="bottom"/>
            <w:hideMark/>
          </w:tcPr>
          <w:p w:rsidR="009D4930" w:rsidRPr="009D4930" w:rsidRDefault="009D4930" w:rsidP="009D4930">
            <w:pPr>
              <w:spacing w:after="0" w:line="240" w:lineRule="auto"/>
              <w:rPr>
                <w:rFonts w:ascii="Calibri" w:eastAsia="Times New Roman" w:hAnsi="Calibri" w:cs="Times New Roman"/>
                <w:b/>
                <w:bCs/>
                <w:color w:val="000000"/>
                <w:sz w:val="28"/>
                <w:szCs w:val="28"/>
              </w:rPr>
            </w:pPr>
            <w:proofErr w:type="spellStart"/>
            <w:r w:rsidRPr="009D4930">
              <w:rPr>
                <w:rFonts w:ascii="Calibri" w:eastAsia="Times New Roman" w:hAnsi="Calibri" w:cs="Times New Roman"/>
                <w:b/>
                <w:bCs/>
                <w:color w:val="000000"/>
                <w:sz w:val="28"/>
                <w:szCs w:val="28"/>
              </w:rPr>
              <w:t>Habshan</w:t>
            </w:r>
            <w:proofErr w:type="spellEnd"/>
            <w:r w:rsidRPr="009D4930">
              <w:rPr>
                <w:rFonts w:ascii="Calibri" w:eastAsia="Times New Roman" w:hAnsi="Calibri" w:cs="Times New Roman"/>
                <w:b/>
                <w:bCs/>
                <w:color w:val="000000"/>
                <w:sz w:val="28"/>
                <w:szCs w:val="28"/>
              </w:rPr>
              <w:t xml:space="preserve"> Library</w:t>
            </w:r>
          </w:p>
        </w:tc>
        <w:tc>
          <w:tcPr>
            <w:tcW w:w="1834" w:type="dxa"/>
            <w:tcBorders>
              <w:top w:val="nil"/>
              <w:left w:val="nil"/>
              <w:bottom w:val="nil"/>
              <w:right w:val="nil"/>
            </w:tcBorders>
            <w:shd w:val="clear" w:color="000000" w:fill="FCD5B4"/>
            <w:noWrap/>
            <w:vAlign w:val="bottom"/>
            <w:hideMark/>
          </w:tcPr>
          <w:p w:rsidR="009D4930" w:rsidRPr="009D4930" w:rsidRDefault="009D4930" w:rsidP="00E06A31">
            <w:pPr>
              <w:spacing w:after="0" w:line="240" w:lineRule="auto"/>
              <w:rPr>
                <w:rFonts w:ascii="Calibri" w:eastAsia="Times New Roman" w:hAnsi="Calibri" w:cs="Times New Roman"/>
                <w:color w:val="000000"/>
              </w:rPr>
            </w:pPr>
            <w:r w:rsidRPr="009D4930">
              <w:rPr>
                <w:rFonts w:ascii="Calibri" w:eastAsia="Times New Roman" w:hAnsi="Calibri" w:cs="Times New Roman"/>
                <w:color w:val="000000"/>
              </w:rPr>
              <w:t xml:space="preserve">                     70,795 </w:t>
            </w:r>
          </w:p>
        </w:tc>
        <w:tc>
          <w:tcPr>
            <w:tcW w:w="1856" w:type="dxa"/>
            <w:tcBorders>
              <w:top w:val="nil"/>
              <w:left w:val="nil"/>
              <w:bottom w:val="nil"/>
              <w:right w:val="nil"/>
            </w:tcBorders>
            <w:shd w:val="clear" w:color="000000" w:fill="FCD5B4"/>
            <w:noWrap/>
            <w:vAlign w:val="bottom"/>
            <w:hideMark/>
          </w:tcPr>
          <w:p w:rsidR="009D4930" w:rsidRPr="009D4930" w:rsidRDefault="009D4930" w:rsidP="009D4930">
            <w:pPr>
              <w:spacing w:after="0" w:line="240" w:lineRule="auto"/>
              <w:rPr>
                <w:rFonts w:ascii="Calibri" w:eastAsia="Times New Roman" w:hAnsi="Calibri" w:cs="Times New Roman"/>
                <w:color w:val="000000"/>
              </w:rPr>
            </w:pPr>
            <w:r w:rsidRPr="009D4930">
              <w:rPr>
                <w:rFonts w:ascii="Calibri" w:eastAsia="Times New Roman" w:hAnsi="Calibri" w:cs="Times New Roman"/>
                <w:color w:val="000000"/>
              </w:rPr>
              <w:t xml:space="preserve">                       1,827 </w:t>
            </w:r>
          </w:p>
        </w:tc>
        <w:tc>
          <w:tcPr>
            <w:tcW w:w="1833" w:type="dxa"/>
            <w:tcBorders>
              <w:top w:val="nil"/>
              <w:left w:val="nil"/>
              <w:bottom w:val="nil"/>
              <w:right w:val="nil"/>
            </w:tcBorders>
            <w:shd w:val="clear" w:color="000000" w:fill="FCD5B4"/>
            <w:noWrap/>
            <w:vAlign w:val="bottom"/>
            <w:hideMark/>
          </w:tcPr>
          <w:p w:rsidR="009D4930" w:rsidRPr="009D4930" w:rsidRDefault="009D4930" w:rsidP="009D4930">
            <w:pPr>
              <w:spacing w:after="0" w:line="240" w:lineRule="auto"/>
              <w:rPr>
                <w:rFonts w:ascii="Calibri" w:eastAsia="Times New Roman" w:hAnsi="Calibri" w:cs="Times New Roman"/>
                <w:color w:val="000000"/>
              </w:rPr>
            </w:pPr>
            <w:r w:rsidRPr="009D4930">
              <w:rPr>
                <w:rFonts w:ascii="Calibri" w:eastAsia="Times New Roman" w:hAnsi="Calibri" w:cs="Times New Roman"/>
                <w:color w:val="000000"/>
              </w:rPr>
              <w:t xml:space="preserve">                     72,622 </w:t>
            </w:r>
          </w:p>
        </w:tc>
        <w:tc>
          <w:tcPr>
            <w:tcW w:w="1117" w:type="dxa"/>
            <w:tcBorders>
              <w:top w:val="nil"/>
              <w:left w:val="nil"/>
              <w:bottom w:val="nil"/>
              <w:right w:val="nil"/>
            </w:tcBorders>
            <w:shd w:val="clear" w:color="000000" w:fill="FCD5B4"/>
            <w:noWrap/>
            <w:vAlign w:val="bottom"/>
            <w:hideMark/>
          </w:tcPr>
          <w:p w:rsidR="009D4930" w:rsidRPr="009D4930" w:rsidRDefault="009D4930" w:rsidP="009D4930">
            <w:pPr>
              <w:spacing w:after="0" w:line="240" w:lineRule="auto"/>
              <w:jc w:val="right"/>
              <w:rPr>
                <w:rFonts w:ascii="Calibri" w:eastAsia="Times New Roman" w:hAnsi="Calibri" w:cs="Times New Roman"/>
                <w:color w:val="000000"/>
              </w:rPr>
            </w:pPr>
            <w:r w:rsidRPr="009D4930">
              <w:rPr>
                <w:rFonts w:ascii="Calibri" w:eastAsia="Times New Roman" w:hAnsi="Calibri" w:cs="Times New Roman"/>
                <w:color w:val="000000"/>
              </w:rPr>
              <w:t>97.48%</w:t>
            </w:r>
          </w:p>
        </w:tc>
      </w:tr>
      <w:tr w:rsidR="009D4930" w:rsidRPr="009D4930" w:rsidTr="009D4930">
        <w:trPr>
          <w:trHeight w:val="375"/>
        </w:trPr>
        <w:tc>
          <w:tcPr>
            <w:tcW w:w="3000" w:type="dxa"/>
            <w:tcBorders>
              <w:top w:val="nil"/>
              <w:left w:val="nil"/>
              <w:bottom w:val="nil"/>
              <w:right w:val="nil"/>
            </w:tcBorders>
            <w:shd w:val="clear" w:color="auto" w:fill="auto"/>
            <w:noWrap/>
            <w:vAlign w:val="bottom"/>
            <w:hideMark/>
          </w:tcPr>
          <w:p w:rsidR="009D4930" w:rsidRPr="009D4930" w:rsidRDefault="009D4930" w:rsidP="009D4930">
            <w:pPr>
              <w:spacing w:after="0" w:line="240" w:lineRule="auto"/>
              <w:rPr>
                <w:rFonts w:ascii="Calibri" w:eastAsia="Times New Roman" w:hAnsi="Calibri" w:cs="Times New Roman"/>
                <w:b/>
                <w:bCs/>
                <w:color w:val="000000"/>
                <w:sz w:val="28"/>
                <w:szCs w:val="28"/>
              </w:rPr>
            </w:pPr>
            <w:proofErr w:type="spellStart"/>
            <w:r w:rsidRPr="009D4930">
              <w:rPr>
                <w:rFonts w:ascii="Calibri" w:eastAsia="Times New Roman" w:hAnsi="Calibri" w:cs="Times New Roman"/>
                <w:b/>
                <w:bCs/>
                <w:color w:val="000000"/>
                <w:sz w:val="28"/>
                <w:szCs w:val="28"/>
              </w:rPr>
              <w:t>Masdar</w:t>
            </w:r>
            <w:proofErr w:type="spellEnd"/>
            <w:r w:rsidRPr="009D4930">
              <w:rPr>
                <w:rFonts w:ascii="Calibri" w:eastAsia="Times New Roman" w:hAnsi="Calibri" w:cs="Times New Roman"/>
                <w:b/>
                <w:bCs/>
                <w:color w:val="000000"/>
                <w:sz w:val="28"/>
                <w:szCs w:val="28"/>
              </w:rPr>
              <w:t xml:space="preserve"> Institute Library</w:t>
            </w:r>
          </w:p>
        </w:tc>
        <w:tc>
          <w:tcPr>
            <w:tcW w:w="1834" w:type="dxa"/>
            <w:tcBorders>
              <w:top w:val="nil"/>
              <w:left w:val="nil"/>
              <w:bottom w:val="nil"/>
              <w:right w:val="nil"/>
            </w:tcBorders>
            <w:shd w:val="clear" w:color="auto" w:fill="auto"/>
            <w:noWrap/>
            <w:vAlign w:val="bottom"/>
            <w:hideMark/>
          </w:tcPr>
          <w:p w:rsidR="009D4930" w:rsidRPr="009D4930" w:rsidRDefault="009D4930" w:rsidP="009D4930">
            <w:pPr>
              <w:spacing w:after="0" w:line="240" w:lineRule="auto"/>
              <w:rPr>
                <w:rFonts w:ascii="Calibri" w:eastAsia="Times New Roman" w:hAnsi="Calibri" w:cs="Times New Roman"/>
                <w:color w:val="000000"/>
              </w:rPr>
            </w:pPr>
            <w:r w:rsidRPr="009D4930">
              <w:rPr>
                <w:rFonts w:ascii="Calibri" w:eastAsia="Times New Roman" w:hAnsi="Calibri" w:cs="Times New Roman"/>
                <w:color w:val="000000"/>
              </w:rPr>
              <w:t xml:space="preserve">                       6,443 </w:t>
            </w:r>
          </w:p>
        </w:tc>
        <w:tc>
          <w:tcPr>
            <w:tcW w:w="1856" w:type="dxa"/>
            <w:tcBorders>
              <w:top w:val="nil"/>
              <w:left w:val="nil"/>
              <w:bottom w:val="nil"/>
              <w:right w:val="nil"/>
            </w:tcBorders>
            <w:shd w:val="clear" w:color="auto" w:fill="auto"/>
            <w:noWrap/>
            <w:vAlign w:val="bottom"/>
            <w:hideMark/>
          </w:tcPr>
          <w:p w:rsidR="009D4930" w:rsidRPr="009D4930" w:rsidRDefault="009D4930" w:rsidP="009D4930">
            <w:pPr>
              <w:spacing w:after="0" w:line="240" w:lineRule="auto"/>
              <w:rPr>
                <w:rFonts w:ascii="Calibri" w:eastAsia="Times New Roman" w:hAnsi="Calibri" w:cs="Times New Roman"/>
                <w:color w:val="000000"/>
              </w:rPr>
            </w:pPr>
            <w:r w:rsidRPr="009D4930">
              <w:rPr>
                <w:rFonts w:ascii="Calibri" w:eastAsia="Times New Roman" w:hAnsi="Calibri" w:cs="Times New Roman"/>
                <w:color w:val="000000"/>
              </w:rPr>
              <w:t xml:space="preserve">                           377 </w:t>
            </w:r>
          </w:p>
        </w:tc>
        <w:tc>
          <w:tcPr>
            <w:tcW w:w="1833" w:type="dxa"/>
            <w:tcBorders>
              <w:top w:val="nil"/>
              <w:left w:val="nil"/>
              <w:bottom w:val="nil"/>
              <w:right w:val="nil"/>
            </w:tcBorders>
            <w:shd w:val="clear" w:color="auto" w:fill="auto"/>
            <w:noWrap/>
            <w:vAlign w:val="bottom"/>
            <w:hideMark/>
          </w:tcPr>
          <w:p w:rsidR="009D4930" w:rsidRPr="009D4930" w:rsidRDefault="009D4930" w:rsidP="009D4930">
            <w:pPr>
              <w:spacing w:after="0" w:line="240" w:lineRule="auto"/>
              <w:rPr>
                <w:rFonts w:ascii="Calibri" w:eastAsia="Times New Roman" w:hAnsi="Calibri" w:cs="Times New Roman"/>
                <w:color w:val="000000"/>
              </w:rPr>
            </w:pPr>
            <w:r w:rsidRPr="009D4930">
              <w:rPr>
                <w:rFonts w:ascii="Calibri" w:eastAsia="Times New Roman" w:hAnsi="Calibri" w:cs="Times New Roman"/>
                <w:color w:val="000000"/>
              </w:rPr>
              <w:t xml:space="preserve">                       6,820 </w:t>
            </w:r>
          </w:p>
        </w:tc>
        <w:tc>
          <w:tcPr>
            <w:tcW w:w="1117" w:type="dxa"/>
            <w:tcBorders>
              <w:top w:val="nil"/>
              <w:left w:val="nil"/>
              <w:bottom w:val="nil"/>
              <w:right w:val="nil"/>
            </w:tcBorders>
            <w:shd w:val="clear" w:color="auto" w:fill="auto"/>
            <w:noWrap/>
            <w:vAlign w:val="bottom"/>
            <w:hideMark/>
          </w:tcPr>
          <w:p w:rsidR="009D4930" w:rsidRPr="009D4930" w:rsidRDefault="009D4930" w:rsidP="009D4930">
            <w:pPr>
              <w:spacing w:after="0" w:line="240" w:lineRule="auto"/>
              <w:jc w:val="right"/>
              <w:rPr>
                <w:rFonts w:ascii="Calibri" w:eastAsia="Times New Roman" w:hAnsi="Calibri" w:cs="Times New Roman"/>
                <w:color w:val="000000"/>
              </w:rPr>
            </w:pPr>
            <w:r w:rsidRPr="009D4930">
              <w:rPr>
                <w:rFonts w:ascii="Calibri" w:eastAsia="Times New Roman" w:hAnsi="Calibri" w:cs="Times New Roman"/>
                <w:color w:val="000000"/>
              </w:rPr>
              <w:t>94.47%</w:t>
            </w:r>
          </w:p>
        </w:tc>
      </w:tr>
      <w:tr w:rsidR="009D4930" w:rsidRPr="009D4930" w:rsidTr="009D4930">
        <w:trPr>
          <w:trHeight w:val="375"/>
        </w:trPr>
        <w:tc>
          <w:tcPr>
            <w:tcW w:w="3000" w:type="dxa"/>
            <w:tcBorders>
              <w:top w:val="nil"/>
              <w:left w:val="nil"/>
              <w:bottom w:val="single" w:sz="4" w:space="0" w:color="auto"/>
              <w:right w:val="nil"/>
            </w:tcBorders>
            <w:shd w:val="clear" w:color="000000" w:fill="FCD5B4"/>
            <w:noWrap/>
            <w:vAlign w:val="bottom"/>
            <w:hideMark/>
          </w:tcPr>
          <w:p w:rsidR="009D4930" w:rsidRPr="009D4930" w:rsidRDefault="009D4930" w:rsidP="009D4930">
            <w:pPr>
              <w:spacing w:after="0" w:line="240" w:lineRule="auto"/>
              <w:rPr>
                <w:rFonts w:ascii="Calibri" w:eastAsia="Times New Roman" w:hAnsi="Calibri" w:cs="Times New Roman"/>
                <w:b/>
                <w:bCs/>
                <w:color w:val="000000"/>
                <w:sz w:val="28"/>
                <w:szCs w:val="28"/>
              </w:rPr>
            </w:pPr>
            <w:r w:rsidRPr="009D4930">
              <w:rPr>
                <w:rFonts w:ascii="Calibri" w:eastAsia="Times New Roman" w:hAnsi="Calibri" w:cs="Times New Roman"/>
                <w:b/>
                <w:bCs/>
                <w:color w:val="000000"/>
                <w:sz w:val="28"/>
                <w:szCs w:val="28"/>
              </w:rPr>
              <w:t>Main Campus Library</w:t>
            </w:r>
          </w:p>
        </w:tc>
        <w:tc>
          <w:tcPr>
            <w:tcW w:w="1834" w:type="dxa"/>
            <w:tcBorders>
              <w:top w:val="nil"/>
              <w:left w:val="nil"/>
              <w:bottom w:val="single" w:sz="4" w:space="0" w:color="auto"/>
              <w:right w:val="nil"/>
            </w:tcBorders>
            <w:shd w:val="clear" w:color="000000" w:fill="FCD5B4"/>
            <w:noWrap/>
            <w:vAlign w:val="bottom"/>
            <w:hideMark/>
          </w:tcPr>
          <w:p w:rsidR="009D4930" w:rsidRPr="009D4930" w:rsidRDefault="009D4930" w:rsidP="00B00B38">
            <w:pPr>
              <w:spacing w:after="0" w:line="240" w:lineRule="auto"/>
              <w:rPr>
                <w:rFonts w:ascii="Calibri" w:eastAsia="Times New Roman" w:hAnsi="Calibri" w:cs="Times New Roman"/>
                <w:color w:val="000000"/>
              </w:rPr>
            </w:pPr>
            <w:r w:rsidRPr="009D4930">
              <w:rPr>
                <w:rFonts w:ascii="Calibri" w:eastAsia="Times New Roman" w:hAnsi="Calibri" w:cs="Times New Roman"/>
                <w:color w:val="000000"/>
              </w:rPr>
              <w:t xml:space="preserve">                     1</w:t>
            </w:r>
            <w:r w:rsidR="00B00B38">
              <w:rPr>
                <w:rFonts w:ascii="Calibri" w:eastAsia="Times New Roman" w:hAnsi="Calibri" w:cs="Times New Roman"/>
                <w:color w:val="000000"/>
              </w:rPr>
              <w:t>4</w:t>
            </w:r>
            <w:r w:rsidRPr="009D4930">
              <w:rPr>
                <w:rFonts w:ascii="Calibri" w:eastAsia="Times New Roman" w:hAnsi="Calibri" w:cs="Times New Roman"/>
                <w:color w:val="000000"/>
              </w:rPr>
              <w:t>,</w:t>
            </w:r>
            <w:r w:rsidR="00B00B38">
              <w:rPr>
                <w:rFonts w:ascii="Calibri" w:eastAsia="Times New Roman" w:hAnsi="Calibri" w:cs="Times New Roman"/>
                <w:color w:val="000000"/>
              </w:rPr>
              <w:t>048</w:t>
            </w:r>
            <w:r w:rsidRPr="009D4930">
              <w:rPr>
                <w:rFonts w:ascii="Calibri" w:eastAsia="Times New Roman" w:hAnsi="Calibri" w:cs="Times New Roman"/>
                <w:color w:val="000000"/>
              </w:rPr>
              <w:t xml:space="preserve"> </w:t>
            </w:r>
          </w:p>
        </w:tc>
        <w:tc>
          <w:tcPr>
            <w:tcW w:w="1856" w:type="dxa"/>
            <w:tcBorders>
              <w:top w:val="nil"/>
              <w:left w:val="nil"/>
              <w:bottom w:val="single" w:sz="4" w:space="0" w:color="auto"/>
              <w:right w:val="nil"/>
            </w:tcBorders>
            <w:shd w:val="clear" w:color="000000" w:fill="FCD5B4"/>
            <w:noWrap/>
            <w:vAlign w:val="bottom"/>
            <w:hideMark/>
          </w:tcPr>
          <w:p w:rsidR="009D4930" w:rsidRPr="009D4930" w:rsidRDefault="009D4930" w:rsidP="00B00B38">
            <w:pPr>
              <w:spacing w:after="0" w:line="240" w:lineRule="auto"/>
              <w:rPr>
                <w:rFonts w:ascii="Calibri" w:eastAsia="Times New Roman" w:hAnsi="Calibri" w:cs="Times New Roman"/>
                <w:color w:val="000000"/>
              </w:rPr>
            </w:pPr>
            <w:r w:rsidRPr="009D4930">
              <w:rPr>
                <w:rFonts w:ascii="Calibri" w:eastAsia="Times New Roman" w:hAnsi="Calibri" w:cs="Times New Roman"/>
                <w:color w:val="000000"/>
              </w:rPr>
              <w:t xml:space="preserve">                       </w:t>
            </w:r>
            <w:r w:rsidR="00B00B38">
              <w:rPr>
                <w:rFonts w:ascii="Calibri" w:eastAsia="Times New Roman" w:hAnsi="Calibri" w:cs="Times New Roman"/>
                <w:color w:val="000000"/>
              </w:rPr>
              <w:t>1,299</w:t>
            </w:r>
            <w:r w:rsidRPr="009D4930">
              <w:rPr>
                <w:rFonts w:ascii="Calibri" w:eastAsia="Times New Roman" w:hAnsi="Calibri" w:cs="Times New Roman"/>
                <w:color w:val="000000"/>
              </w:rPr>
              <w:t xml:space="preserve"> </w:t>
            </w:r>
          </w:p>
        </w:tc>
        <w:tc>
          <w:tcPr>
            <w:tcW w:w="1833" w:type="dxa"/>
            <w:tcBorders>
              <w:top w:val="nil"/>
              <w:left w:val="nil"/>
              <w:bottom w:val="single" w:sz="4" w:space="0" w:color="auto"/>
              <w:right w:val="nil"/>
            </w:tcBorders>
            <w:shd w:val="clear" w:color="000000" w:fill="FCD5B4"/>
            <w:noWrap/>
            <w:vAlign w:val="bottom"/>
            <w:hideMark/>
          </w:tcPr>
          <w:p w:rsidR="009D4930" w:rsidRPr="009D4930" w:rsidRDefault="009D4930" w:rsidP="00B00B38">
            <w:pPr>
              <w:spacing w:after="0" w:line="240" w:lineRule="auto"/>
              <w:rPr>
                <w:rFonts w:ascii="Calibri" w:eastAsia="Times New Roman" w:hAnsi="Calibri" w:cs="Times New Roman"/>
                <w:color w:val="000000"/>
              </w:rPr>
            </w:pPr>
            <w:r w:rsidRPr="009D4930">
              <w:rPr>
                <w:rFonts w:ascii="Calibri" w:eastAsia="Times New Roman" w:hAnsi="Calibri" w:cs="Times New Roman"/>
                <w:color w:val="000000"/>
              </w:rPr>
              <w:t xml:space="preserve">                     15,</w:t>
            </w:r>
            <w:r w:rsidR="00B00B38">
              <w:rPr>
                <w:rFonts w:ascii="Calibri" w:eastAsia="Times New Roman" w:hAnsi="Calibri" w:cs="Times New Roman"/>
                <w:color w:val="000000"/>
              </w:rPr>
              <w:t>347</w:t>
            </w:r>
            <w:r w:rsidRPr="009D4930">
              <w:rPr>
                <w:rFonts w:ascii="Calibri" w:eastAsia="Times New Roman" w:hAnsi="Calibri" w:cs="Times New Roman"/>
                <w:color w:val="000000"/>
              </w:rPr>
              <w:t xml:space="preserve"> </w:t>
            </w:r>
          </w:p>
        </w:tc>
        <w:tc>
          <w:tcPr>
            <w:tcW w:w="1117" w:type="dxa"/>
            <w:tcBorders>
              <w:top w:val="nil"/>
              <w:left w:val="nil"/>
              <w:bottom w:val="single" w:sz="4" w:space="0" w:color="auto"/>
              <w:right w:val="nil"/>
            </w:tcBorders>
            <w:shd w:val="clear" w:color="000000" w:fill="FCD5B4"/>
            <w:noWrap/>
            <w:vAlign w:val="bottom"/>
            <w:hideMark/>
          </w:tcPr>
          <w:p w:rsidR="009D4930" w:rsidRPr="009D4930" w:rsidRDefault="00B00B38" w:rsidP="00B00B38">
            <w:pPr>
              <w:spacing w:after="0" w:line="240" w:lineRule="auto"/>
              <w:jc w:val="right"/>
              <w:rPr>
                <w:rFonts w:ascii="Calibri" w:eastAsia="Times New Roman" w:hAnsi="Calibri" w:cs="Times New Roman"/>
                <w:color w:val="000000"/>
              </w:rPr>
            </w:pPr>
            <w:r>
              <w:rPr>
                <w:rFonts w:ascii="Calibri" w:eastAsia="Times New Roman" w:hAnsi="Calibri" w:cs="Times New Roman"/>
                <w:color w:val="000000"/>
              </w:rPr>
              <w:t>91.53</w:t>
            </w:r>
            <w:r w:rsidR="009D4930" w:rsidRPr="009D4930">
              <w:rPr>
                <w:rFonts w:ascii="Calibri" w:eastAsia="Times New Roman" w:hAnsi="Calibri" w:cs="Times New Roman"/>
                <w:color w:val="000000"/>
              </w:rPr>
              <w:t>%</w:t>
            </w:r>
          </w:p>
        </w:tc>
      </w:tr>
      <w:tr w:rsidR="009D4930" w:rsidRPr="009D4930" w:rsidTr="009D4930">
        <w:trPr>
          <w:trHeight w:val="390"/>
        </w:trPr>
        <w:tc>
          <w:tcPr>
            <w:tcW w:w="3000" w:type="dxa"/>
            <w:tcBorders>
              <w:top w:val="nil"/>
              <w:left w:val="nil"/>
              <w:bottom w:val="double" w:sz="6" w:space="0" w:color="auto"/>
              <w:right w:val="nil"/>
            </w:tcBorders>
            <w:shd w:val="clear" w:color="auto" w:fill="auto"/>
            <w:noWrap/>
            <w:vAlign w:val="bottom"/>
            <w:hideMark/>
          </w:tcPr>
          <w:p w:rsidR="009D4930" w:rsidRPr="009D4930" w:rsidRDefault="009D4930" w:rsidP="009D4930">
            <w:pPr>
              <w:spacing w:after="0" w:line="240" w:lineRule="auto"/>
              <w:rPr>
                <w:rFonts w:ascii="Calibri" w:eastAsia="Times New Roman" w:hAnsi="Calibri" w:cs="Times New Roman"/>
                <w:b/>
                <w:bCs/>
                <w:color w:val="000000"/>
                <w:sz w:val="28"/>
                <w:szCs w:val="28"/>
              </w:rPr>
            </w:pPr>
            <w:r w:rsidRPr="009D4930">
              <w:rPr>
                <w:rFonts w:ascii="Calibri" w:eastAsia="Times New Roman" w:hAnsi="Calibri" w:cs="Times New Roman"/>
                <w:b/>
                <w:bCs/>
                <w:color w:val="000000"/>
                <w:sz w:val="28"/>
                <w:szCs w:val="28"/>
              </w:rPr>
              <w:t>All Libraries</w:t>
            </w:r>
          </w:p>
        </w:tc>
        <w:tc>
          <w:tcPr>
            <w:tcW w:w="1834" w:type="dxa"/>
            <w:tcBorders>
              <w:top w:val="nil"/>
              <w:left w:val="nil"/>
              <w:bottom w:val="double" w:sz="6" w:space="0" w:color="auto"/>
              <w:right w:val="nil"/>
            </w:tcBorders>
            <w:shd w:val="clear" w:color="auto" w:fill="auto"/>
            <w:noWrap/>
            <w:vAlign w:val="bottom"/>
            <w:hideMark/>
          </w:tcPr>
          <w:p w:rsidR="009D4930" w:rsidRPr="009D4930" w:rsidRDefault="009D4930" w:rsidP="00B00B38">
            <w:pPr>
              <w:spacing w:after="0" w:line="240" w:lineRule="auto"/>
              <w:rPr>
                <w:rFonts w:ascii="Calibri" w:eastAsia="Times New Roman" w:hAnsi="Calibri" w:cs="Times New Roman"/>
                <w:b/>
                <w:bCs/>
                <w:color w:val="000000"/>
              </w:rPr>
            </w:pPr>
            <w:r w:rsidRPr="009D4930">
              <w:rPr>
                <w:rFonts w:ascii="Calibri" w:eastAsia="Times New Roman" w:hAnsi="Calibri" w:cs="Times New Roman"/>
                <w:b/>
                <w:bCs/>
                <w:color w:val="000000"/>
              </w:rPr>
              <w:t xml:space="preserve">                  10</w:t>
            </w:r>
            <w:r w:rsidR="00B00B38">
              <w:rPr>
                <w:rFonts w:ascii="Calibri" w:eastAsia="Times New Roman" w:hAnsi="Calibri" w:cs="Times New Roman"/>
                <w:b/>
                <w:bCs/>
                <w:color w:val="000000"/>
              </w:rPr>
              <w:t>7</w:t>
            </w:r>
            <w:r w:rsidRPr="009D4930">
              <w:rPr>
                <w:rFonts w:ascii="Calibri" w:eastAsia="Times New Roman" w:hAnsi="Calibri" w:cs="Times New Roman"/>
                <w:b/>
                <w:bCs/>
                <w:color w:val="000000"/>
              </w:rPr>
              <w:t>,</w:t>
            </w:r>
            <w:r w:rsidR="00B00B38">
              <w:rPr>
                <w:rFonts w:ascii="Calibri" w:eastAsia="Times New Roman" w:hAnsi="Calibri" w:cs="Times New Roman"/>
                <w:b/>
                <w:bCs/>
                <w:color w:val="000000"/>
              </w:rPr>
              <w:t>120</w:t>
            </w:r>
            <w:r w:rsidRPr="009D4930">
              <w:rPr>
                <w:rFonts w:ascii="Calibri" w:eastAsia="Times New Roman" w:hAnsi="Calibri" w:cs="Times New Roman"/>
                <w:b/>
                <w:bCs/>
                <w:color w:val="000000"/>
              </w:rPr>
              <w:t xml:space="preserve"> </w:t>
            </w:r>
          </w:p>
        </w:tc>
        <w:tc>
          <w:tcPr>
            <w:tcW w:w="1856" w:type="dxa"/>
            <w:tcBorders>
              <w:top w:val="nil"/>
              <w:left w:val="nil"/>
              <w:bottom w:val="double" w:sz="6" w:space="0" w:color="auto"/>
              <w:right w:val="nil"/>
            </w:tcBorders>
            <w:shd w:val="clear" w:color="auto" w:fill="auto"/>
            <w:noWrap/>
            <w:vAlign w:val="bottom"/>
            <w:hideMark/>
          </w:tcPr>
          <w:p w:rsidR="009D4930" w:rsidRPr="009D4930" w:rsidRDefault="009D4930" w:rsidP="00B00B38">
            <w:pPr>
              <w:spacing w:after="0" w:line="240" w:lineRule="auto"/>
              <w:rPr>
                <w:rFonts w:ascii="Calibri" w:eastAsia="Times New Roman" w:hAnsi="Calibri" w:cs="Times New Roman"/>
                <w:b/>
                <w:bCs/>
                <w:color w:val="000000"/>
              </w:rPr>
            </w:pPr>
            <w:r w:rsidRPr="009D4930">
              <w:rPr>
                <w:rFonts w:ascii="Calibri" w:eastAsia="Times New Roman" w:hAnsi="Calibri" w:cs="Times New Roman"/>
                <w:b/>
                <w:bCs/>
                <w:color w:val="000000"/>
              </w:rPr>
              <w:t xml:space="preserve">                       </w:t>
            </w:r>
            <w:r w:rsidR="00B00B38">
              <w:rPr>
                <w:rFonts w:ascii="Calibri" w:eastAsia="Times New Roman" w:hAnsi="Calibri" w:cs="Times New Roman"/>
                <w:b/>
                <w:bCs/>
                <w:color w:val="000000"/>
              </w:rPr>
              <w:t>3</w:t>
            </w:r>
            <w:r w:rsidRPr="009D4930">
              <w:rPr>
                <w:rFonts w:ascii="Calibri" w:eastAsia="Times New Roman" w:hAnsi="Calibri" w:cs="Times New Roman"/>
                <w:b/>
                <w:bCs/>
                <w:color w:val="000000"/>
              </w:rPr>
              <w:t>,</w:t>
            </w:r>
            <w:r w:rsidR="00B00B38">
              <w:rPr>
                <w:rFonts w:ascii="Calibri" w:eastAsia="Times New Roman" w:hAnsi="Calibri" w:cs="Times New Roman"/>
                <w:b/>
                <w:bCs/>
                <w:color w:val="000000"/>
              </w:rPr>
              <w:t>872</w:t>
            </w:r>
            <w:r w:rsidRPr="009D4930">
              <w:rPr>
                <w:rFonts w:ascii="Calibri" w:eastAsia="Times New Roman" w:hAnsi="Calibri" w:cs="Times New Roman"/>
                <w:b/>
                <w:bCs/>
                <w:color w:val="000000"/>
              </w:rPr>
              <w:t xml:space="preserve"> </w:t>
            </w:r>
          </w:p>
        </w:tc>
        <w:tc>
          <w:tcPr>
            <w:tcW w:w="1833" w:type="dxa"/>
            <w:tcBorders>
              <w:top w:val="nil"/>
              <w:left w:val="nil"/>
              <w:bottom w:val="double" w:sz="6" w:space="0" w:color="auto"/>
              <w:right w:val="nil"/>
            </w:tcBorders>
            <w:shd w:val="clear" w:color="auto" w:fill="auto"/>
            <w:noWrap/>
            <w:vAlign w:val="bottom"/>
            <w:hideMark/>
          </w:tcPr>
          <w:p w:rsidR="009D4930" w:rsidRPr="009D4930" w:rsidRDefault="009D4930" w:rsidP="00B00B38">
            <w:pPr>
              <w:spacing w:after="0" w:line="240" w:lineRule="auto"/>
              <w:rPr>
                <w:rFonts w:ascii="Calibri" w:eastAsia="Times New Roman" w:hAnsi="Calibri" w:cs="Times New Roman"/>
                <w:b/>
                <w:bCs/>
                <w:color w:val="000000"/>
              </w:rPr>
            </w:pPr>
            <w:r w:rsidRPr="009D4930">
              <w:rPr>
                <w:rFonts w:ascii="Calibri" w:eastAsia="Times New Roman" w:hAnsi="Calibri" w:cs="Times New Roman"/>
                <w:b/>
                <w:bCs/>
                <w:color w:val="000000"/>
              </w:rPr>
              <w:t xml:space="preserve"> </w:t>
            </w:r>
            <w:r w:rsidR="00B00B38">
              <w:rPr>
                <w:rFonts w:ascii="Calibri" w:eastAsia="Times New Roman" w:hAnsi="Calibri" w:cs="Times New Roman"/>
                <w:b/>
                <w:bCs/>
                <w:color w:val="000000"/>
              </w:rPr>
              <w:t xml:space="preserve">                 110</w:t>
            </w:r>
            <w:r w:rsidRPr="009D4930">
              <w:rPr>
                <w:rFonts w:ascii="Calibri" w:eastAsia="Times New Roman" w:hAnsi="Calibri" w:cs="Times New Roman"/>
                <w:b/>
                <w:bCs/>
                <w:color w:val="000000"/>
              </w:rPr>
              <w:t>,</w:t>
            </w:r>
            <w:r w:rsidR="00B00B38">
              <w:rPr>
                <w:rFonts w:ascii="Calibri" w:eastAsia="Times New Roman" w:hAnsi="Calibri" w:cs="Times New Roman"/>
                <w:b/>
                <w:bCs/>
                <w:color w:val="000000"/>
              </w:rPr>
              <w:t>992</w:t>
            </w:r>
            <w:r w:rsidRPr="009D4930">
              <w:rPr>
                <w:rFonts w:ascii="Calibri" w:eastAsia="Times New Roman" w:hAnsi="Calibri" w:cs="Times New Roman"/>
                <w:b/>
                <w:bCs/>
                <w:color w:val="000000"/>
              </w:rPr>
              <w:t xml:space="preserve"> </w:t>
            </w:r>
          </w:p>
        </w:tc>
        <w:tc>
          <w:tcPr>
            <w:tcW w:w="1117" w:type="dxa"/>
            <w:tcBorders>
              <w:top w:val="nil"/>
              <w:left w:val="nil"/>
              <w:bottom w:val="double" w:sz="6" w:space="0" w:color="auto"/>
              <w:right w:val="nil"/>
            </w:tcBorders>
            <w:shd w:val="clear" w:color="auto" w:fill="auto"/>
            <w:noWrap/>
            <w:vAlign w:val="bottom"/>
            <w:hideMark/>
          </w:tcPr>
          <w:p w:rsidR="009D4930" w:rsidRPr="009D4930" w:rsidRDefault="009D4930" w:rsidP="00B00B38">
            <w:pPr>
              <w:spacing w:after="0" w:line="240" w:lineRule="auto"/>
              <w:jc w:val="right"/>
              <w:rPr>
                <w:rFonts w:ascii="Calibri" w:eastAsia="Times New Roman" w:hAnsi="Calibri" w:cs="Times New Roman"/>
                <w:b/>
                <w:bCs/>
                <w:color w:val="000000"/>
              </w:rPr>
            </w:pPr>
            <w:r w:rsidRPr="009D4930">
              <w:rPr>
                <w:rFonts w:ascii="Calibri" w:eastAsia="Times New Roman" w:hAnsi="Calibri" w:cs="Times New Roman"/>
                <w:b/>
                <w:bCs/>
                <w:color w:val="000000"/>
              </w:rPr>
              <w:t>9</w:t>
            </w:r>
            <w:r w:rsidR="00B00B38">
              <w:rPr>
                <w:rFonts w:ascii="Calibri" w:eastAsia="Times New Roman" w:hAnsi="Calibri" w:cs="Times New Roman"/>
                <w:b/>
                <w:bCs/>
                <w:color w:val="000000"/>
              </w:rPr>
              <w:t>6</w:t>
            </w:r>
            <w:r w:rsidRPr="009D4930">
              <w:rPr>
                <w:rFonts w:ascii="Calibri" w:eastAsia="Times New Roman" w:hAnsi="Calibri" w:cs="Times New Roman"/>
                <w:b/>
                <w:bCs/>
                <w:color w:val="000000"/>
              </w:rPr>
              <w:t>.</w:t>
            </w:r>
            <w:r w:rsidR="00B00B38">
              <w:rPr>
                <w:rFonts w:ascii="Calibri" w:eastAsia="Times New Roman" w:hAnsi="Calibri" w:cs="Times New Roman"/>
                <w:b/>
                <w:bCs/>
                <w:color w:val="000000"/>
              </w:rPr>
              <w:t>51</w:t>
            </w:r>
            <w:r w:rsidRPr="009D4930">
              <w:rPr>
                <w:rFonts w:ascii="Calibri" w:eastAsia="Times New Roman" w:hAnsi="Calibri" w:cs="Times New Roman"/>
                <w:b/>
                <w:bCs/>
                <w:color w:val="000000"/>
              </w:rPr>
              <w:t>%</w:t>
            </w:r>
          </w:p>
        </w:tc>
      </w:tr>
    </w:tbl>
    <w:p w:rsidR="009D4930" w:rsidRDefault="009D4930" w:rsidP="009D4930">
      <w:pPr>
        <w:rPr>
          <w:rFonts w:cstheme="majorBidi"/>
          <w:sz w:val="28"/>
          <w:szCs w:val="28"/>
        </w:rPr>
      </w:pPr>
    </w:p>
    <w:p w:rsidR="009D4930" w:rsidRDefault="001B0081" w:rsidP="00182735">
      <w:pPr>
        <w:rPr>
          <w:rFonts w:cstheme="majorBidi"/>
          <w:sz w:val="28"/>
          <w:szCs w:val="28"/>
        </w:rPr>
      </w:pPr>
      <w:r>
        <w:rPr>
          <w:rFonts w:cstheme="majorBidi"/>
          <w:sz w:val="28"/>
          <w:szCs w:val="28"/>
        </w:rPr>
        <w:t>According to the American Library Association, it is normal to have an “</w:t>
      </w:r>
      <w:r w:rsidRPr="001B0081">
        <w:rPr>
          <w:rFonts w:cstheme="majorBidi"/>
          <w:sz w:val="28"/>
          <w:szCs w:val="28"/>
        </w:rPr>
        <w:t>overall loss rates of 4–8% when an inventory</w:t>
      </w:r>
      <w:r>
        <w:rPr>
          <w:rFonts w:cstheme="majorBidi"/>
          <w:sz w:val="28"/>
          <w:szCs w:val="28"/>
        </w:rPr>
        <w:t>” is conducted (</w:t>
      </w:r>
      <w:hyperlink r:id="rId4" w:history="1">
        <w:r w:rsidRPr="005C3C61">
          <w:rPr>
            <w:rStyle w:val="Hyperlink"/>
            <w:rFonts w:cstheme="majorBidi"/>
            <w:sz w:val="28"/>
            <w:szCs w:val="28"/>
          </w:rPr>
          <w:t>http://www.ala.org/tools/loss-rate</w:t>
        </w:r>
      </w:hyperlink>
      <w:r>
        <w:rPr>
          <w:rFonts w:cstheme="majorBidi"/>
          <w:sz w:val="28"/>
          <w:szCs w:val="28"/>
        </w:rPr>
        <w:t xml:space="preserve">), so this result is very encouraging, since the combined missing item rate for all the branches combined is </w:t>
      </w:r>
      <w:r w:rsidR="001013EA">
        <w:rPr>
          <w:rFonts w:cstheme="majorBidi"/>
          <w:sz w:val="28"/>
          <w:szCs w:val="28"/>
        </w:rPr>
        <w:t xml:space="preserve">less than this </w:t>
      </w:r>
      <w:r>
        <w:rPr>
          <w:rFonts w:cstheme="majorBidi"/>
          <w:sz w:val="28"/>
          <w:szCs w:val="28"/>
        </w:rPr>
        <w:t xml:space="preserve">(i.e. </w:t>
      </w:r>
      <w:r w:rsidR="00B00B38">
        <w:rPr>
          <w:rFonts w:cstheme="majorBidi"/>
          <w:sz w:val="28"/>
          <w:szCs w:val="28"/>
        </w:rPr>
        <w:t>3</w:t>
      </w:r>
      <w:r>
        <w:rPr>
          <w:rFonts w:cstheme="majorBidi"/>
          <w:sz w:val="28"/>
          <w:szCs w:val="28"/>
        </w:rPr>
        <w:t>.</w:t>
      </w:r>
      <w:r w:rsidR="00B00B38">
        <w:rPr>
          <w:rFonts w:cstheme="majorBidi"/>
          <w:sz w:val="28"/>
          <w:szCs w:val="28"/>
        </w:rPr>
        <w:t>49</w:t>
      </w:r>
      <w:r>
        <w:rPr>
          <w:rFonts w:cstheme="majorBidi"/>
          <w:sz w:val="28"/>
          <w:szCs w:val="28"/>
        </w:rPr>
        <w:t>%).</w:t>
      </w:r>
    </w:p>
    <w:p w:rsidR="001B0081" w:rsidRDefault="001B0081" w:rsidP="001B0081">
      <w:pPr>
        <w:rPr>
          <w:rFonts w:cstheme="majorBidi"/>
          <w:sz w:val="28"/>
          <w:szCs w:val="28"/>
        </w:rPr>
      </w:pPr>
      <w:r>
        <w:rPr>
          <w:rFonts w:cstheme="majorBidi"/>
          <w:sz w:val="28"/>
          <w:szCs w:val="28"/>
        </w:rPr>
        <w:t>For the</w:t>
      </w:r>
      <w:r w:rsidR="00182735">
        <w:rPr>
          <w:rFonts w:cstheme="majorBidi"/>
          <w:sz w:val="28"/>
          <w:szCs w:val="28"/>
        </w:rPr>
        <w:t xml:space="preserve"> rest of the</w:t>
      </w:r>
      <w:r>
        <w:rPr>
          <w:rFonts w:cstheme="majorBidi"/>
          <w:sz w:val="28"/>
          <w:szCs w:val="28"/>
        </w:rPr>
        <w:t xml:space="preserve"> 2018-2019 academic year, the librarians plan to periodically search for the items that are still marked as missing, in the belief that some of these will yet be found.</w:t>
      </w:r>
      <w:bookmarkStart w:id="0" w:name="_GoBack"/>
      <w:bookmarkEnd w:id="0"/>
    </w:p>
    <w:sectPr w:rsidR="001B0081" w:rsidSect="009D493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35E"/>
    <w:rsid w:val="00011CF2"/>
    <w:rsid w:val="0009680B"/>
    <w:rsid w:val="001013EA"/>
    <w:rsid w:val="00182735"/>
    <w:rsid w:val="001B0081"/>
    <w:rsid w:val="00216604"/>
    <w:rsid w:val="003B731C"/>
    <w:rsid w:val="0076535E"/>
    <w:rsid w:val="009D4930"/>
    <w:rsid w:val="00B00B38"/>
    <w:rsid w:val="00C17378"/>
    <w:rsid w:val="00E06A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8A674B-1935-486C-A524-89C5429C5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00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0651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ala.org/tools/loss-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338</TotalTime>
  <Pages>2</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Walter Brian Hall</dc:creator>
  <cp:lastModifiedBy>Walter Brian Hall</cp:lastModifiedBy>
  <cp:revision>6</cp:revision>
  <dcterms:created xsi:type="dcterms:W3CDTF">2018-12-18T12:14:00Z</dcterms:created>
  <dcterms:modified xsi:type="dcterms:W3CDTF">2019-01-10T04:37:00Z</dcterms:modified>
</cp:coreProperties>
</file>