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PlainTable1"/>
        <w:tblW w:w="0" w:type="auto"/>
        <w:shd w:val="clear" w:color="auto" w:fill="E8E8E8"/>
        <w:tblLook w:val="04A0" w:firstRow="1" w:lastRow="0" w:firstColumn="1" w:lastColumn="0" w:noHBand="0" w:noVBand="1"/>
      </w:tblPr>
      <w:tblGrid>
        <w:gridCol w:w="4497"/>
        <w:gridCol w:w="4498"/>
      </w:tblGrid>
      <w:tr w:rsidR="002864F5" w:rsidRPr="00A57B32" w14:paraId="1E06B4F0" w14:textId="77777777" w:rsidTr="00A712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7" w:type="dxa"/>
            <w:shd w:val="clear" w:color="auto" w:fill="E8E8E8"/>
          </w:tcPr>
          <w:p w14:paraId="7298E1B2" w14:textId="43159E39" w:rsidR="002864F5" w:rsidRPr="00A57B32" w:rsidRDefault="002864F5" w:rsidP="00EE641E">
            <w:pPr>
              <w:spacing w:after="120"/>
              <w:rPr>
                <w:b w:val="0"/>
                <w:bCs w:val="0"/>
                <w:i/>
                <w:iCs/>
              </w:rPr>
            </w:pPr>
            <w:r w:rsidRPr="00A57B32">
              <w:t>Policy Name</w:t>
            </w:r>
            <w:r w:rsidR="00EE641E">
              <w:t xml:space="preserve">: </w:t>
            </w:r>
            <w:r w:rsidR="00606514">
              <w:rPr>
                <w:b w:val="0"/>
                <w:bCs w:val="0"/>
                <w:i/>
                <w:iCs/>
              </w:rPr>
              <w:t>Financial Reporting</w:t>
            </w:r>
          </w:p>
          <w:p w14:paraId="3966CBC8" w14:textId="7BFCC072" w:rsidR="002864F5" w:rsidRDefault="002864F5" w:rsidP="00EE641E">
            <w:pPr>
              <w:spacing w:after="120"/>
              <w:rPr>
                <w:i/>
                <w:iCs/>
              </w:rPr>
            </w:pPr>
            <w:r w:rsidRPr="00A57B32">
              <w:t>Policy Number</w:t>
            </w:r>
            <w:r w:rsidR="00EE641E">
              <w:t xml:space="preserve">: </w:t>
            </w:r>
            <w:r w:rsidR="00606514">
              <w:rPr>
                <w:b w:val="0"/>
                <w:bCs w:val="0"/>
                <w:i/>
                <w:iCs/>
              </w:rPr>
              <w:t>KUP 6010</w:t>
            </w:r>
          </w:p>
          <w:p w14:paraId="64B1923D" w14:textId="275D014B" w:rsidR="00EE641E" w:rsidRDefault="00EE641E" w:rsidP="00EE641E">
            <w:pPr>
              <w:spacing w:after="120"/>
              <w:rPr>
                <w:i/>
                <w:iCs/>
              </w:rPr>
            </w:pPr>
            <w:r w:rsidRPr="00A57B32">
              <w:t>Policy Owner</w:t>
            </w:r>
            <w:r>
              <w:t xml:space="preserve">: </w:t>
            </w:r>
            <w:r w:rsidR="00606514">
              <w:rPr>
                <w:b w:val="0"/>
                <w:bCs w:val="0"/>
                <w:i/>
                <w:iCs/>
              </w:rPr>
              <w:t>SVP Finance &amp; Investment</w:t>
            </w:r>
          </w:p>
          <w:p w14:paraId="48101BE9" w14:textId="32B493E8" w:rsidR="00EE641E" w:rsidRPr="00EE641E" w:rsidRDefault="00E87DA7" w:rsidP="00EE641E">
            <w:pPr>
              <w:spacing w:after="120"/>
              <w:rPr>
                <w:i/>
                <w:iCs/>
              </w:rPr>
            </w:pPr>
            <w:r>
              <w:t>Policy Approver</w:t>
            </w:r>
            <w:r w:rsidR="00EE641E">
              <w:t xml:space="preserve">: </w:t>
            </w:r>
            <w:r w:rsidR="00606514">
              <w:rPr>
                <w:b w:val="0"/>
                <w:bCs w:val="0"/>
                <w:i/>
                <w:iCs/>
              </w:rPr>
              <w:t>EXCOM</w:t>
            </w:r>
          </w:p>
        </w:tc>
        <w:tc>
          <w:tcPr>
            <w:tcW w:w="4498" w:type="dxa"/>
            <w:shd w:val="clear" w:color="auto" w:fill="E8E8E8"/>
          </w:tcPr>
          <w:p w14:paraId="2953F1AF" w14:textId="6C632419" w:rsidR="00EE641E" w:rsidRDefault="00EE641E" w:rsidP="00EE641E">
            <w:pPr>
              <w:spacing w:after="120"/>
              <w:cnfStyle w:val="100000000000" w:firstRow="1" w:lastRow="0" w:firstColumn="0" w:lastColumn="0" w:oddVBand="0" w:evenVBand="0" w:oddHBand="0" w:evenHBand="0" w:firstRowFirstColumn="0" w:firstRowLastColumn="0" w:lastRowFirstColumn="0" w:lastRowLastColumn="0"/>
              <w:rPr>
                <w:i/>
                <w:iCs/>
              </w:rPr>
            </w:pPr>
            <w:r>
              <w:t xml:space="preserve">Revision Number: </w:t>
            </w:r>
            <w:r>
              <w:rPr>
                <w:b w:val="0"/>
                <w:bCs w:val="0"/>
                <w:i/>
                <w:iCs/>
              </w:rPr>
              <w:t>1</w:t>
            </w:r>
          </w:p>
          <w:p w14:paraId="0DEF64DB" w14:textId="6A6CF8B1" w:rsidR="003F15E3" w:rsidRDefault="003F15E3" w:rsidP="003F15E3">
            <w:pPr>
              <w:spacing w:after="120"/>
              <w:cnfStyle w:val="100000000000" w:firstRow="1" w:lastRow="0" w:firstColumn="0" w:lastColumn="0" w:oddVBand="0" w:evenVBand="0" w:oddHBand="0" w:evenHBand="0" w:firstRowFirstColumn="0" w:firstRowLastColumn="0" w:lastRowFirstColumn="0" w:lastRowLastColumn="0"/>
              <w:rPr>
                <w:i/>
                <w:iCs/>
              </w:rPr>
            </w:pPr>
            <w:r>
              <w:t xml:space="preserve">Effective Date: </w:t>
            </w:r>
            <w:r w:rsidR="00606514">
              <w:rPr>
                <w:b w:val="0"/>
                <w:bCs w:val="0"/>
                <w:i/>
                <w:iCs/>
              </w:rPr>
              <w:t>29 Jan 2023</w:t>
            </w:r>
          </w:p>
          <w:p w14:paraId="660280DE" w14:textId="3899C285" w:rsidR="00EE641E" w:rsidRDefault="00EE641E" w:rsidP="00EE641E">
            <w:pPr>
              <w:spacing w:after="120"/>
              <w:cnfStyle w:val="100000000000" w:firstRow="1" w:lastRow="0" w:firstColumn="0" w:lastColumn="0" w:oddVBand="0" w:evenVBand="0" w:oddHBand="0" w:evenHBand="0" w:firstRowFirstColumn="0" w:firstRowLastColumn="0" w:lastRowFirstColumn="0" w:lastRowLastColumn="0"/>
              <w:rPr>
                <w:i/>
                <w:iCs/>
              </w:rPr>
            </w:pPr>
            <w:r>
              <w:t xml:space="preserve">Last </w:t>
            </w:r>
            <w:r w:rsidRPr="00EE641E">
              <w:t>Revision Date</w:t>
            </w:r>
            <w:r>
              <w:t xml:space="preserve">: </w:t>
            </w:r>
            <w:r w:rsidR="00606514">
              <w:rPr>
                <w:b w:val="0"/>
                <w:bCs w:val="0"/>
                <w:i/>
                <w:iCs/>
              </w:rPr>
              <w:t>09 Oct</w:t>
            </w:r>
            <w:r>
              <w:rPr>
                <w:b w:val="0"/>
                <w:bCs w:val="0"/>
                <w:i/>
                <w:iCs/>
              </w:rPr>
              <w:t xml:space="preserve"> 2022</w:t>
            </w:r>
          </w:p>
          <w:p w14:paraId="26064219" w14:textId="74C57529" w:rsidR="00EE641E" w:rsidRPr="00EE641E" w:rsidRDefault="00EE641E" w:rsidP="005E4006">
            <w:pPr>
              <w:spacing w:after="120"/>
              <w:cnfStyle w:val="100000000000" w:firstRow="1" w:lastRow="0" w:firstColumn="0" w:lastColumn="0" w:oddVBand="0" w:evenVBand="0" w:oddHBand="0" w:evenHBand="0" w:firstRowFirstColumn="0" w:firstRowLastColumn="0" w:lastRowFirstColumn="0" w:lastRowLastColumn="0"/>
              <w:rPr>
                <w:b w:val="0"/>
                <w:bCs w:val="0"/>
                <w:i/>
                <w:iCs/>
              </w:rPr>
            </w:pPr>
            <w:r w:rsidRPr="00EE641E">
              <w:t>Next Review Date</w:t>
            </w:r>
            <w:r>
              <w:t xml:space="preserve">: </w:t>
            </w:r>
            <w:r w:rsidR="005E4006">
              <w:rPr>
                <w:b w:val="0"/>
                <w:bCs w:val="0"/>
                <w:i/>
                <w:iCs/>
              </w:rPr>
              <w:t>29 Jan 2027</w:t>
            </w:r>
          </w:p>
        </w:tc>
      </w:tr>
    </w:tbl>
    <w:p w14:paraId="77E37273" w14:textId="77777777" w:rsidR="00FD6B49" w:rsidRPr="004C0572" w:rsidRDefault="00FD6B49" w:rsidP="00BE27BC">
      <w:pPr>
        <w:spacing w:before="360" w:after="120"/>
        <w:rPr>
          <w:b/>
          <w:bCs/>
        </w:rPr>
      </w:pPr>
      <w:r w:rsidRPr="004C0572">
        <w:rPr>
          <w:b/>
          <w:bCs/>
        </w:rPr>
        <w:t>RELATED DOCUMENTS</w:t>
      </w:r>
    </w:p>
    <w:p w14:paraId="021694C6" w14:textId="77777777" w:rsidR="005658FA" w:rsidRDefault="005658FA" w:rsidP="009F3BE5">
      <w:pPr>
        <w:pStyle w:val="Heading1"/>
        <w:jc w:val="both"/>
        <w:rPr>
          <w:b w:val="0"/>
          <w:bCs w:val="0"/>
        </w:rPr>
      </w:pPr>
      <w:bookmarkStart w:id="0" w:name="_Toc482863683"/>
      <w:r w:rsidRPr="005658FA">
        <w:rPr>
          <w:b w:val="0"/>
          <w:bCs w:val="0"/>
        </w:rPr>
        <w:t xml:space="preserve">For details, Procedure document FIN-FR-0002 &amp; FIN-FA-0009 are to be referred </w:t>
      </w:r>
    </w:p>
    <w:p w14:paraId="289C6A8D" w14:textId="6E02F24E" w:rsidR="00DA5049" w:rsidRPr="00EB54A4" w:rsidRDefault="00DA5049" w:rsidP="009F3BE5">
      <w:pPr>
        <w:pStyle w:val="Heading1"/>
        <w:jc w:val="both"/>
      </w:pPr>
      <w:r w:rsidRPr="00EB54A4">
        <w:t>SECTION 1</w:t>
      </w:r>
      <w:r w:rsidRPr="00EB54A4">
        <w:tab/>
        <w:t>POLICY STATEMENT</w:t>
      </w:r>
      <w:bookmarkEnd w:id="0"/>
    </w:p>
    <w:p w14:paraId="2BFC3A2B" w14:textId="77777777" w:rsidR="005658FA" w:rsidRPr="002B6A1D" w:rsidRDefault="005658FA" w:rsidP="005658FA">
      <w:pPr>
        <w:pStyle w:val="BodyText"/>
        <w:numPr>
          <w:ilvl w:val="1"/>
          <w:numId w:val="13"/>
        </w:numPr>
        <w:spacing w:after="60" w:line="240" w:lineRule="auto"/>
        <w:ind w:left="734" w:hanging="547"/>
        <w:jc w:val="both"/>
        <w:rPr>
          <w:rFonts w:asciiTheme="majorBidi" w:eastAsiaTheme="minorHAnsi" w:hAnsiTheme="majorBidi" w:cstheme="majorBidi"/>
          <w:sz w:val="24"/>
          <w:szCs w:val="24"/>
        </w:rPr>
      </w:pPr>
      <w:bookmarkStart w:id="1" w:name="_Toc482863684"/>
      <w:r w:rsidRPr="002B6A1D">
        <w:rPr>
          <w:rFonts w:asciiTheme="majorBidi" w:eastAsiaTheme="minorHAnsi" w:hAnsiTheme="majorBidi" w:cstheme="majorBidi"/>
          <w:sz w:val="24"/>
          <w:szCs w:val="24"/>
        </w:rPr>
        <w:t xml:space="preserve">Financial Reporting is </w:t>
      </w:r>
      <w:r>
        <w:rPr>
          <w:rFonts w:asciiTheme="majorBidi" w:eastAsiaTheme="minorHAnsi" w:hAnsiTheme="majorBidi" w:cstheme="majorBidi"/>
          <w:sz w:val="24"/>
          <w:szCs w:val="24"/>
        </w:rPr>
        <w:t>used by</w:t>
      </w:r>
      <w:r w:rsidRPr="002B6A1D">
        <w:rPr>
          <w:rFonts w:asciiTheme="majorBidi" w:eastAsiaTheme="minorHAnsi" w:hAnsiTheme="majorBidi" w:cstheme="majorBidi"/>
          <w:sz w:val="24"/>
          <w:szCs w:val="24"/>
        </w:rPr>
        <w:t xml:space="preserve"> Senior Management and other stakeholders </w:t>
      </w:r>
      <w:r>
        <w:rPr>
          <w:rFonts w:asciiTheme="majorBidi" w:eastAsiaTheme="minorHAnsi" w:hAnsiTheme="majorBidi" w:cstheme="majorBidi"/>
          <w:sz w:val="24"/>
          <w:szCs w:val="24"/>
        </w:rPr>
        <w:t xml:space="preserve">to </w:t>
      </w:r>
      <w:r w:rsidRPr="002B6A1D">
        <w:rPr>
          <w:rFonts w:asciiTheme="majorBidi" w:eastAsiaTheme="minorHAnsi" w:hAnsiTheme="majorBidi" w:cstheme="majorBidi"/>
          <w:sz w:val="24"/>
          <w:szCs w:val="24"/>
        </w:rPr>
        <w:t xml:space="preserve">measure, assess and monitor the financial performance of the </w:t>
      </w:r>
      <w:r>
        <w:rPr>
          <w:rFonts w:asciiTheme="majorBidi" w:eastAsiaTheme="minorHAnsi" w:hAnsiTheme="majorBidi" w:cstheme="majorBidi"/>
          <w:sz w:val="24"/>
          <w:szCs w:val="24"/>
        </w:rPr>
        <w:t>u</w:t>
      </w:r>
      <w:r w:rsidRPr="002B6A1D">
        <w:rPr>
          <w:rFonts w:asciiTheme="majorBidi" w:eastAsiaTheme="minorHAnsi" w:hAnsiTheme="majorBidi" w:cstheme="majorBidi"/>
          <w:sz w:val="24"/>
          <w:szCs w:val="24"/>
        </w:rPr>
        <w:t xml:space="preserve">niversity. </w:t>
      </w:r>
      <w:r>
        <w:rPr>
          <w:rFonts w:asciiTheme="majorBidi" w:eastAsiaTheme="minorHAnsi" w:hAnsiTheme="majorBidi" w:cstheme="majorBidi"/>
          <w:sz w:val="24"/>
          <w:szCs w:val="24"/>
        </w:rPr>
        <w:t>F</w:t>
      </w:r>
      <w:r w:rsidRPr="002B6A1D">
        <w:rPr>
          <w:rFonts w:asciiTheme="majorBidi" w:eastAsiaTheme="minorHAnsi" w:hAnsiTheme="majorBidi" w:cstheme="majorBidi"/>
          <w:sz w:val="24"/>
          <w:szCs w:val="24"/>
        </w:rPr>
        <w:t>inancial Statement</w:t>
      </w:r>
      <w:r>
        <w:rPr>
          <w:rFonts w:asciiTheme="majorBidi" w:eastAsiaTheme="minorHAnsi" w:hAnsiTheme="majorBidi" w:cstheme="majorBidi"/>
          <w:sz w:val="24"/>
          <w:szCs w:val="24"/>
        </w:rPr>
        <w:t>s</w:t>
      </w:r>
      <w:r w:rsidRPr="002B6A1D">
        <w:rPr>
          <w:rFonts w:asciiTheme="majorBidi" w:eastAsiaTheme="minorHAnsi" w:hAnsiTheme="majorBidi" w:cstheme="majorBidi"/>
          <w:sz w:val="24"/>
          <w:szCs w:val="24"/>
        </w:rPr>
        <w:t xml:space="preserve"> </w:t>
      </w:r>
      <w:r w:rsidRPr="003C4E3D">
        <w:rPr>
          <w:rFonts w:asciiTheme="majorBidi" w:eastAsiaTheme="minorHAnsi" w:hAnsiTheme="majorBidi" w:cstheme="majorBidi"/>
          <w:sz w:val="24"/>
          <w:szCs w:val="24"/>
        </w:rPr>
        <w:t xml:space="preserve">at all times </w:t>
      </w:r>
      <w:r w:rsidRPr="002B6A1D">
        <w:rPr>
          <w:rFonts w:asciiTheme="majorBidi" w:eastAsiaTheme="minorHAnsi" w:hAnsiTheme="majorBidi" w:cstheme="majorBidi"/>
          <w:sz w:val="24"/>
          <w:szCs w:val="24"/>
        </w:rPr>
        <w:t>provide a true and fair view of</w:t>
      </w:r>
      <w:r>
        <w:rPr>
          <w:rFonts w:asciiTheme="majorBidi" w:eastAsiaTheme="minorHAnsi" w:hAnsiTheme="majorBidi" w:cstheme="majorBidi"/>
          <w:sz w:val="24"/>
          <w:szCs w:val="24"/>
        </w:rPr>
        <w:t xml:space="preserve"> the</w:t>
      </w:r>
      <w:r w:rsidRPr="002B6A1D">
        <w:rPr>
          <w:rFonts w:asciiTheme="majorBidi" w:eastAsiaTheme="minorHAnsi" w:hAnsiTheme="majorBidi" w:cstheme="majorBidi"/>
          <w:sz w:val="24"/>
          <w:szCs w:val="24"/>
        </w:rPr>
        <w:t xml:space="preserve"> financial position of the University</w:t>
      </w:r>
    </w:p>
    <w:p w14:paraId="06155B65" w14:textId="155C4E67" w:rsidR="007C7B58" w:rsidRDefault="007C7B58" w:rsidP="007C7B58">
      <w:pPr>
        <w:pStyle w:val="Heading1"/>
        <w:spacing w:line="240" w:lineRule="auto"/>
        <w:jc w:val="both"/>
      </w:pPr>
      <w:r>
        <w:t>SECTION 2</w:t>
      </w:r>
      <w:r>
        <w:tab/>
        <w:t>SCOPE AND APPLICABILITY</w:t>
      </w:r>
      <w:bookmarkEnd w:id="1"/>
    </w:p>
    <w:p w14:paraId="2450BDE1" w14:textId="77777777" w:rsidR="005658FA" w:rsidRPr="002B6A1D" w:rsidRDefault="005658FA" w:rsidP="005658FA">
      <w:pPr>
        <w:pStyle w:val="BodyText"/>
        <w:numPr>
          <w:ilvl w:val="1"/>
          <w:numId w:val="1"/>
        </w:numPr>
        <w:spacing w:after="60" w:line="240" w:lineRule="auto"/>
        <w:jc w:val="both"/>
        <w:rPr>
          <w:rFonts w:asciiTheme="majorBidi" w:eastAsiaTheme="minorHAnsi" w:hAnsiTheme="majorBidi" w:cstheme="majorBidi"/>
          <w:sz w:val="24"/>
          <w:szCs w:val="24"/>
        </w:rPr>
      </w:pPr>
      <w:bookmarkStart w:id="2" w:name="_Toc482863685"/>
      <w:r w:rsidRPr="00820C3A">
        <w:rPr>
          <w:rFonts w:asciiTheme="majorBidi" w:eastAsiaTheme="minorHAnsi" w:hAnsiTheme="majorBidi" w:cstheme="majorBidi"/>
          <w:sz w:val="24"/>
          <w:szCs w:val="24"/>
        </w:rPr>
        <w:t xml:space="preserve">This policy pertains </w:t>
      </w:r>
      <w:r>
        <w:rPr>
          <w:rFonts w:asciiTheme="majorBidi" w:eastAsiaTheme="minorHAnsi" w:hAnsiTheme="majorBidi" w:cstheme="majorBidi"/>
          <w:sz w:val="24"/>
          <w:szCs w:val="24"/>
        </w:rPr>
        <w:t xml:space="preserve">to </w:t>
      </w:r>
      <w:r w:rsidRPr="002B6A1D">
        <w:rPr>
          <w:rFonts w:asciiTheme="majorBidi" w:eastAsiaTheme="minorHAnsi" w:hAnsiTheme="majorBidi" w:cstheme="majorBidi"/>
          <w:sz w:val="24"/>
          <w:szCs w:val="24"/>
        </w:rPr>
        <w:t xml:space="preserve">the Financial Reporting process within </w:t>
      </w:r>
      <w:r>
        <w:rPr>
          <w:rFonts w:asciiTheme="majorBidi" w:eastAsiaTheme="minorHAnsi" w:hAnsiTheme="majorBidi" w:cstheme="majorBidi"/>
          <w:sz w:val="24"/>
          <w:szCs w:val="24"/>
        </w:rPr>
        <w:t xml:space="preserve">the </w:t>
      </w:r>
      <w:r w:rsidRPr="002B6A1D">
        <w:rPr>
          <w:rFonts w:asciiTheme="majorBidi" w:eastAsiaTheme="minorHAnsi" w:hAnsiTheme="majorBidi" w:cstheme="majorBidi"/>
          <w:sz w:val="24"/>
          <w:szCs w:val="24"/>
        </w:rPr>
        <w:t xml:space="preserve">Finance Function. </w:t>
      </w:r>
      <w:r>
        <w:rPr>
          <w:rFonts w:asciiTheme="majorBidi" w:eastAsiaTheme="minorHAnsi" w:hAnsiTheme="majorBidi" w:cstheme="majorBidi"/>
          <w:sz w:val="24"/>
          <w:szCs w:val="24"/>
        </w:rPr>
        <w:t xml:space="preserve">The </w:t>
      </w:r>
      <w:r w:rsidRPr="002B6A1D">
        <w:rPr>
          <w:rFonts w:asciiTheme="majorBidi" w:eastAsiaTheme="minorHAnsi" w:hAnsiTheme="majorBidi" w:cstheme="majorBidi"/>
          <w:sz w:val="24"/>
          <w:szCs w:val="24"/>
        </w:rPr>
        <w:t>Financial Reporting process includes the process of closing of financial accounts, preparation of financial statements and reporting to Senior Management.</w:t>
      </w:r>
    </w:p>
    <w:p w14:paraId="48911556" w14:textId="77777777" w:rsidR="005658FA" w:rsidRDefault="005658FA" w:rsidP="005658FA">
      <w:pPr>
        <w:pStyle w:val="NoSpacing"/>
        <w:numPr>
          <w:ilvl w:val="1"/>
          <w:numId w:val="1"/>
        </w:numPr>
        <w:spacing w:after="60" w:line="240" w:lineRule="auto"/>
        <w:ind w:left="734" w:hanging="547"/>
        <w:contextualSpacing w:val="0"/>
      </w:pPr>
      <w:r w:rsidRPr="00F449E2">
        <w:t>This policy document applies to all faculty</w:t>
      </w:r>
      <w:r>
        <w:t xml:space="preserve"> and</w:t>
      </w:r>
      <w:r w:rsidRPr="00F449E2">
        <w:t xml:space="preserve"> staff at Khalifa University of Science and Technology</w:t>
      </w:r>
      <w:r>
        <w:t xml:space="preserve"> who are engaged in any activity that has a financial impact on the University as well as all staff of the Finance Department.</w:t>
      </w:r>
    </w:p>
    <w:p w14:paraId="42EEB291" w14:textId="6973E416" w:rsidR="00EB54A4" w:rsidRDefault="00EB54A4" w:rsidP="007C7B58">
      <w:pPr>
        <w:pStyle w:val="Heading1"/>
        <w:spacing w:line="240" w:lineRule="auto"/>
        <w:jc w:val="both"/>
      </w:pPr>
      <w:r>
        <w:t xml:space="preserve">SECTION </w:t>
      </w:r>
      <w:r w:rsidR="007C7B58">
        <w:t>3</w:t>
      </w:r>
      <w:r>
        <w:tab/>
        <w:t>PURPOSE</w:t>
      </w:r>
      <w:bookmarkEnd w:id="2"/>
    </w:p>
    <w:p w14:paraId="283DE92A" w14:textId="0C11463E" w:rsidR="005658FA" w:rsidRDefault="005658FA" w:rsidP="005658FA">
      <w:pPr>
        <w:pStyle w:val="NoSpacing"/>
        <w:numPr>
          <w:ilvl w:val="1"/>
          <w:numId w:val="10"/>
        </w:numPr>
        <w:spacing w:after="60" w:line="240" w:lineRule="auto"/>
        <w:contextualSpacing w:val="0"/>
      </w:pPr>
      <w:bookmarkStart w:id="3" w:name="_Toc482863686"/>
      <w:r w:rsidRPr="002F3CD4">
        <w:t>Faculty and staff have an obligation to ensure that all activities having a financial impact are processed in an accurate and timely manner in the financial systems of the University</w:t>
      </w:r>
      <w:r>
        <w:t xml:space="preserve">. The Finance Department staff are responsible for ensuring that a robust internal control and management system is in place to ensure timely and accurate capturing and recording of financial information for financial reporting purposes. </w:t>
      </w:r>
    </w:p>
    <w:p w14:paraId="0DC06C27" w14:textId="0872141A" w:rsidR="005658FA" w:rsidRDefault="005658FA" w:rsidP="005658FA">
      <w:pPr>
        <w:pStyle w:val="NoSpacing"/>
        <w:numPr>
          <w:ilvl w:val="1"/>
          <w:numId w:val="10"/>
        </w:numPr>
        <w:spacing w:after="60" w:line="240" w:lineRule="auto"/>
        <w:contextualSpacing w:val="0"/>
      </w:pPr>
      <w:r w:rsidRPr="005658FA">
        <w:t>The purpose of this policy is to ensure accurate, timely and authorized execution of period end activities of the Financial Reporting process</w:t>
      </w:r>
    </w:p>
    <w:p w14:paraId="7630E79E" w14:textId="737F800C" w:rsidR="00F449E2" w:rsidRDefault="00B70A97" w:rsidP="005658FA">
      <w:pPr>
        <w:pStyle w:val="Heading1"/>
        <w:spacing w:line="240" w:lineRule="auto"/>
        <w:jc w:val="both"/>
      </w:pPr>
      <w:r>
        <w:t>SECTION 4</w:t>
      </w:r>
      <w:r>
        <w:tab/>
      </w:r>
      <w:r w:rsidR="00F449E2">
        <w:t>DEFINITIONS</w:t>
      </w:r>
      <w:bookmarkEnd w:id="3"/>
    </w:p>
    <w:p w14:paraId="6BFF0D60" w14:textId="77777777" w:rsidR="005658FA" w:rsidRDefault="005658FA" w:rsidP="005658FA">
      <w:pPr>
        <w:pStyle w:val="NoSpacing"/>
        <w:spacing w:after="120" w:line="240" w:lineRule="auto"/>
        <w:contextualSpacing w:val="0"/>
      </w:pPr>
      <w:bookmarkStart w:id="4" w:name="_Toc482863687"/>
      <w:r w:rsidRPr="00F449E2">
        <w:t>The following definition(s) apply to this policy document:</w:t>
      </w:r>
    </w:p>
    <w:p w14:paraId="32B11C61" w14:textId="77777777" w:rsidR="005658FA" w:rsidRPr="00336B31" w:rsidRDefault="005658FA" w:rsidP="005658FA">
      <w:pPr>
        <w:pStyle w:val="NoSpacing"/>
        <w:numPr>
          <w:ilvl w:val="1"/>
          <w:numId w:val="14"/>
        </w:numPr>
        <w:spacing w:after="60" w:line="240" w:lineRule="auto"/>
        <w:ind w:left="734" w:hanging="547"/>
        <w:contextualSpacing w:val="0"/>
      </w:pPr>
      <w:r w:rsidRPr="00336B31">
        <w:rPr>
          <w:b/>
          <w:bCs/>
        </w:rPr>
        <w:t xml:space="preserve">Accrual Basis of Accounting: </w:t>
      </w:r>
      <w:r w:rsidRPr="00336B31">
        <w:t>In the Accrual Basis of accounting the transactions are recorded in the books of accounts in the period to which they relate.</w:t>
      </w:r>
    </w:p>
    <w:p w14:paraId="4F9A7C7F" w14:textId="77777777" w:rsidR="005658FA" w:rsidRPr="00336B31" w:rsidRDefault="005658FA" w:rsidP="005658FA">
      <w:pPr>
        <w:pStyle w:val="NoSpacing"/>
        <w:numPr>
          <w:ilvl w:val="1"/>
          <w:numId w:val="14"/>
        </w:numPr>
        <w:spacing w:after="60" w:line="240" w:lineRule="auto"/>
        <w:ind w:left="734" w:hanging="547"/>
        <w:contextualSpacing w:val="0"/>
      </w:pPr>
      <w:r w:rsidRPr="00336B31">
        <w:rPr>
          <w:b/>
          <w:bCs/>
        </w:rPr>
        <w:t xml:space="preserve">Accounting Policies: </w:t>
      </w:r>
      <w:r w:rsidRPr="00336B31">
        <w:t>The specific principles, bases, conventions, rules and practices applied by an entity in preparing and presenting financial statements.</w:t>
      </w:r>
    </w:p>
    <w:p w14:paraId="74A6E402" w14:textId="0EF7087B" w:rsidR="005658FA" w:rsidRPr="005658FA" w:rsidRDefault="005658FA" w:rsidP="005658FA">
      <w:pPr>
        <w:pStyle w:val="NoSpacing"/>
        <w:numPr>
          <w:ilvl w:val="1"/>
          <w:numId w:val="14"/>
        </w:numPr>
        <w:spacing w:after="60" w:line="240" w:lineRule="auto"/>
        <w:ind w:left="734" w:hanging="547"/>
        <w:contextualSpacing w:val="0"/>
        <w:rPr>
          <w:b/>
          <w:bCs/>
        </w:rPr>
      </w:pPr>
      <w:r w:rsidRPr="00336B31">
        <w:rPr>
          <w:b/>
          <w:bCs/>
        </w:rPr>
        <w:t xml:space="preserve">Contingent Liability: </w:t>
      </w:r>
      <w:r w:rsidRPr="00336B31">
        <w:rPr>
          <w:rFonts w:ascii="Times New Roman" w:eastAsia="Times New Roman" w:hAnsi="Times New Roman" w:cs="Times New Roman"/>
        </w:rPr>
        <w:t>A possible obligation depending on whether some uncertain future event occurs, or a present obligation for which payment is not probable or the amount cannot be measured reliably.</w:t>
      </w:r>
    </w:p>
    <w:p w14:paraId="5881288B" w14:textId="77777777" w:rsidR="005658FA" w:rsidRPr="00336B31" w:rsidRDefault="005658FA" w:rsidP="005658FA">
      <w:pPr>
        <w:pStyle w:val="NoSpacing"/>
        <w:numPr>
          <w:ilvl w:val="1"/>
          <w:numId w:val="14"/>
        </w:numPr>
        <w:spacing w:after="60" w:line="240" w:lineRule="auto"/>
        <w:ind w:left="734" w:hanging="547"/>
        <w:contextualSpacing w:val="0"/>
      </w:pPr>
      <w:r w:rsidRPr="00336B31">
        <w:rPr>
          <w:b/>
          <w:bCs/>
        </w:rPr>
        <w:lastRenderedPageBreak/>
        <w:t xml:space="preserve">Events Occurring after the Balance Sheet Date: </w:t>
      </w:r>
      <w:r w:rsidRPr="00336B31">
        <w:t xml:space="preserve">Events occurring after the balance sheet date are those significant events, both favorable and unfavorable, that occur between the balance sheet date and the date on which the Financial Statements are authorized for issue </w:t>
      </w:r>
      <w:r w:rsidRPr="00336B31">
        <w:rPr>
          <w:b/>
          <w:bCs/>
        </w:rPr>
        <w:t>(</w:t>
      </w:r>
      <w:r w:rsidRPr="00336B31">
        <w:rPr>
          <w:bCs/>
        </w:rPr>
        <w:t xml:space="preserve">Refer to </w:t>
      </w:r>
      <w:proofErr w:type="gramStart"/>
      <w:r w:rsidRPr="00336B31">
        <w:rPr>
          <w:bCs/>
        </w:rPr>
        <w:t>IFRS  /</w:t>
      </w:r>
      <w:proofErr w:type="gramEnd"/>
      <w:r w:rsidRPr="00336B31">
        <w:rPr>
          <w:bCs/>
        </w:rPr>
        <w:t>IPSAS for further details).</w:t>
      </w:r>
    </w:p>
    <w:p w14:paraId="6DFD46BE" w14:textId="77777777" w:rsidR="005658FA" w:rsidRPr="00336B31" w:rsidRDefault="005658FA" w:rsidP="005658FA">
      <w:pPr>
        <w:pStyle w:val="NoSpacing"/>
        <w:numPr>
          <w:ilvl w:val="1"/>
          <w:numId w:val="14"/>
        </w:numPr>
        <w:spacing w:after="60" w:line="240" w:lineRule="auto"/>
        <w:ind w:left="734" w:hanging="547"/>
        <w:contextualSpacing w:val="0"/>
        <w:rPr>
          <w:rFonts w:ascii="Times New Roman" w:eastAsia="Times New Roman" w:hAnsi="Times New Roman" w:cs="Times New Roman"/>
        </w:rPr>
      </w:pPr>
      <w:r w:rsidRPr="00336B31">
        <w:rPr>
          <w:b/>
          <w:bCs/>
        </w:rPr>
        <w:t xml:space="preserve">Gratuity: </w:t>
      </w:r>
      <w:r w:rsidRPr="00336B31">
        <w:rPr>
          <w:rFonts w:ascii="Times New Roman" w:eastAsia="Times New Roman" w:hAnsi="Times New Roman" w:cs="Times New Roman"/>
        </w:rPr>
        <w:t xml:space="preserve">A benefit that is payable to an employee </w:t>
      </w:r>
      <w:r w:rsidRPr="002F3CD4">
        <w:rPr>
          <w:rFonts w:ascii="Times New Roman" w:eastAsia="Times New Roman" w:hAnsi="Times New Roman" w:cs="Times New Roman"/>
        </w:rPr>
        <w:t>on the termination of his employment</w:t>
      </w:r>
      <w:r w:rsidRPr="00336B31">
        <w:rPr>
          <w:rFonts w:ascii="Times New Roman" w:eastAsia="Times New Roman" w:hAnsi="Times New Roman" w:cs="Times New Roman"/>
        </w:rPr>
        <w:t xml:space="preserve"> after </w:t>
      </w:r>
      <w:r>
        <w:rPr>
          <w:rFonts w:ascii="Times New Roman" w:eastAsia="Times New Roman" w:hAnsi="Times New Roman" w:cs="Times New Roman"/>
        </w:rPr>
        <w:t>s/</w:t>
      </w:r>
      <w:r w:rsidRPr="00336B31">
        <w:rPr>
          <w:rFonts w:ascii="Times New Roman" w:eastAsia="Times New Roman" w:hAnsi="Times New Roman" w:cs="Times New Roman"/>
        </w:rPr>
        <w:t xml:space="preserve">he has rendered continuous service for a period not less than a number of years as prescribed by </w:t>
      </w:r>
      <w:r>
        <w:rPr>
          <w:rFonts w:ascii="Times New Roman" w:eastAsia="Times New Roman" w:hAnsi="Times New Roman" w:cs="Times New Roman"/>
        </w:rPr>
        <w:t>u</w:t>
      </w:r>
      <w:r w:rsidRPr="00336B31">
        <w:rPr>
          <w:rFonts w:ascii="Times New Roman" w:eastAsia="Times New Roman" w:hAnsi="Times New Roman" w:cs="Times New Roman"/>
        </w:rPr>
        <w:t>niversity HR policy-</w:t>
      </w:r>
    </w:p>
    <w:p w14:paraId="288FD698" w14:textId="77777777" w:rsidR="005658FA" w:rsidRPr="00336B31" w:rsidRDefault="005658FA" w:rsidP="005658FA">
      <w:pPr>
        <w:pStyle w:val="NoSpacing"/>
        <w:numPr>
          <w:ilvl w:val="0"/>
          <w:numId w:val="20"/>
        </w:numPr>
        <w:spacing w:after="60" w:line="240" w:lineRule="auto"/>
        <w:ind w:left="1440"/>
        <w:contextualSpacing w:val="0"/>
        <w:rPr>
          <w:rFonts w:ascii="Times New Roman" w:eastAsia="Times New Roman" w:hAnsi="Times New Roman" w:cs="Times New Roman"/>
        </w:rPr>
      </w:pPr>
      <w:r w:rsidRPr="00336B31">
        <w:rPr>
          <w:rFonts w:ascii="Times New Roman" w:eastAsia="Times New Roman" w:hAnsi="Times New Roman" w:cs="Times New Roman"/>
        </w:rPr>
        <w:t>on their retirement or resignation, or</w:t>
      </w:r>
    </w:p>
    <w:p w14:paraId="31284A87" w14:textId="77777777" w:rsidR="005658FA" w:rsidRPr="00336B31" w:rsidRDefault="005658FA" w:rsidP="005658FA">
      <w:pPr>
        <w:pStyle w:val="NoSpacing"/>
        <w:numPr>
          <w:ilvl w:val="0"/>
          <w:numId w:val="20"/>
        </w:numPr>
        <w:spacing w:after="60" w:line="240" w:lineRule="auto"/>
        <w:ind w:left="1440"/>
        <w:contextualSpacing w:val="0"/>
        <w:rPr>
          <w:b/>
          <w:bCs/>
        </w:rPr>
      </w:pPr>
      <w:proofErr w:type="gramStart"/>
      <w:r w:rsidRPr="00336B31">
        <w:rPr>
          <w:rFonts w:ascii="Times New Roman" w:eastAsia="Times New Roman" w:hAnsi="Times New Roman" w:cs="Times New Roman"/>
        </w:rPr>
        <w:t>on</w:t>
      </w:r>
      <w:proofErr w:type="gramEnd"/>
      <w:r w:rsidRPr="00336B31">
        <w:rPr>
          <w:rFonts w:ascii="Times New Roman" w:eastAsia="Times New Roman" w:hAnsi="Times New Roman" w:cs="Times New Roman"/>
        </w:rPr>
        <w:t xml:space="preserve"> their death or disablement due to accident or disease</w:t>
      </w:r>
      <w:r w:rsidRPr="00336B31">
        <w:rPr>
          <w:b/>
          <w:bCs/>
        </w:rPr>
        <w:t>.</w:t>
      </w:r>
    </w:p>
    <w:p w14:paraId="71BFF78E" w14:textId="77777777" w:rsidR="005658FA" w:rsidRPr="00336B31" w:rsidRDefault="005658FA" w:rsidP="005658FA">
      <w:pPr>
        <w:pStyle w:val="NoSpacing"/>
        <w:numPr>
          <w:ilvl w:val="1"/>
          <w:numId w:val="14"/>
        </w:numPr>
        <w:spacing w:after="60" w:line="240" w:lineRule="auto"/>
        <w:ind w:left="734" w:hanging="547"/>
        <w:contextualSpacing w:val="0"/>
        <w:rPr>
          <w:rFonts w:ascii="Times New Roman" w:eastAsia="Times New Roman" w:hAnsi="Times New Roman" w:cs="Times New Roman"/>
        </w:rPr>
      </w:pPr>
      <w:r w:rsidRPr="00336B31">
        <w:rPr>
          <w:rFonts w:ascii="Times New Roman" w:eastAsia="Times New Roman" w:hAnsi="Times New Roman" w:cs="Times New Roman"/>
          <w:b/>
        </w:rPr>
        <w:t>Leave Allowance</w:t>
      </w:r>
      <w:r w:rsidRPr="00336B31">
        <w:rPr>
          <w:rFonts w:ascii="Times New Roman" w:eastAsia="Times New Roman" w:hAnsi="Times New Roman" w:cs="Times New Roman"/>
        </w:rPr>
        <w:t xml:space="preserve">: Leave allowance is the payment made to an employee for the unutilized leave at the time of their full </w:t>
      </w:r>
      <w:r>
        <w:rPr>
          <w:rFonts w:ascii="Times New Roman" w:eastAsia="Times New Roman" w:hAnsi="Times New Roman" w:cs="Times New Roman"/>
        </w:rPr>
        <w:t>and</w:t>
      </w:r>
      <w:r w:rsidRPr="00336B31">
        <w:rPr>
          <w:rFonts w:ascii="Times New Roman" w:eastAsia="Times New Roman" w:hAnsi="Times New Roman" w:cs="Times New Roman"/>
        </w:rPr>
        <w:t xml:space="preserve"> final settlement (for </w:t>
      </w:r>
      <w:r>
        <w:rPr>
          <w:rFonts w:ascii="Times New Roman" w:eastAsia="Times New Roman" w:hAnsi="Times New Roman" w:cs="Times New Roman"/>
        </w:rPr>
        <w:t xml:space="preserve">any </w:t>
      </w:r>
      <w:r w:rsidRPr="00336B31">
        <w:rPr>
          <w:rFonts w:ascii="Times New Roman" w:eastAsia="Times New Roman" w:hAnsi="Times New Roman" w:cs="Times New Roman"/>
        </w:rPr>
        <w:t>leave balance not used during the year). The accrued liability towards leave allowance is charged to the Staff Leave Provision</w:t>
      </w:r>
      <w:r>
        <w:rPr>
          <w:rFonts w:ascii="Times New Roman" w:eastAsia="Times New Roman" w:hAnsi="Times New Roman" w:cs="Times New Roman"/>
        </w:rPr>
        <w:t>.</w:t>
      </w:r>
    </w:p>
    <w:p w14:paraId="6C88EC9B" w14:textId="77777777" w:rsidR="005658FA" w:rsidRPr="00336B31" w:rsidRDefault="005658FA" w:rsidP="005658FA">
      <w:pPr>
        <w:pStyle w:val="NoSpacing"/>
        <w:numPr>
          <w:ilvl w:val="1"/>
          <w:numId w:val="14"/>
        </w:numPr>
        <w:spacing w:after="60" w:line="240" w:lineRule="auto"/>
        <w:ind w:left="734" w:hanging="547"/>
        <w:contextualSpacing w:val="0"/>
      </w:pPr>
      <w:r w:rsidRPr="00336B31">
        <w:rPr>
          <w:b/>
          <w:bCs/>
        </w:rPr>
        <w:t xml:space="preserve">Prior Period Adjustments/Errors: </w:t>
      </w:r>
      <w:r w:rsidRPr="00336B31">
        <w:t xml:space="preserve">Prior period adjustment/errors are omissions from, and misstatements in, the </w:t>
      </w:r>
      <w:r>
        <w:t>u</w:t>
      </w:r>
      <w:r w:rsidRPr="00336B31">
        <w:t>niversity’s financial statements for one or more prior periods arising from a failure to use, or misuse of, reliable information that:</w:t>
      </w:r>
    </w:p>
    <w:p w14:paraId="5BE9F769" w14:textId="77777777" w:rsidR="005658FA" w:rsidRPr="00336B31" w:rsidRDefault="005658FA" w:rsidP="005658FA">
      <w:pPr>
        <w:pStyle w:val="BodyText"/>
        <w:numPr>
          <w:ilvl w:val="0"/>
          <w:numId w:val="21"/>
        </w:numPr>
        <w:spacing w:before="0" w:after="60" w:line="240" w:lineRule="auto"/>
        <w:ind w:left="1440"/>
        <w:jc w:val="both"/>
        <w:rPr>
          <w:sz w:val="24"/>
          <w:szCs w:val="24"/>
        </w:rPr>
      </w:pPr>
      <w:r w:rsidRPr="00336B31">
        <w:rPr>
          <w:sz w:val="24"/>
          <w:szCs w:val="24"/>
        </w:rPr>
        <w:t>was available when financial statements for those periods were authorized for issue; and</w:t>
      </w:r>
    </w:p>
    <w:p w14:paraId="39C54FC9" w14:textId="77777777" w:rsidR="005658FA" w:rsidRPr="00336B31" w:rsidRDefault="005658FA" w:rsidP="005658FA">
      <w:pPr>
        <w:pStyle w:val="BodyText"/>
        <w:numPr>
          <w:ilvl w:val="0"/>
          <w:numId w:val="21"/>
        </w:numPr>
        <w:spacing w:before="0" w:after="60" w:line="240" w:lineRule="auto"/>
        <w:ind w:left="1440"/>
        <w:jc w:val="both"/>
        <w:rPr>
          <w:sz w:val="24"/>
          <w:szCs w:val="24"/>
        </w:rPr>
      </w:pPr>
      <w:proofErr w:type="gramStart"/>
      <w:r w:rsidRPr="00336B31">
        <w:rPr>
          <w:sz w:val="24"/>
          <w:szCs w:val="24"/>
        </w:rPr>
        <w:t>could</w:t>
      </w:r>
      <w:proofErr w:type="gramEnd"/>
      <w:r w:rsidRPr="00336B31">
        <w:rPr>
          <w:sz w:val="24"/>
          <w:szCs w:val="24"/>
        </w:rPr>
        <w:t xml:space="preserve"> reasonably be expected to have been obtained and taken into account in the preparation and presentation of those financial statements.</w:t>
      </w:r>
    </w:p>
    <w:p w14:paraId="6192A749" w14:textId="77777777" w:rsidR="005658FA" w:rsidRPr="00336B31" w:rsidRDefault="005658FA" w:rsidP="005658FA">
      <w:pPr>
        <w:pStyle w:val="BodyText"/>
        <w:spacing w:before="0" w:after="60" w:line="240" w:lineRule="auto"/>
        <w:ind w:left="734" w:hanging="14"/>
        <w:jc w:val="both"/>
        <w:rPr>
          <w:sz w:val="24"/>
          <w:szCs w:val="24"/>
        </w:rPr>
      </w:pPr>
      <w:r w:rsidRPr="00336B31">
        <w:rPr>
          <w:sz w:val="24"/>
          <w:szCs w:val="24"/>
        </w:rPr>
        <w:t>Such errors include the effects of mathematical mistakes, mistakes in applying accounting policies, oversights or misinterpretations of facts, and fraud</w:t>
      </w:r>
      <w:r>
        <w:rPr>
          <w:sz w:val="24"/>
          <w:szCs w:val="24"/>
        </w:rPr>
        <w:t xml:space="preserve"> </w:t>
      </w:r>
      <w:r w:rsidRPr="00336B31">
        <w:rPr>
          <w:sz w:val="24"/>
          <w:szCs w:val="24"/>
        </w:rPr>
        <w:t xml:space="preserve"> (Refer to IFRS /IPSAS for further details)</w:t>
      </w:r>
      <w:r>
        <w:rPr>
          <w:sz w:val="24"/>
          <w:szCs w:val="24"/>
        </w:rPr>
        <w:t>.</w:t>
      </w:r>
    </w:p>
    <w:p w14:paraId="5228907B" w14:textId="77777777" w:rsidR="005658FA" w:rsidRPr="00336B31" w:rsidRDefault="005658FA" w:rsidP="005658FA">
      <w:pPr>
        <w:pStyle w:val="NoSpacing"/>
        <w:numPr>
          <w:ilvl w:val="1"/>
          <w:numId w:val="14"/>
        </w:numPr>
        <w:spacing w:after="60" w:line="240" w:lineRule="auto"/>
        <w:ind w:left="734" w:hanging="547"/>
        <w:contextualSpacing w:val="0"/>
        <w:rPr>
          <w:rFonts w:ascii="Times New Roman" w:eastAsia="Times New Roman" w:hAnsi="Times New Roman" w:cs="Times New Roman"/>
        </w:rPr>
      </w:pPr>
      <w:r w:rsidRPr="00336B31">
        <w:rPr>
          <w:b/>
          <w:bCs/>
        </w:rPr>
        <w:t xml:space="preserve">Provision: </w:t>
      </w:r>
      <w:r w:rsidRPr="00336B31">
        <w:rPr>
          <w:rFonts w:ascii="Times New Roman" w:eastAsia="Times New Roman" w:hAnsi="Times New Roman" w:cs="Times New Roman"/>
        </w:rPr>
        <w:t xml:space="preserve">Provision is a potential liability of the </w:t>
      </w:r>
      <w:r>
        <w:rPr>
          <w:rFonts w:ascii="Times New Roman" w:eastAsia="Times New Roman" w:hAnsi="Times New Roman" w:cs="Times New Roman"/>
        </w:rPr>
        <w:t>u</w:t>
      </w:r>
      <w:r w:rsidRPr="00336B31">
        <w:rPr>
          <w:rFonts w:ascii="Times New Roman" w:eastAsia="Times New Roman" w:hAnsi="Times New Roman" w:cs="Times New Roman"/>
        </w:rPr>
        <w:t xml:space="preserve">niversity where the amounts and timing of its occurrence is uncertain. A Provision is recognized in the </w:t>
      </w:r>
      <w:r>
        <w:rPr>
          <w:rFonts w:ascii="Times New Roman" w:eastAsia="Times New Roman" w:hAnsi="Times New Roman" w:cs="Times New Roman"/>
        </w:rPr>
        <w:t>u</w:t>
      </w:r>
      <w:r w:rsidRPr="00336B31">
        <w:rPr>
          <w:rFonts w:ascii="Times New Roman" w:eastAsia="Times New Roman" w:hAnsi="Times New Roman" w:cs="Times New Roman"/>
        </w:rPr>
        <w:t>niversity’s financial statements when:</w:t>
      </w:r>
    </w:p>
    <w:p w14:paraId="793BAD46" w14:textId="77777777" w:rsidR="005658FA" w:rsidRPr="00336B31" w:rsidRDefault="005658FA" w:rsidP="005658FA">
      <w:pPr>
        <w:pStyle w:val="NoSpacing"/>
        <w:numPr>
          <w:ilvl w:val="0"/>
          <w:numId w:val="22"/>
        </w:numPr>
        <w:spacing w:after="60" w:line="240" w:lineRule="auto"/>
        <w:ind w:left="1440"/>
        <w:contextualSpacing w:val="0"/>
        <w:rPr>
          <w:rFonts w:ascii="Times New Roman" w:eastAsia="Times New Roman" w:hAnsi="Times New Roman" w:cs="Times New Roman"/>
        </w:rPr>
      </w:pPr>
      <w:r w:rsidRPr="00336B31">
        <w:rPr>
          <w:rFonts w:ascii="Times New Roman" w:eastAsia="Times New Roman" w:hAnsi="Times New Roman" w:cs="Times New Roman"/>
        </w:rPr>
        <w:t xml:space="preserve">The </w:t>
      </w:r>
      <w:r>
        <w:rPr>
          <w:rFonts w:ascii="Times New Roman" w:eastAsia="Times New Roman" w:hAnsi="Times New Roman" w:cs="Times New Roman"/>
        </w:rPr>
        <w:t>u</w:t>
      </w:r>
      <w:r w:rsidRPr="00336B31">
        <w:rPr>
          <w:rFonts w:ascii="Times New Roman" w:eastAsia="Times New Roman" w:hAnsi="Times New Roman" w:cs="Times New Roman"/>
        </w:rPr>
        <w:t>niversity has a present obligation (legal or constructive) as a result of a past event;</w:t>
      </w:r>
    </w:p>
    <w:p w14:paraId="01735A88" w14:textId="77777777" w:rsidR="005658FA" w:rsidRPr="00336B31" w:rsidRDefault="005658FA" w:rsidP="005658FA">
      <w:pPr>
        <w:pStyle w:val="NoSpacing"/>
        <w:numPr>
          <w:ilvl w:val="0"/>
          <w:numId w:val="22"/>
        </w:numPr>
        <w:spacing w:after="60" w:line="240" w:lineRule="auto"/>
        <w:ind w:left="1440"/>
        <w:contextualSpacing w:val="0"/>
        <w:rPr>
          <w:rFonts w:ascii="Times New Roman" w:eastAsia="Times New Roman" w:hAnsi="Times New Roman" w:cs="Times New Roman"/>
        </w:rPr>
      </w:pPr>
      <w:r w:rsidRPr="00336B31">
        <w:rPr>
          <w:rFonts w:ascii="Times New Roman" w:eastAsia="Times New Roman" w:hAnsi="Times New Roman" w:cs="Times New Roman"/>
        </w:rPr>
        <w:t xml:space="preserve">It is probable that an outflow of resources embodying economic benefits will be required to settle the obligation; and </w:t>
      </w:r>
    </w:p>
    <w:p w14:paraId="4164CFE0" w14:textId="77777777" w:rsidR="005658FA" w:rsidRPr="00336B31" w:rsidRDefault="005658FA" w:rsidP="005658FA">
      <w:pPr>
        <w:pStyle w:val="NoSpacing"/>
        <w:numPr>
          <w:ilvl w:val="0"/>
          <w:numId w:val="22"/>
        </w:numPr>
        <w:spacing w:after="60" w:line="240" w:lineRule="auto"/>
        <w:ind w:left="1440"/>
        <w:contextualSpacing w:val="0"/>
        <w:rPr>
          <w:rFonts w:ascii="Times New Roman" w:eastAsia="Times New Roman" w:hAnsi="Times New Roman" w:cs="Times New Roman"/>
        </w:rPr>
      </w:pPr>
      <w:r w:rsidRPr="00336B31">
        <w:rPr>
          <w:rFonts w:ascii="Times New Roman" w:eastAsia="Times New Roman" w:hAnsi="Times New Roman" w:cs="Times New Roman"/>
        </w:rPr>
        <w:t xml:space="preserve">A reliable estimate can be made of the amount of the obligation. </w:t>
      </w:r>
    </w:p>
    <w:p w14:paraId="53878E41" w14:textId="77777777" w:rsidR="005658FA" w:rsidRPr="00336B31" w:rsidRDefault="005658FA" w:rsidP="005658FA">
      <w:pPr>
        <w:pStyle w:val="NoSpacing"/>
        <w:spacing w:after="60" w:line="240" w:lineRule="auto"/>
        <w:ind w:left="1260" w:hanging="547"/>
        <w:contextualSpacing w:val="0"/>
        <w:rPr>
          <w:rFonts w:ascii="Times New Roman" w:eastAsia="Times New Roman" w:hAnsi="Times New Roman" w:cs="Times New Roman"/>
        </w:rPr>
      </w:pPr>
      <w:r w:rsidRPr="00336B31">
        <w:rPr>
          <w:rFonts w:ascii="Times New Roman" w:eastAsia="Times New Roman" w:hAnsi="Times New Roman" w:cs="Times New Roman"/>
        </w:rPr>
        <w:t>If these conditions are not met, no provision shall be recognized.</w:t>
      </w:r>
    </w:p>
    <w:p w14:paraId="20016ECE" w14:textId="7F8967FB" w:rsidR="00701831" w:rsidRDefault="00701831" w:rsidP="007516C0">
      <w:pPr>
        <w:pStyle w:val="Heading1"/>
        <w:spacing w:line="240" w:lineRule="auto"/>
        <w:jc w:val="both"/>
      </w:pPr>
      <w:r>
        <w:t>SECTION 5</w:t>
      </w:r>
      <w:r>
        <w:tab/>
      </w:r>
      <w:r w:rsidR="004512B3">
        <w:t xml:space="preserve">PROVISIONS </w:t>
      </w:r>
      <w:r w:rsidR="00873EDA">
        <w:t>AND</w:t>
      </w:r>
      <w:r w:rsidR="009B2DAD">
        <w:t xml:space="preserve"> </w:t>
      </w:r>
      <w:bookmarkEnd w:id="4"/>
      <w:r w:rsidR="007516C0">
        <w:t>GUIDELINES</w:t>
      </w:r>
    </w:p>
    <w:p w14:paraId="55FA3283" w14:textId="77777777" w:rsidR="00180280" w:rsidRDefault="00180280" w:rsidP="00180280">
      <w:pPr>
        <w:pStyle w:val="BodyText"/>
        <w:numPr>
          <w:ilvl w:val="1"/>
          <w:numId w:val="23"/>
        </w:numPr>
        <w:spacing w:before="240" w:after="120" w:line="240" w:lineRule="auto"/>
        <w:ind w:left="734" w:hanging="547"/>
        <w:jc w:val="both"/>
        <w:rPr>
          <w:i/>
          <w:iCs/>
          <w:sz w:val="24"/>
          <w:szCs w:val="24"/>
        </w:rPr>
      </w:pPr>
      <w:r w:rsidRPr="00E9715A">
        <w:rPr>
          <w:i/>
          <w:iCs/>
          <w:sz w:val="24"/>
          <w:szCs w:val="24"/>
        </w:rPr>
        <w:t>Period End Activities</w:t>
      </w:r>
    </w:p>
    <w:p w14:paraId="7A70B024" w14:textId="77777777" w:rsidR="00180280" w:rsidRPr="00E9715A" w:rsidRDefault="00180280" w:rsidP="00180280">
      <w:pPr>
        <w:pStyle w:val="BodyText"/>
        <w:numPr>
          <w:ilvl w:val="2"/>
          <w:numId w:val="23"/>
        </w:numPr>
        <w:spacing w:before="0" w:after="60" w:line="240" w:lineRule="auto"/>
        <w:ind w:left="1440"/>
        <w:jc w:val="both"/>
        <w:rPr>
          <w:i/>
          <w:iCs/>
          <w:sz w:val="24"/>
          <w:szCs w:val="24"/>
        </w:rPr>
      </w:pPr>
      <w:r w:rsidRPr="00960ADA">
        <w:t xml:space="preserve">Books of Accounts of the </w:t>
      </w:r>
      <w:r>
        <w:t>u</w:t>
      </w:r>
      <w:r w:rsidRPr="000077AE">
        <w:t xml:space="preserve">niversity </w:t>
      </w:r>
      <w:r>
        <w:t>are</w:t>
      </w:r>
      <w:r w:rsidRPr="000077AE">
        <w:t xml:space="preserve"> maintained on</w:t>
      </w:r>
      <w:r>
        <w:t xml:space="preserve"> an</w:t>
      </w:r>
      <w:r w:rsidRPr="000077AE">
        <w:t xml:space="preserve"> accrual basis of accounting in all material respects except </w:t>
      </w:r>
      <w:r>
        <w:t xml:space="preserve">for budget reporting </w:t>
      </w:r>
      <w:r w:rsidRPr="000077AE">
        <w:t xml:space="preserve">of </w:t>
      </w:r>
      <w:r w:rsidRPr="000842ED">
        <w:t>Government Grants</w:t>
      </w:r>
      <w:r w:rsidRPr="000077AE">
        <w:t xml:space="preserve"> </w:t>
      </w:r>
      <w:r>
        <w:t>for</w:t>
      </w:r>
      <w:r w:rsidRPr="000077AE">
        <w:t xml:space="preserve"> which the </w:t>
      </w:r>
      <w:r w:rsidRPr="000842ED">
        <w:t>Cash Basis will be used.</w:t>
      </w:r>
    </w:p>
    <w:p w14:paraId="50224C23" w14:textId="77777777" w:rsidR="00180280" w:rsidRPr="00E9715A" w:rsidRDefault="00180280" w:rsidP="00180280">
      <w:pPr>
        <w:pStyle w:val="BodyText"/>
        <w:numPr>
          <w:ilvl w:val="2"/>
          <w:numId w:val="23"/>
        </w:numPr>
        <w:spacing w:before="0" w:after="60" w:line="240" w:lineRule="auto"/>
        <w:ind w:left="1440"/>
        <w:jc w:val="both"/>
      </w:pPr>
      <w:r w:rsidRPr="000077AE">
        <w:t xml:space="preserve">All entries </w:t>
      </w:r>
      <w:r>
        <w:t>of</w:t>
      </w:r>
      <w:r w:rsidRPr="000077AE">
        <w:t xml:space="preserve"> </w:t>
      </w:r>
      <w:r>
        <w:t>a</w:t>
      </w:r>
      <w:r w:rsidRPr="000077AE">
        <w:t xml:space="preserve"> month </w:t>
      </w:r>
      <w:r>
        <w:t>are</w:t>
      </w:r>
      <w:r w:rsidRPr="000077AE">
        <w:t xml:space="preserve"> passed and posted </w:t>
      </w:r>
      <w:r>
        <w:t xml:space="preserve">prior to closing the period. </w:t>
      </w:r>
      <w:r w:rsidRPr="000077AE">
        <w:t xml:space="preserve">However, </w:t>
      </w:r>
      <w:r w:rsidRPr="002C4F49">
        <w:t xml:space="preserve">on </w:t>
      </w:r>
      <w:r>
        <w:t xml:space="preserve">an </w:t>
      </w:r>
      <w:r w:rsidRPr="002C4F49">
        <w:t xml:space="preserve">exceptional basis, the books of account in </w:t>
      </w:r>
      <w:r>
        <w:t xml:space="preserve">the </w:t>
      </w:r>
      <w:r w:rsidRPr="002C4F49">
        <w:t xml:space="preserve">ERP system </w:t>
      </w:r>
      <w:r>
        <w:t>may be</w:t>
      </w:r>
      <w:r w:rsidRPr="002C4F49">
        <w:t xml:space="preserve"> reopened to pass significant entries which were omitted, subject </w:t>
      </w:r>
      <w:r>
        <w:t xml:space="preserve">to obtaining the appropriate </w:t>
      </w:r>
      <w:r w:rsidRPr="002C4F49">
        <w:t>approval</w:t>
      </w:r>
      <w:r>
        <w:t>s.</w:t>
      </w:r>
    </w:p>
    <w:p w14:paraId="4ECFCCAE" w14:textId="77777777" w:rsidR="00180280" w:rsidRPr="00746FF5" w:rsidRDefault="00180280" w:rsidP="00180280">
      <w:pPr>
        <w:pStyle w:val="BodyText"/>
        <w:numPr>
          <w:ilvl w:val="2"/>
          <w:numId w:val="23"/>
        </w:numPr>
        <w:spacing w:before="0" w:after="60" w:line="240" w:lineRule="auto"/>
        <w:ind w:left="1440"/>
        <w:jc w:val="both"/>
      </w:pPr>
      <w:r>
        <w:lastRenderedPageBreak/>
        <w:t xml:space="preserve">All </w:t>
      </w:r>
      <w:r w:rsidRPr="00960ADA">
        <w:t xml:space="preserve">transactions shall be accounted in line with the requirements specified in the respective IFRS/IPSAS and with the approval </w:t>
      </w:r>
      <w:r>
        <w:t xml:space="preserve">as per the </w:t>
      </w:r>
      <w:r w:rsidRPr="00490832">
        <w:t>Delegation of Authority (</w:t>
      </w:r>
      <w:proofErr w:type="spellStart"/>
      <w:proofErr w:type="gramStart"/>
      <w:r w:rsidRPr="00490832">
        <w:t>DoA</w:t>
      </w:r>
      <w:proofErr w:type="spellEnd"/>
      <w:proofErr w:type="gramEnd"/>
      <w:r w:rsidRPr="00490832">
        <w:t>)</w:t>
      </w:r>
      <w:r w:rsidRPr="00746FF5">
        <w:t>.</w:t>
      </w:r>
    </w:p>
    <w:p w14:paraId="14EC139E" w14:textId="77777777" w:rsidR="00180280" w:rsidRPr="00E9715A" w:rsidRDefault="00180280" w:rsidP="00180280">
      <w:pPr>
        <w:pStyle w:val="BodyText"/>
        <w:numPr>
          <w:ilvl w:val="1"/>
          <w:numId w:val="23"/>
        </w:numPr>
        <w:spacing w:before="240" w:after="120" w:line="240" w:lineRule="auto"/>
        <w:ind w:left="734" w:hanging="547"/>
        <w:jc w:val="both"/>
        <w:rPr>
          <w:i/>
          <w:iCs/>
          <w:sz w:val="24"/>
          <w:szCs w:val="24"/>
        </w:rPr>
      </w:pPr>
      <w:r w:rsidRPr="00E9715A">
        <w:rPr>
          <w:i/>
          <w:iCs/>
          <w:sz w:val="24"/>
          <w:szCs w:val="24"/>
        </w:rPr>
        <w:t>Period End Activities – Provision for Expenses</w:t>
      </w:r>
    </w:p>
    <w:p w14:paraId="3FB95729" w14:textId="77777777" w:rsidR="00180280" w:rsidRPr="00E9715A" w:rsidRDefault="00180280" w:rsidP="00180280">
      <w:pPr>
        <w:pStyle w:val="BodyText"/>
        <w:numPr>
          <w:ilvl w:val="2"/>
          <w:numId w:val="23"/>
        </w:numPr>
        <w:spacing w:before="0" w:after="60" w:line="240" w:lineRule="auto"/>
        <w:ind w:left="1440"/>
        <w:jc w:val="both"/>
      </w:pPr>
      <w:r w:rsidRPr="00E9715A">
        <w:t xml:space="preserve">Provisions </w:t>
      </w:r>
      <w:r>
        <w:t>are</w:t>
      </w:r>
      <w:r w:rsidRPr="00E9715A">
        <w:t xml:space="preserve"> reviewed at each period end and balance sheet date </w:t>
      </w:r>
      <w:r>
        <w:t>are</w:t>
      </w:r>
      <w:r w:rsidRPr="00E9715A">
        <w:t xml:space="preserve"> adjusted to reflect the current best estimate.</w:t>
      </w:r>
    </w:p>
    <w:p w14:paraId="445193AA" w14:textId="77777777" w:rsidR="00180280" w:rsidRPr="00E9715A" w:rsidRDefault="00180280" w:rsidP="00180280">
      <w:pPr>
        <w:pStyle w:val="BodyText"/>
        <w:numPr>
          <w:ilvl w:val="2"/>
          <w:numId w:val="23"/>
        </w:numPr>
        <w:spacing w:before="0" w:after="60" w:line="240" w:lineRule="auto"/>
        <w:ind w:left="1440"/>
        <w:jc w:val="both"/>
      </w:pPr>
      <w:r w:rsidRPr="00E9715A">
        <w:t>Provision</w:t>
      </w:r>
      <w:r>
        <w:t>s</w:t>
      </w:r>
      <w:r w:rsidRPr="00E9715A">
        <w:t xml:space="preserve"> </w:t>
      </w:r>
      <w:r>
        <w:t>are</w:t>
      </w:r>
      <w:r w:rsidRPr="00E9715A">
        <w:t xml:space="preserve"> recognized in the same accounting period in which the related transactions took place. </w:t>
      </w:r>
    </w:p>
    <w:p w14:paraId="089ABD73" w14:textId="77777777" w:rsidR="00180280" w:rsidRPr="00E9715A" w:rsidRDefault="00180280" w:rsidP="00180280">
      <w:pPr>
        <w:pStyle w:val="BodyText"/>
        <w:numPr>
          <w:ilvl w:val="2"/>
          <w:numId w:val="23"/>
        </w:numPr>
        <w:spacing w:before="0" w:after="60" w:line="240" w:lineRule="auto"/>
        <w:ind w:left="1440"/>
        <w:jc w:val="both"/>
        <w:rPr>
          <w:b/>
          <w:bCs/>
          <w:i/>
          <w:iCs/>
        </w:rPr>
      </w:pPr>
      <w:r>
        <w:rPr>
          <w:b/>
          <w:bCs/>
          <w:i/>
          <w:iCs/>
        </w:rPr>
        <w:t>Provision for Contingent L</w:t>
      </w:r>
      <w:r w:rsidRPr="00E9715A">
        <w:rPr>
          <w:b/>
          <w:bCs/>
          <w:i/>
          <w:iCs/>
        </w:rPr>
        <w:t>oss</w:t>
      </w:r>
    </w:p>
    <w:p w14:paraId="33628C57" w14:textId="77777777" w:rsidR="00180280" w:rsidRPr="00E9715A" w:rsidRDefault="00180280" w:rsidP="00180280">
      <w:pPr>
        <w:pStyle w:val="BodyText"/>
        <w:numPr>
          <w:ilvl w:val="2"/>
          <w:numId w:val="24"/>
        </w:numPr>
        <w:spacing w:before="0" w:after="60" w:line="240" w:lineRule="auto"/>
        <w:ind w:left="1800" w:hanging="360"/>
        <w:jc w:val="both"/>
      </w:pPr>
      <w:r w:rsidRPr="00E9715A">
        <w:t xml:space="preserve">The accounting treatment of a contingent loss shall be determined by the expected outcome of the contingency. If it is likely that a contingency will result in a loss to the </w:t>
      </w:r>
      <w:r>
        <w:t>university</w:t>
      </w:r>
      <w:r w:rsidRPr="00E9715A">
        <w:t xml:space="preserve">, then the expected loss shall be provided for in the financial statements. </w:t>
      </w:r>
    </w:p>
    <w:p w14:paraId="66AEBBD9" w14:textId="77777777" w:rsidR="00180280" w:rsidRPr="00E9715A" w:rsidRDefault="00180280" w:rsidP="00180280">
      <w:pPr>
        <w:pStyle w:val="BodyText"/>
        <w:numPr>
          <w:ilvl w:val="2"/>
          <w:numId w:val="24"/>
        </w:numPr>
        <w:spacing w:before="0" w:after="60" w:line="240" w:lineRule="auto"/>
        <w:ind w:left="1800" w:hanging="360"/>
        <w:jc w:val="both"/>
      </w:pPr>
      <w:r w:rsidRPr="00E9715A">
        <w:t>If there is conflicting or insufficient evidence for estimating the amount of a contingent loss, then disclosure shall be made for the existence and nature of the contingency.</w:t>
      </w:r>
    </w:p>
    <w:p w14:paraId="5869504B" w14:textId="77777777" w:rsidR="00180280" w:rsidRPr="00E9715A" w:rsidRDefault="00180280" w:rsidP="00180280">
      <w:pPr>
        <w:pStyle w:val="BodyText"/>
        <w:numPr>
          <w:ilvl w:val="2"/>
          <w:numId w:val="23"/>
        </w:numPr>
        <w:spacing w:before="0" w:after="60" w:line="240" w:lineRule="auto"/>
        <w:ind w:left="1440"/>
        <w:jc w:val="both"/>
        <w:rPr>
          <w:b/>
          <w:bCs/>
          <w:i/>
          <w:iCs/>
        </w:rPr>
      </w:pPr>
      <w:r w:rsidRPr="00E9715A">
        <w:rPr>
          <w:b/>
          <w:bCs/>
          <w:i/>
          <w:iCs/>
        </w:rPr>
        <w:t>Provision for Gratuity</w:t>
      </w:r>
    </w:p>
    <w:p w14:paraId="5B3A2CA1" w14:textId="77777777" w:rsidR="00180280" w:rsidRPr="00E9715A" w:rsidRDefault="00180280" w:rsidP="00180280">
      <w:pPr>
        <w:pStyle w:val="BodyText"/>
        <w:numPr>
          <w:ilvl w:val="2"/>
          <w:numId w:val="24"/>
        </w:numPr>
        <w:spacing w:before="0" w:after="60" w:line="240" w:lineRule="auto"/>
        <w:ind w:left="1800" w:hanging="360"/>
        <w:jc w:val="both"/>
      </w:pPr>
      <w:r w:rsidRPr="00E9715A">
        <w:t>The Gratuity provision shall be computed and recognized at the end of the financial year in line with applicable International Accounting Standard (IFRS)/IPSAS and UAE Labor</w:t>
      </w:r>
      <w:r>
        <w:t xml:space="preserve"> Law</w:t>
      </w:r>
      <w:r w:rsidRPr="00E9715A">
        <w:t xml:space="preserve">.  </w:t>
      </w:r>
    </w:p>
    <w:p w14:paraId="61CEFF18" w14:textId="77777777" w:rsidR="00180280" w:rsidRPr="00E9715A" w:rsidRDefault="00180280" w:rsidP="00180280">
      <w:pPr>
        <w:pStyle w:val="BodyText"/>
        <w:numPr>
          <w:ilvl w:val="2"/>
          <w:numId w:val="24"/>
        </w:numPr>
        <w:spacing w:before="0" w:after="60" w:line="240" w:lineRule="auto"/>
        <w:ind w:left="1800" w:hanging="360"/>
        <w:jc w:val="both"/>
      </w:pPr>
      <w:r w:rsidRPr="00E9715A">
        <w:t>Provision for Gratuity shall be tested for sufficiency at the end of every year based on the change in employee salary and amendments in employee records.</w:t>
      </w:r>
    </w:p>
    <w:p w14:paraId="5D1D170E" w14:textId="77777777" w:rsidR="00180280" w:rsidRPr="00E9715A" w:rsidRDefault="00180280" w:rsidP="00180280">
      <w:pPr>
        <w:pStyle w:val="BodyText"/>
        <w:numPr>
          <w:ilvl w:val="2"/>
          <w:numId w:val="23"/>
        </w:numPr>
        <w:spacing w:before="0" w:after="60" w:line="240" w:lineRule="auto"/>
        <w:ind w:left="1440"/>
        <w:jc w:val="both"/>
        <w:rPr>
          <w:b/>
          <w:bCs/>
          <w:i/>
          <w:iCs/>
        </w:rPr>
      </w:pPr>
      <w:r w:rsidRPr="00E9715A">
        <w:rPr>
          <w:b/>
          <w:bCs/>
          <w:i/>
          <w:iCs/>
        </w:rPr>
        <w:t>Provision for Pension</w:t>
      </w:r>
    </w:p>
    <w:p w14:paraId="400A5E09" w14:textId="77777777" w:rsidR="00180280" w:rsidRPr="0028678A" w:rsidRDefault="00180280" w:rsidP="00180280">
      <w:pPr>
        <w:pStyle w:val="BodyText"/>
        <w:numPr>
          <w:ilvl w:val="2"/>
          <w:numId w:val="24"/>
        </w:numPr>
        <w:spacing w:before="0" w:after="60" w:line="240" w:lineRule="auto"/>
        <w:ind w:left="1800" w:hanging="360"/>
        <w:jc w:val="both"/>
      </w:pPr>
      <w:r w:rsidRPr="0028678A">
        <w:t xml:space="preserve">The liability on account of pension for UAE Nationals shall be provided for as per applicable UAE Labor law. </w:t>
      </w:r>
    </w:p>
    <w:p w14:paraId="68C652F6" w14:textId="77777777" w:rsidR="00180280" w:rsidRPr="0028678A" w:rsidRDefault="00180280" w:rsidP="00180280">
      <w:pPr>
        <w:pStyle w:val="BodyText"/>
        <w:numPr>
          <w:ilvl w:val="2"/>
          <w:numId w:val="23"/>
        </w:numPr>
        <w:spacing w:before="0" w:after="60" w:line="240" w:lineRule="auto"/>
        <w:ind w:left="1440"/>
        <w:jc w:val="both"/>
        <w:rPr>
          <w:b/>
          <w:bCs/>
          <w:i/>
          <w:iCs/>
        </w:rPr>
      </w:pPr>
      <w:r>
        <w:rPr>
          <w:b/>
          <w:bCs/>
          <w:i/>
          <w:iCs/>
        </w:rPr>
        <w:t>Provision for Other E</w:t>
      </w:r>
      <w:r w:rsidRPr="0028678A">
        <w:rPr>
          <w:b/>
          <w:bCs/>
          <w:i/>
          <w:iCs/>
        </w:rPr>
        <w:t>xpenses</w:t>
      </w:r>
    </w:p>
    <w:p w14:paraId="1B69A373" w14:textId="77777777" w:rsidR="00180280" w:rsidRPr="0028678A" w:rsidRDefault="00180280" w:rsidP="00180280">
      <w:pPr>
        <w:pStyle w:val="BodyText"/>
        <w:numPr>
          <w:ilvl w:val="2"/>
          <w:numId w:val="24"/>
        </w:numPr>
        <w:spacing w:before="0" w:after="60" w:line="240" w:lineRule="auto"/>
        <w:ind w:left="1800" w:hanging="360"/>
        <w:jc w:val="both"/>
      </w:pPr>
      <w:r w:rsidRPr="0028678A">
        <w:t>Provision for expenses shall be calculated based on the past estimates or the value of services/materials received against the contract/purchase order.</w:t>
      </w:r>
    </w:p>
    <w:p w14:paraId="3EB044D3" w14:textId="77777777" w:rsidR="00180280" w:rsidRPr="00871FC5" w:rsidRDefault="00180280" w:rsidP="00180280">
      <w:pPr>
        <w:pStyle w:val="BodyText"/>
        <w:numPr>
          <w:ilvl w:val="2"/>
          <w:numId w:val="23"/>
        </w:numPr>
        <w:spacing w:before="0" w:after="60" w:line="240" w:lineRule="auto"/>
        <w:ind w:left="1440"/>
        <w:jc w:val="both"/>
        <w:rPr>
          <w:b/>
          <w:bCs/>
          <w:i/>
          <w:iCs/>
        </w:rPr>
      </w:pPr>
      <w:r w:rsidRPr="00871FC5">
        <w:rPr>
          <w:b/>
          <w:bCs/>
          <w:i/>
          <w:iCs/>
        </w:rPr>
        <w:t>Provision for Leave Allowance</w:t>
      </w:r>
    </w:p>
    <w:p w14:paraId="0B4D2886" w14:textId="77777777" w:rsidR="00180280" w:rsidRPr="0028678A" w:rsidRDefault="00180280" w:rsidP="00180280">
      <w:pPr>
        <w:pStyle w:val="BodyText"/>
        <w:numPr>
          <w:ilvl w:val="2"/>
          <w:numId w:val="24"/>
        </w:numPr>
        <w:spacing w:before="0" w:after="60" w:line="240" w:lineRule="auto"/>
        <w:ind w:left="1800" w:hanging="360"/>
        <w:jc w:val="both"/>
      </w:pPr>
      <w:r w:rsidRPr="0028678A">
        <w:t>Accruals for employees leave allowance balance for the year shall be accounted for at the reporting date.</w:t>
      </w:r>
    </w:p>
    <w:p w14:paraId="2A18564D" w14:textId="77777777" w:rsidR="00180280" w:rsidRPr="00E9715A" w:rsidRDefault="00180280" w:rsidP="00180280">
      <w:pPr>
        <w:pStyle w:val="BodyText"/>
        <w:numPr>
          <w:ilvl w:val="1"/>
          <w:numId w:val="23"/>
        </w:numPr>
        <w:spacing w:before="240" w:after="120" w:line="240" w:lineRule="auto"/>
        <w:ind w:left="734" w:hanging="547"/>
        <w:jc w:val="both"/>
        <w:rPr>
          <w:i/>
          <w:iCs/>
          <w:sz w:val="24"/>
          <w:szCs w:val="24"/>
        </w:rPr>
      </w:pPr>
      <w:r w:rsidRPr="00E9715A">
        <w:rPr>
          <w:i/>
          <w:iCs/>
          <w:sz w:val="24"/>
          <w:szCs w:val="24"/>
        </w:rPr>
        <w:t>Financial Statements</w:t>
      </w:r>
    </w:p>
    <w:p w14:paraId="02B3959A" w14:textId="77777777" w:rsidR="00180280" w:rsidRPr="00E01B5F" w:rsidRDefault="00180280" w:rsidP="00180280">
      <w:pPr>
        <w:pStyle w:val="BodyText"/>
        <w:numPr>
          <w:ilvl w:val="2"/>
          <w:numId w:val="23"/>
        </w:numPr>
        <w:spacing w:before="0" w:after="60" w:line="240" w:lineRule="auto"/>
        <w:ind w:left="1440"/>
        <w:jc w:val="both"/>
      </w:pPr>
      <w:r w:rsidRPr="00E01B5F">
        <w:t xml:space="preserve">Financial Statements shall be prepared on a monthly, quarterly and annual basis in accordance with International Accounting Standards/IPSAS and IFRS Financial Statements and includes </w:t>
      </w:r>
      <w:r>
        <w:t xml:space="preserve">a </w:t>
      </w:r>
      <w:r w:rsidRPr="00E01B5F">
        <w:t xml:space="preserve">Statement of Financial position, </w:t>
      </w:r>
      <w:r>
        <w:t xml:space="preserve">an </w:t>
      </w:r>
      <w:r w:rsidRPr="00E01B5F">
        <w:t xml:space="preserve">Income &amp; </w:t>
      </w:r>
      <w:r>
        <w:t>E</w:t>
      </w:r>
      <w:r w:rsidRPr="00E01B5F">
        <w:t xml:space="preserve">xpenditure statement and </w:t>
      </w:r>
      <w:r>
        <w:t xml:space="preserve">a </w:t>
      </w:r>
      <w:r w:rsidRPr="00E01B5F">
        <w:t>Cash Flow Statement along with the notes to accounts.</w:t>
      </w:r>
    </w:p>
    <w:p w14:paraId="3E7EEF51" w14:textId="77777777" w:rsidR="00180280" w:rsidRPr="00E01B5F" w:rsidRDefault="00180280" w:rsidP="00180280">
      <w:pPr>
        <w:pStyle w:val="BodyText"/>
        <w:numPr>
          <w:ilvl w:val="2"/>
          <w:numId w:val="23"/>
        </w:numPr>
        <w:spacing w:before="0" w:after="60" w:line="240" w:lineRule="auto"/>
        <w:ind w:left="1440"/>
        <w:jc w:val="both"/>
      </w:pPr>
      <w:r w:rsidRPr="00E01B5F">
        <w:t>Financial Statements shall be prepared in the denomination of UAE Dirham.</w:t>
      </w:r>
    </w:p>
    <w:p w14:paraId="26AFBD03" w14:textId="77777777" w:rsidR="00180280" w:rsidRPr="00E01B5F" w:rsidRDefault="00180280" w:rsidP="00180280">
      <w:pPr>
        <w:pStyle w:val="BodyText"/>
        <w:numPr>
          <w:ilvl w:val="2"/>
          <w:numId w:val="23"/>
        </w:numPr>
        <w:spacing w:before="0" w:after="60" w:line="240" w:lineRule="auto"/>
        <w:ind w:left="1440"/>
        <w:jc w:val="both"/>
      </w:pPr>
      <w:r w:rsidRPr="00E01B5F">
        <w:t>Periodic Financial Statements are reviewed and approved</w:t>
      </w:r>
      <w:r>
        <w:t xml:space="preserve"> as per the </w:t>
      </w:r>
      <w:proofErr w:type="spellStart"/>
      <w:proofErr w:type="gramStart"/>
      <w:r>
        <w:t>DoA</w:t>
      </w:r>
      <w:proofErr w:type="spellEnd"/>
      <w:proofErr w:type="gramEnd"/>
      <w:r w:rsidRPr="00E01B5F">
        <w:t xml:space="preserve">.  </w:t>
      </w:r>
    </w:p>
    <w:p w14:paraId="3EF2EA9D" w14:textId="77777777" w:rsidR="00180280" w:rsidRDefault="00180280" w:rsidP="00180280">
      <w:pPr>
        <w:pStyle w:val="BodyText"/>
        <w:numPr>
          <w:ilvl w:val="2"/>
          <w:numId w:val="23"/>
        </w:numPr>
        <w:spacing w:before="0" w:after="60" w:line="240" w:lineRule="auto"/>
        <w:ind w:left="1440"/>
        <w:jc w:val="both"/>
      </w:pPr>
      <w:r w:rsidRPr="00E01B5F">
        <w:t>Timelines for the preparation and review of financial statements for external reporting purposes will be in line with any legislative, funding agency or University Board/Executive Management requirements.</w:t>
      </w:r>
    </w:p>
    <w:p w14:paraId="081F70AA" w14:textId="77777777" w:rsidR="00180280" w:rsidRPr="00141AC4" w:rsidRDefault="00180280" w:rsidP="00180280">
      <w:pPr>
        <w:pStyle w:val="BodyText"/>
        <w:numPr>
          <w:ilvl w:val="2"/>
          <w:numId w:val="23"/>
        </w:numPr>
        <w:spacing w:before="0" w:after="60" w:line="240" w:lineRule="auto"/>
        <w:ind w:left="1440"/>
        <w:jc w:val="both"/>
      </w:pPr>
      <w:r w:rsidRPr="00141AC4">
        <w:t>Treatment  for events occurred after Balance sheet date and for prior period adjustments  are to be carried out in accordance with the concerned provision in IFRS/IPSAS</w:t>
      </w:r>
    </w:p>
    <w:p w14:paraId="5566FB46" w14:textId="77777777" w:rsidR="00180280" w:rsidRPr="00180280" w:rsidRDefault="00180280" w:rsidP="00180280"/>
    <w:p w14:paraId="42EBED98" w14:textId="6A838430" w:rsidR="00701831" w:rsidRDefault="00B70A97" w:rsidP="00AA3CF0">
      <w:pPr>
        <w:pStyle w:val="Heading1"/>
        <w:spacing w:line="240" w:lineRule="auto"/>
        <w:jc w:val="both"/>
      </w:pPr>
      <w:bookmarkStart w:id="5" w:name="_Toc482863690"/>
      <w:r>
        <w:t>SECTION 6</w:t>
      </w:r>
      <w:r>
        <w:tab/>
      </w:r>
      <w:r w:rsidR="00AA3CF0">
        <w:t>RESPONSIBILITIES</w:t>
      </w:r>
      <w:bookmarkEnd w:id="5"/>
    </w:p>
    <w:p w14:paraId="181E8F3E" w14:textId="77777777" w:rsidR="00180280" w:rsidRPr="00E36764" w:rsidRDefault="00180280" w:rsidP="00180280">
      <w:pPr>
        <w:numPr>
          <w:ilvl w:val="1"/>
          <w:numId w:val="6"/>
        </w:numPr>
        <w:jc w:val="both"/>
      </w:pPr>
      <w:r w:rsidRPr="00E36764">
        <w:t>Enforcement of this policy is the responsibility of the Vice President of Finance and Business Development and Head of Finance</w:t>
      </w:r>
    </w:p>
    <w:p w14:paraId="6769E921" w14:textId="77777777" w:rsidR="00180280" w:rsidRPr="00E36764" w:rsidRDefault="00180280" w:rsidP="00180280">
      <w:pPr>
        <w:numPr>
          <w:ilvl w:val="1"/>
          <w:numId w:val="6"/>
        </w:numPr>
        <w:jc w:val="both"/>
      </w:pPr>
      <w:r w:rsidRPr="00E36764">
        <w:t>The confidentiality regarding the actions that form part of the financial reporting function rests with Budget, AP, AR, Business Development &amp; GL units of the Finance department and other departments like HR &amp; Procurement</w:t>
      </w:r>
    </w:p>
    <w:p w14:paraId="65218C40" w14:textId="77777777" w:rsidR="00180280" w:rsidRPr="00E36764" w:rsidRDefault="00180280" w:rsidP="00180280">
      <w:pPr>
        <w:numPr>
          <w:ilvl w:val="1"/>
          <w:numId w:val="6"/>
        </w:numPr>
        <w:jc w:val="both"/>
      </w:pPr>
      <w:r w:rsidRPr="00E36764">
        <w:t>Once the Financial statements are issued and signed off, approval from VP Finance/ Director Finance  is required before they are circulated or shared</w:t>
      </w:r>
    </w:p>
    <w:p w14:paraId="530E575A" w14:textId="77777777" w:rsidR="00180280" w:rsidRPr="00E36764" w:rsidRDefault="00180280" w:rsidP="00180280">
      <w:pPr>
        <w:numPr>
          <w:ilvl w:val="1"/>
          <w:numId w:val="6"/>
        </w:numPr>
        <w:jc w:val="both"/>
      </w:pPr>
      <w:r w:rsidRPr="00E36764">
        <w:t>The responsibility to maintain the data in an orderly format electronically and ensure optimum audit trail rests with the concerned units listed in points 6.2 and 6.3</w:t>
      </w:r>
    </w:p>
    <w:p w14:paraId="683A0B4F" w14:textId="77777777" w:rsidR="00180280" w:rsidRPr="00E36764" w:rsidRDefault="00180280" w:rsidP="00180280">
      <w:pPr>
        <w:numPr>
          <w:ilvl w:val="1"/>
          <w:numId w:val="6"/>
        </w:numPr>
        <w:jc w:val="both"/>
      </w:pPr>
      <w:r w:rsidRPr="00E36764">
        <w:t>Any ad-hoc report shall be approved by VP Finance/Director Finance</w:t>
      </w:r>
    </w:p>
    <w:p w14:paraId="7316DB88" w14:textId="77777777" w:rsidR="00647565" w:rsidRPr="00647565" w:rsidRDefault="00647565" w:rsidP="00647565">
      <w:pPr>
        <w:spacing w:after="0" w:line="240" w:lineRule="auto"/>
        <w:rPr>
          <w:rFonts w:ascii="Times New Roman" w:eastAsia="Calibri" w:hAnsi="Times New Roman" w:cs="Times New Roman"/>
          <w:sz w:val="22"/>
          <w:szCs w:val="22"/>
        </w:rPr>
      </w:pPr>
    </w:p>
    <w:p w14:paraId="72C5A774" w14:textId="4ED4D41A" w:rsidR="00647565" w:rsidRPr="00647565" w:rsidRDefault="00647565" w:rsidP="00727808">
      <w:pPr>
        <w:spacing w:after="0" w:line="240" w:lineRule="auto"/>
        <w:jc w:val="center"/>
      </w:pPr>
      <w:bookmarkStart w:id="6" w:name="_GoBack"/>
      <w:bookmarkEnd w:id="6"/>
      <w:r w:rsidRPr="00647565">
        <w:rPr>
          <w:rFonts w:ascii="Times New Roman" w:eastAsia="Calibri" w:hAnsi="Times New Roman" w:cs="Times New Roman"/>
          <w:sz w:val="22"/>
          <w:szCs w:val="22"/>
        </w:rPr>
        <w:t>END OF DOCUMENT</w:t>
      </w:r>
    </w:p>
    <w:sectPr w:rsidR="00647565" w:rsidRPr="00647565" w:rsidSect="0017412E">
      <w:headerReference w:type="default" r:id="rId12"/>
      <w:footerReference w:type="default" r:id="rId13"/>
      <w:pgSz w:w="11907" w:h="16839" w:code="9"/>
      <w:pgMar w:top="1440" w:right="1440" w:bottom="1440" w:left="1440" w:header="720" w:footer="3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E3FBD4" w14:textId="77777777" w:rsidR="00C83F81" w:rsidRDefault="00C83F81" w:rsidP="003951E3">
      <w:pPr>
        <w:spacing w:after="0" w:line="240" w:lineRule="auto"/>
      </w:pPr>
      <w:r>
        <w:separator/>
      </w:r>
    </w:p>
  </w:endnote>
  <w:endnote w:type="continuationSeparator" w:id="0">
    <w:p w14:paraId="53FD8718" w14:textId="77777777" w:rsidR="00C83F81" w:rsidRDefault="00C83F81" w:rsidP="00395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FB7DCF" w14:textId="1023C74F" w:rsidR="003951E3" w:rsidRDefault="003951E3" w:rsidP="003951E3">
    <w:pPr>
      <w:tabs>
        <w:tab w:val="center" w:pos="4680"/>
        <w:tab w:val="right" w:pos="9360"/>
      </w:tabs>
      <w:spacing w:after="0" w:line="240" w:lineRule="auto"/>
      <w:jc w:val="right"/>
      <w:rPr>
        <w:rFonts w:ascii="Calibri" w:eastAsia="Calibri" w:hAnsi="Calibri" w:cs="Times New Roman"/>
        <w:smallCaps/>
        <w:sz w:val="22"/>
        <w:szCs w:val="22"/>
      </w:rPr>
    </w:pPr>
    <w:r w:rsidRPr="00D41F1F">
      <w:rPr>
        <w:rFonts w:ascii="Calibri" w:eastAsia="Calibri" w:hAnsi="Calibri" w:cs="Times New Roman"/>
        <w:b/>
        <w:smallCaps/>
        <w:sz w:val="22"/>
        <w:szCs w:val="22"/>
      </w:rPr>
      <w:t xml:space="preserve">KUP </w:t>
    </w:r>
    <w:r w:rsidR="00606514">
      <w:rPr>
        <w:rFonts w:ascii="Calibri" w:eastAsia="Calibri" w:hAnsi="Calibri" w:cs="Times New Roman"/>
        <w:b/>
        <w:smallCaps/>
        <w:sz w:val="22"/>
        <w:szCs w:val="22"/>
      </w:rPr>
      <w:t>6010 Financial Reporting</w:t>
    </w:r>
    <w:r w:rsidRPr="003951E3">
      <w:rPr>
        <w:rFonts w:ascii="Calibri" w:eastAsia="Calibri" w:hAnsi="Calibri" w:cs="Times New Roman"/>
        <w:b/>
        <w:smallCaps/>
        <w:sz w:val="22"/>
        <w:szCs w:val="22"/>
      </w:rPr>
      <w:tab/>
    </w:r>
    <w:r w:rsidRPr="003951E3">
      <w:rPr>
        <w:rFonts w:ascii="Calibri" w:eastAsia="Calibri" w:hAnsi="Calibri" w:cs="Times New Roman"/>
        <w:b/>
        <w:smallCaps/>
        <w:sz w:val="22"/>
        <w:szCs w:val="22"/>
      </w:rPr>
      <w:tab/>
      <w:t xml:space="preserve">Page </w:t>
    </w:r>
    <w:r w:rsidRPr="003951E3">
      <w:rPr>
        <w:rFonts w:ascii="Calibri" w:eastAsia="Calibri" w:hAnsi="Calibri" w:cs="Times New Roman"/>
        <w:smallCaps/>
        <w:sz w:val="22"/>
        <w:szCs w:val="22"/>
      </w:rPr>
      <w:fldChar w:fldCharType="begin"/>
    </w:r>
    <w:r w:rsidRPr="003951E3">
      <w:rPr>
        <w:rFonts w:ascii="Calibri" w:eastAsia="Calibri" w:hAnsi="Calibri" w:cs="Times New Roman"/>
        <w:b/>
        <w:smallCaps/>
        <w:sz w:val="22"/>
        <w:szCs w:val="22"/>
      </w:rPr>
      <w:instrText xml:space="preserve"> PAGE  \* Arabic  \* MERGEFORMAT </w:instrText>
    </w:r>
    <w:r w:rsidRPr="003951E3">
      <w:rPr>
        <w:rFonts w:ascii="Calibri" w:eastAsia="Calibri" w:hAnsi="Calibri" w:cs="Times New Roman"/>
        <w:smallCaps/>
        <w:sz w:val="22"/>
        <w:szCs w:val="22"/>
      </w:rPr>
      <w:fldChar w:fldCharType="separate"/>
    </w:r>
    <w:r w:rsidR="00D41F1F">
      <w:rPr>
        <w:rFonts w:ascii="Calibri" w:eastAsia="Calibri" w:hAnsi="Calibri" w:cs="Times New Roman"/>
        <w:b/>
        <w:smallCaps/>
        <w:noProof/>
        <w:sz w:val="22"/>
        <w:szCs w:val="22"/>
      </w:rPr>
      <w:t>4</w:t>
    </w:r>
    <w:r w:rsidRPr="003951E3">
      <w:rPr>
        <w:rFonts w:ascii="Calibri" w:eastAsia="Calibri" w:hAnsi="Calibri" w:cs="Times New Roman"/>
        <w:smallCaps/>
        <w:sz w:val="22"/>
        <w:szCs w:val="22"/>
      </w:rPr>
      <w:fldChar w:fldCharType="end"/>
    </w:r>
    <w:r w:rsidRPr="003951E3">
      <w:rPr>
        <w:rFonts w:ascii="Calibri" w:eastAsia="Calibri" w:hAnsi="Calibri" w:cs="Times New Roman"/>
        <w:b/>
        <w:smallCaps/>
        <w:sz w:val="22"/>
        <w:szCs w:val="22"/>
      </w:rPr>
      <w:t xml:space="preserve"> of </w:t>
    </w:r>
    <w:r w:rsidRPr="003951E3">
      <w:rPr>
        <w:rFonts w:ascii="Calibri" w:eastAsia="Calibri" w:hAnsi="Calibri" w:cs="Times New Roman"/>
        <w:smallCaps/>
        <w:sz w:val="22"/>
        <w:szCs w:val="22"/>
      </w:rPr>
      <w:fldChar w:fldCharType="begin"/>
    </w:r>
    <w:r w:rsidRPr="003951E3">
      <w:rPr>
        <w:rFonts w:ascii="Calibri" w:eastAsia="Calibri" w:hAnsi="Calibri" w:cs="Times New Roman"/>
        <w:b/>
        <w:smallCaps/>
        <w:sz w:val="22"/>
        <w:szCs w:val="22"/>
      </w:rPr>
      <w:instrText xml:space="preserve"> NUMPAGES  \* Arabic  \* MERGEFORMAT </w:instrText>
    </w:r>
    <w:r w:rsidRPr="003951E3">
      <w:rPr>
        <w:rFonts w:ascii="Calibri" w:eastAsia="Calibri" w:hAnsi="Calibri" w:cs="Times New Roman"/>
        <w:smallCaps/>
        <w:sz w:val="22"/>
        <w:szCs w:val="22"/>
      </w:rPr>
      <w:fldChar w:fldCharType="separate"/>
    </w:r>
    <w:r w:rsidR="00D41F1F">
      <w:rPr>
        <w:rFonts w:ascii="Calibri" w:eastAsia="Calibri" w:hAnsi="Calibri" w:cs="Times New Roman"/>
        <w:b/>
        <w:smallCaps/>
        <w:noProof/>
        <w:sz w:val="22"/>
        <w:szCs w:val="22"/>
      </w:rPr>
      <w:t>4</w:t>
    </w:r>
    <w:r w:rsidRPr="003951E3">
      <w:rPr>
        <w:rFonts w:ascii="Calibri" w:eastAsia="Calibri" w:hAnsi="Calibri" w:cs="Times New Roman"/>
        <w:smallCaps/>
        <w:sz w:val="22"/>
        <w:szCs w:val="22"/>
      </w:rPr>
      <w:fldChar w:fldCharType="end"/>
    </w:r>
  </w:p>
  <w:p w14:paraId="0B711C4C" w14:textId="77777777" w:rsidR="004F4C4F" w:rsidRDefault="004F4C4F" w:rsidP="004F4C4F">
    <w:pPr>
      <w:autoSpaceDE w:val="0"/>
      <w:autoSpaceDN w:val="0"/>
      <w:adjustRightInd w:val="0"/>
      <w:spacing w:after="0" w:line="240" w:lineRule="auto"/>
      <w:jc w:val="center"/>
      <w:rPr>
        <w:sz w:val="14"/>
        <w:szCs w:val="14"/>
      </w:rPr>
    </w:pPr>
  </w:p>
  <w:p w14:paraId="33AF69DE" w14:textId="4A0EBDB1" w:rsidR="004F4C4F" w:rsidRPr="004F4C4F" w:rsidRDefault="00B37A39" w:rsidP="00246F53">
    <w:pPr>
      <w:autoSpaceDE w:val="0"/>
      <w:autoSpaceDN w:val="0"/>
      <w:adjustRightInd w:val="0"/>
      <w:spacing w:after="0" w:line="240" w:lineRule="auto"/>
      <w:jc w:val="center"/>
      <w:rPr>
        <w:rFonts w:eastAsia="Calibri"/>
        <w:b/>
        <w:smallCaps/>
        <w:sz w:val="22"/>
        <w:szCs w:val="22"/>
      </w:rPr>
    </w:pPr>
    <w:r>
      <w:rPr>
        <w:sz w:val="14"/>
        <w:szCs w:val="14"/>
      </w:rPr>
      <w:t>The</w:t>
    </w:r>
    <w:r w:rsidR="004F4C4F" w:rsidRPr="004F4C4F">
      <w:rPr>
        <w:sz w:val="14"/>
        <w:szCs w:val="14"/>
      </w:rPr>
      <w:t xml:space="preserve"> </w:t>
    </w:r>
    <w:r w:rsidR="00246F53">
      <w:rPr>
        <w:sz w:val="14"/>
        <w:szCs w:val="14"/>
      </w:rPr>
      <w:t xml:space="preserve">online </w:t>
    </w:r>
    <w:r w:rsidR="004F4C4F" w:rsidRPr="004F4C4F">
      <w:rPr>
        <w:sz w:val="14"/>
        <w:szCs w:val="14"/>
      </w:rPr>
      <w:t xml:space="preserve">version </w:t>
    </w:r>
    <w:r>
      <w:rPr>
        <w:sz w:val="14"/>
        <w:szCs w:val="14"/>
      </w:rPr>
      <w:t xml:space="preserve">of this </w:t>
    </w:r>
    <w:r w:rsidR="00B811CE">
      <w:rPr>
        <w:sz w:val="14"/>
        <w:szCs w:val="14"/>
      </w:rPr>
      <w:t xml:space="preserve">policy </w:t>
    </w:r>
    <w:r>
      <w:rPr>
        <w:sz w:val="14"/>
        <w:szCs w:val="14"/>
      </w:rPr>
      <w:t>document is definitive</w:t>
    </w:r>
    <w:r w:rsidR="004F4C4F" w:rsidRPr="004F4C4F">
      <w:rPr>
        <w:sz w:val="14"/>
        <w:szCs w:val="14"/>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76C662" w14:textId="77777777" w:rsidR="00C83F81" w:rsidRDefault="00C83F81" w:rsidP="003951E3">
      <w:pPr>
        <w:spacing w:after="0" w:line="240" w:lineRule="auto"/>
      </w:pPr>
      <w:r>
        <w:separator/>
      </w:r>
    </w:p>
  </w:footnote>
  <w:footnote w:type="continuationSeparator" w:id="0">
    <w:p w14:paraId="28A28CBD" w14:textId="77777777" w:rsidR="00C83F81" w:rsidRDefault="00C83F81" w:rsidP="003951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B2B521" w14:textId="59C16185" w:rsidR="003951E3" w:rsidRDefault="00A57B32" w:rsidP="003951E3">
    <w:pPr>
      <w:spacing w:after="360"/>
    </w:pPr>
    <w:r>
      <w:rPr>
        <w:noProof/>
      </w:rPr>
      <mc:AlternateContent>
        <mc:Choice Requires="wps">
          <w:drawing>
            <wp:anchor distT="45720" distB="45720" distL="114300" distR="114300" simplePos="0" relativeHeight="251659264" behindDoc="0" locked="0" layoutInCell="1" allowOverlap="1" wp14:anchorId="11D33673" wp14:editId="34A48D22">
              <wp:simplePos x="0" y="0"/>
              <wp:positionH relativeFrom="column">
                <wp:posOffset>3517415</wp:posOffset>
              </wp:positionH>
              <wp:positionV relativeFrom="paragraph">
                <wp:posOffset>105074</wp:posOffset>
              </wp:positionV>
              <wp:extent cx="2183130" cy="462280"/>
              <wp:effectExtent l="0" t="0" r="2667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3130" cy="462280"/>
                      </a:xfrm>
                      <a:prstGeom prst="rect">
                        <a:avLst/>
                      </a:prstGeom>
                      <a:solidFill>
                        <a:srgbClr val="FFFFFF"/>
                      </a:solidFill>
                      <a:ln w="9525">
                        <a:solidFill>
                          <a:srgbClr val="000000"/>
                        </a:solidFill>
                        <a:miter lim="800000"/>
                        <a:headEnd/>
                        <a:tailEnd/>
                      </a:ln>
                    </wps:spPr>
                    <wps:txbx>
                      <w:txbxContent>
                        <w:p w14:paraId="2358B1C6" w14:textId="001D14BE" w:rsidR="00A57B32" w:rsidRPr="00A57B32" w:rsidRDefault="00A57B32" w:rsidP="00A57B32">
                          <w:pPr>
                            <w:jc w:val="center"/>
                            <w:rPr>
                              <w:b/>
                              <w:bCs/>
                            </w:rPr>
                          </w:pPr>
                          <w:r w:rsidRPr="00A57B32">
                            <w:rPr>
                              <w:b/>
                              <w:bCs/>
                            </w:rPr>
                            <w:t>POLICY DOCUMENT</w:t>
                          </w:r>
                          <w:r>
                            <w:rPr>
                              <w:b/>
                              <w:bCs/>
                            </w:rPr>
                            <w:t xml:space="preserve"> </w:t>
                          </w:r>
                          <w:r w:rsidRPr="00A57B32">
                            <w:rPr>
                              <w:b/>
                              <w:bCs/>
                              <w:sz w:val="20"/>
                              <w:szCs w:val="20"/>
                            </w:rPr>
                            <w:t>INTERNAL USAGE ONLY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33673" id="_x0000_t202" coordsize="21600,21600" o:spt="202" path="m,l,21600r21600,l21600,xe">
              <v:stroke joinstyle="miter"/>
              <v:path gradientshapeok="t" o:connecttype="rect"/>
            </v:shapetype>
            <v:shape id="Text Box 2" o:spid="_x0000_s1026" type="#_x0000_t202" style="position:absolute;margin-left:276.95pt;margin-top:8.25pt;width:171.9pt;height:36.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">
              <v:textbox>
                <w:txbxContent>
                  <w:p w14:paraId="2358B1C6" w14:textId="001D14BE" w:rsidR="00A57B32" w:rsidRPr="00A57B32" w:rsidRDefault="00A57B32" w:rsidP="00A57B32">
                    <w:pPr>
                      <w:jc w:val="center"/>
                      <w:rPr>
                        <w:b/>
                        <w:bCs/>
                      </w:rPr>
                    </w:pPr>
                    <w:r w:rsidRPr="00A57B32">
                      <w:rPr>
                        <w:b/>
                        <w:bCs/>
                      </w:rPr>
                      <w:t>POLICY DOCUMENT</w:t>
                    </w:r>
                    <w:r>
                      <w:rPr>
                        <w:b/>
                        <w:bCs/>
                      </w:rPr>
                      <w:t xml:space="preserve"> </w:t>
                    </w:r>
                    <w:r w:rsidRPr="00A57B32">
                      <w:rPr>
                        <w:b/>
                        <w:bCs/>
                        <w:sz w:val="20"/>
                        <w:szCs w:val="20"/>
                      </w:rPr>
                      <w:t>INTERNAL USAGE ONLY</w:t>
                    </w:r>
                  </w:p>
                </w:txbxContent>
              </v:textbox>
              <w10:wrap type="square"/>
            </v:shape>
          </w:pict>
        </mc:Fallback>
      </mc:AlternateContent>
    </w:r>
    <w:r w:rsidR="00291781">
      <w:rPr>
        <w:noProof/>
      </w:rPr>
      <w:drawing>
        <wp:inline distT="0" distB="0" distL="0" distR="0" wp14:anchorId="52083C78" wp14:editId="0DFFEA75">
          <wp:extent cx="2136579" cy="677732"/>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U logo.jpg"/>
                  <pic:cNvPicPr/>
                </pic:nvPicPr>
                <pic:blipFill>
                  <a:blip r:embed="rId1">
                    <a:extLst>
                      <a:ext uri="{28A0092B-C50C-407E-A947-70E740481C1C}">
                        <a14:useLocalDpi xmlns:a14="http://schemas.microsoft.com/office/drawing/2010/main" val="0"/>
                      </a:ext>
                    </a:extLst>
                  </a:blip>
                  <a:stretch>
                    <a:fillRect/>
                  </a:stretch>
                </pic:blipFill>
                <pic:spPr>
                  <a:xfrm>
                    <a:off x="0" y="0"/>
                    <a:ext cx="2157483" cy="68436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39E1"/>
    <w:multiLevelType w:val="multilevel"/>
    <w:tmpl w:val="FCD4DCA4"/>
    <w:styleLink w:val="Style4"/>
    <w:lvl w:ilvl="0">
      <w:start w:val="3"/>
      <w:numFmt w:val="decimal"/>
      <w:lvlText w:val="%1."/>
      <w:lvlJc w:val="left"/>
      <w:pPr>
        <w:ind w:left="432" w:hanging="72"/>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340" w:hanging="900"/>
      </w:pPr>
      <w:rPr>
        <w:rFonts w:hint="default"/>
      </w:rPr>
    </w:lvl>
    <w:lvl w:ilvl="4">
      <w:start w:val="1"/>
      <w:numFmt w:val="decimal"/>
      <w:lvlText w:val="%1.%2.%3.%4.%5."/>
      <w:lvlJc w:val="left"/>
      <w:pPr>
        <w:tabs>
          <w:tab w:val="num" w:pos="2347"/>
        </w:tabs>
        <w:ind w:left="3427" w:hanging="108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446CEF"/>
    <w:multiLevelType w:val="multilevel"/>
    <w:tmpl w:val="57BE866C"/>
    <w:styleLink w:val="Style3"/>
    <w:lvl w:ilvl="0">
      <w:start w:val="2"/>
      <w:numFmt w:val="decimal"/>
      <w:lvlText w:val="%1."/>
      <w:lvlJc w:val="left"/>
      <w:pPr>
        <w:ind w:left="432" w:hanging="72"/>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340" w:hanging="900"/>
      </w:pPr>
      <w:rPr>
        <w:rFonts w:hint="default"/>
      </w:rPr>
    </w:lvl>
    <w:lvl w:ilvl="4">
      <w:start w:val="1"/>
      <w:numFmt w:val="decimal"/>
      <w:lvlText w:val="%1.%2.%3.%4.%5."/>
      <w:lvlJc w:val="left"/>
      <w:pPr>
        <w:ind w:left="3427" w:hanging="108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4E6715C"/>
    <w:multiLevelType w:val="multilevel"/>
    <w:tmpl w:val="C87EFE2E"/>
    <w:styleLink w:val="Style2"/>
    <w:lvl w:ilvl="0">
      <w:start w:val="3"/>
      <w:numFmt w:val="decimal"/>
      <w:lvlText w:val="%1."/>
      <w:lvlJc w:val="left"/>
      <w:pPr>
        <w:ind w:left="432" w:hanging="72"/>
      </w:pPr>
      <w:rPr>
        <w:rFonts w:hint="default"/>
      </w:rPr>
    </w:lvl>
    <w:lvl w:ilvl="1">
      <w:start w:val="1"/>
      <w:numFmt w:val="decimal"/>
      <w:lvlText w:val="%1.%2."/>
      <w:lvlJc w:val="left"/>
      <w:pPr>
        <w:ind w:left="792" w:hanging="72"/>
      </w:pPr>
      <w:rPr>
        <w:rFonts w:hint="default"/>
      </w:rPr>
    </w:lvl>
    <w:lvl w:ilvl="2">
      <w:start w:val="1"/>
      <w:numFmt w:val="decimal"/>
      <w:lvlText w:val="%1.%2.%3."/>
      <w:lvlJc w:val="left"/>
      <w:pPr>
        <w:ind w:left="1224" w:hanging="72"/>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E31660F"/>
    <w:multiLevelType w:val="multilevel"/>
    <w:tmpl w:val="C18245D4"/>
    <w:lvl w:ilvl="0">
      <w:start w:val="8"/>
      <w:numFmt w:val="none"/>
      <w:lvlText w:val="6."/>
      <w:lvlJc w:val="left"/>
      <w:pPr>
        <w:ind w:left="360" w:hanging="360"/>
      </w:pPr>
      <w:rPr>
        <w:rFonts w:hint="default"/>
      </w:rPr>
    </w:lvl>
    <w:lvl w:ilvl="1">
      <w:start w:val="1"/>
      <w:numFmt w:val="decimal"/>
      <w:lvlText w:val="6.%2."/>
      <w:lvlJc w:val="left"/>
      <w:pPr>
        <w:ind w:left="720" w:hanging="540"/>
      </w:pPr>
      <w:rPr>
        <w:rFonts w:hint="default"/>
        <w:b w:val="0"/>
        <w:bCs/>
      </w:rPr>
    </w:lvl>
    <w:lvl w:ilvl="2">
      <w:start w:val="1"/>
      <w:numFmt w:val="decimal"/>
      <w:lvlText w:val="%16.%2.%3."/>
      <w:lvlJc w:val="left"/>
      <w:pPr>
        <w:ind w:left="1440" w:hanging="720"/>
      </w:pPr>
      <w:rPr>
        <w:rFonts w:hint="default"/>
        <w:b w:val="0"/>
        <w:bCs/>
      </w:rPr>
    </w:lvl>
    <w:lvl w:ilvl="3">
      <w:start w:val="1"/>
      <w:numFmt w:val="decimal"/>
      <w:lvlText w:val="%16.%2.%3.%4."/>
      <w:lvlJc w:val="left"/>
      <w:pPr>
        <w:ind w:left="2340" w:hanging="900"/>
      </w:pPr>
      <w:rPr>
        <w:rFonts w:hint="default"/>
      </w:rPr>
    </w:lvl>
    <w:lvl w:ilvl="4">
      <w:start w:val="1"/>
      <w:numFmt w:val="decimal"/>
      <w:lvlText w:val="%16.%2.%3.%4.%5."/>
      <w:lvlJc w:val="left"/>
      <w:pPr>
        <w:ind w:left="3427" w:hanging="108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2DB5DA4"/>
    <w:multiLevelType w:val="hybridMultilevel"/>
    <w:tmpl w:val="4F806C52"/>
    <w:lvl w:ilvl="0" w:tplc="013006F8">
      <w:start w:val="1"/>
      <w:numFmt w:val="bullet"/>
      <w:lvlText w:val="•"/>
      <w:lvlJc w:val="left"/>
      <w:pPr>
        <w:ind w:left="907" w:hanging="360"/>
      </w:pPr>
      <w:rPr>
        <w:rFonts w:ascii="Times New Roman" w:hAnsi="Times New Roman"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5" w15:restartNumberingAfterBreak="0">
    <w:nsid w:val="23FF37AB"/>
    <w:multiLevelType w:val="multilevel"/>
    <w:tmpl w:val="07F82D8A"/>
    <w:lvl w:ilvl="0">
      <w:start w:val="1"/>
      <w:numFmt w:val="decimal"/>
      <w:lvlText w:val="%1.1"/>
      <w:lvlJc w:val="left"/>
      <w:pPr>
        <w:ind w:left="432" w:hanging="72"/>
      </w:pPr>
      <w:rPr>
        <w:rFonts w:hint="default"/>
      </w:rPr>
    </w:lvl>
    <w:lvl w:ilvl="1">
      <w:start w:val="1"/>
      <w:numFmt w:val="decimal"/>
      <w:lvlText w:val="%1.%2.1"/>
      <w:lvlJc w:val="left"/>
      <w:pPr>
        <w:ind w:left="792" w:hanging="72"/>
      </w:pPr>
      <w:rPr>
        <w:rFonts w:hint="default"/>
      </w:rPr>
    </w:lvl>
    <w:lvl w:ilvl="2">
      <w:start w:val="1"/>
      <w:numFmt w:val="decimal"/>
      <w:lvlText w:val="%1.%2.%3.1"/>
      <w:lvlJc w:val="left"/>
      <w:pPr>
        <w:ind w:left="1224" w:hanging="72"/>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5C81C07"/>
    <w:multiLevelType w:val="multilevel"/>
    <w:tmpl w:val="57BE866C"/>
    <w:numStyleLink w:val="Style3"/>
  </w:abstractNum>
  <w:abstractNum w:abstractNumId="7" w15:restartNumberingAfterBreak="0">
    <w:nsid w:val="2C777CAE"/>
    <w:multiLevelType w:val="multilevel"/>
    <w:tmpl w:val="1E02BA4A"/>
    <w:lvl w:ilvl="0">
      <w:start w:val="9"/>
      <w:numFmt w:val="none"/>
      <w:lvlText w:val="7."/>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7.%2.%3."/>
      <w:lvlJc w:val="left"/>
      <w:pPr>
        <w:ind w:left="1224" w:hanging="504"/>
      </w:pPr>
      <w:rPr>
        <w:rFonts w:hint="default"/>
      </w:rPr>
    </w:lvl>
    <w:lvl w:ilvl="3">
      <w:start w:val="1"/>
      <w:numFmt w:val="decimal"/>
      <w:lvlText w:val="%17.%2.%3.%4."/>
      <w:lvlJc w:val="left"/>
      <w:pPr>
        <w:ind w:left="1728" w:hanging="648"/>
      </w:pPr>
      <w:rPr>
        <w:rFonts w:hint="default"/>
      </w:rPr>
    </w:lvl>
    <w:lvl w:ilvl="4">
      <w:start w:val="1"/>
      <w:numFmt w:val="decimal"/>
      <w:lvlText w:val="%17.%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732352A"/>
    <w:multiLevelType w:val="multilevel"/>
    <w:tmpl w:val="C87EFE2E"/>
    <w:styleLink w:val="Style1"/>
    <w:lvl w:ilvl="0">
      <w:start w:val="2"/>
      <w:numFmt w:val="decimal"/>
      <w:lvlText w:val="%1."/>
      <w:lvlJc w:val="left"/>
      <w:pPr>
        <w:ind w:left="432" w:hanging="72"/>
      </w:pPr>
      <w:rPr>
        <w:rFonts w:hint="default"/>
      </w:rPr>
    </w:lvl>
    <w:lvl w:ilvl="1">
      <w:start w:val="1"/>
      <w:numFmt w:val="decimal"/>
      <w:lvlText w:val="%1.%2."/>
      <w:lvlJc w:val="left"/>
      <w:pPr>
        <w:ind w:left="792" w:hanging="72"/>
      </w:pPr>
      <w:rPr>
        <w:rFonts w:hint="default"/>
      </w:rPr>
    </w:lvl>
    <w:lvl w:ilvl="2">
      <w:start w:val="1"/>
      <w:numFmt w:val="decimal"/>
      <w:lvlText w:val="%1.%2.%3."/>
      <w:lvlJc w:val="left"/>
      <w:pPr>
        <w:ind w:left="1224" w:hanging="72"/>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8AA0A3D"/>
    <w:multiLevelType w:val="multilevel"/>
    <w:tmpl w:val="731ED590"/>
    <w:lvl w:ilvl="0">
      <w:start w:val="1"/>
      <w:numFmt w:val="decimal"/>
      <w:lvlText w:val="%1.1"/>
      <w:lvlJc w:val="left"/>
      <w:pPr>
        <w:ind w:left="432" w:hanging="72"/>
      </w:pPr>
      <w:rPr>
        <w:rFonts w:hint="default"/>
      </w:rPr>
    </w:lvl>
    <w:lvl w:ilvl="1">
      <w:start w:val="1"/>
      <w:numFmt w:val="decimal"/>
      <w:lvlText w:val="%1.%2.1"/>
      <w:lvlJc w:val="left"/>
      <w:pPr>
        <w:ind w:left="792" w:hanging="72"/>
      </w:pPr>
      <w:rPr>
        <w:rFonts w:hint="default"/>
      </w:rPr>
    </w:lvl>
    <w:lvl w:ilvl="2">
      <w:start w:val="1"/>
      <w:numFmt w:val="decimal"/>
      <w:lvlText w:val="%1.%2.%3.1"/>
      <w:lvlJc w:val="left"/>
      <w:pPr>
        <w:ind w:left="1224" w:hanging="72"/>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8C35B59"/>
    <w:multiLevelType w:val="multilevel"/>
    <w:tmpl w:val="C434AC98"/>
    <w:lvl w:ilvl="0">
      <w:start w:val="1"/>
      <w:numFmt w:val="decimal"/>
      <w:lvlText w:val="%1."/>
      <w:lvlJc w:val="left"/>
      <w:pPr>
        <w:ind w:left="360" w:hanging="36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340" w:hanging="900"/>
      </w:pPr>
      <w:rPr>
        <w:rFonts w:hint="default"/>
      </w:rPr>
    </w:lvl>
    <w:lvl w:ilvl="4">
      <w:start w:val="1"/>
      <w:numFmt w:val="decimal"/>
      <w:lvlText w:val="%1.%2.%3.%4.%5."/>
      <w:lvlJc w:val="left"/>
      <w:pPr>
        <w:ind w:left="3427" w:hanging="108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75E320F"/>
    <w:multiLevelType w:val="multilevel"/>
    <w:tmpl w:val="90A48982"/>
    <w:lvl w:ilvl="0">
      <w:start w:val="9"/>
      <w:numFmt w:val="none"/>
      <w:lvlText w:val="7."/>
      <w:lvlJc w:val="left"/>
      <w:pPr>
        <w:ind w:left="360" w:hanging="360"/>
      </w:pPr>
      <w:rPr>
        <w:rFonts w:hint="default"/>
      </w:rPr>
    </w:lvl>
    <w:lvl w:ilvl="1">
      <w:start w:val="1"/>
      <w:numFmt w:val="decimal"/>
      <w:lvlText w:val="7.%2."/>
      <w:lvlJc w:val="left"/>
      <w:pPr>
        <w:ind w:left="720" w:hanging="540"/>
      </w:pPr>
      <w:rPr>
        <w:rFonts w:hint="default"/>
      </w:rPr>
    </w:lvl>
    <w:lvl w:ilvl="2">
      <w:start w:val="1"/>
      <w:numFmt w:val="decimal"/>
      <w:lvlText w:val="%17.%2.%3."/>
      <w:lvlJc w:val="left"/>
      <w:pPr>
        <w:ind w:left="1440" w:hanging="720"/>
      </w:pPr>
      <w:rPr>
        <w:rFonts w:hint="default"/>
      </w:rPr>
    </w:lvl>
    <w:lvl w:ilvl="3">
      <w:start w:val="1"/>
      <w:numFmt w:val="decimal"/>
      <w:lvlText w:val="%17.%2.%3.%4."/>
      <w:lvlJc w:val="left"/>
      <w:pPr>
        <w:ind w:left="2340" w:hanging="900"/>
      </w:pPr>
      <w:rPr>
        <w:rFonts w:hint="default"/>
      </w:rPr>
    </w:lvl>
    <w:lvl w:ilvl="4">
      <w:start w:val="1"/>
      <w:numFmt w:val="decimal"/>
      <w:lvlText w:val="%17.%2.%3.%4.%5."/>
      <w:lvlJc w:val="left"/>
      <w:pPr>
        <w:ind w:left="3427" w:hanging="108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7955C0C"/>
    <w:multiLevelType w:val="multilevel"/>
    <w:tmpl w:val="2690E3F6"/>
    <w:lvl w:ilvl="0">
      <w:start w:val="5"/>
      <w:numFmt w:val="decimal"/>
      <w:lvlText w:val="%1"/>
      <w:lvlJc w:val="left"/>
      <w:pPr>
        <w:ind w:left="360" w:hanging="360"/>
      </w:pPr>
      <w:rPr>
        <w:rFonts w:hint="default"/>
        <w:i/>
      </w:rPr>
    </w:lvl>
    <w:lvl w:ilvl="1">
      <w:start w:val="1"/>
      <w:numFmt w:val="decimal"/>
      <w:lvlText w:val="%1.%2"/>
      <w:lvlJc w:val="left"/>
      <w:pPr>
        <w:ind w:left="360" w:hanging="360"/>
      </w:pPr>
      <w:rPr>
        <w:rFonts w:hint="default"/>
        <w:i w:val="0"/>
        <w:iCs/>
      </w:rPr>
    </w:lvl>
    <w:lvl w:ilvl="2">
      <w:start w:val="1"/>
      <w:numFmt w:val="bullet"/>
      <w:lvlText w:val="•"/>
      <w:lvlJc w:val="left"/>
      <w:pPr>
        <w:ind w:left="720" w:hanging="720"/>
      </w:pPr>
      <w:rPr>
        <w:rFonts w:ascii="Times New Roman" w:hAnsi="Times New Roman" w:hint="default"/>
        <w:i w:val="0"/>
        <w:iCs w:val="0"/>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440" w:hanging="1440"/>
      </w:pPr>
      <w:rPr>
        <w:rFonts w:hint="default"/>
        <w:i/>
      </w:rPr>
    </w:lvl>
  </w:abstractNum>
  <w:abstractNum w:abstractNumId="13" w15:restartNumberingAfterBreak="0">
    <w:nsid w:val="48F70052"/>
    <w:multiLevelType w:val="multilevel"/>
    <w:tmpl w:val="FCD4DCA4"/>
    <w:numStyleLink w:val="Style4"/>
  </w:abstractNum>
  <w:abstractNum w:abstractNumId="14" w15:restartNumberingAfterBreak="0">
    <w:nsid w:val="4A085A53"/>
    <w:multiLevelType w:val="hybridMultilevel"/>
    <w:tmpl w:val="E056D374"/>
    <w:lvl w:ilvl="0" w:tplc="013006F8">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A305AEE"/>
    <w:multiLevelType w:val="multilevel"/>
    <w:tmpl w:val="28D6FDFE"/>
    <w:lvl w:ilvl="0">
      <w:start w:val="5"/>
      <w:numFmt w:val="decimal"/>
      <w:lvlText w:val="%1"/>
      <w:lvlJc w:val="left"/>
      <w:pPr>
        <w:ind w:left="360" w:hanging="360"/>
      </w:pPr>
      <w:rPr>
        <w:rFonts w:hint="default"/>
        <w:i/>
      </w:rPr>
    </w:lvl>
    <w:lvl w:ilvl="1">
      <w:start w:val="1"/>
      <w:numFmt w:val="decimal"/>
      <w:lvlText w:val="%1.%2"/>
      <w:lvlJc w:val="left"/>
      <w:pPr>
        <w:ind w:left="360" w:hanging="360"/>
      </w:pPr>
      <w:rPr>
        <w:rFonts w:hint="default"/>
        <w:i w:val="0"/>
        <w:iCs/>
      </w:rPr>
    </w:lvl>
    <w:lvl w:ilvl="2">
      <w:start w:val="1"/>
      <w:numFmt w:val="decimal"/>
      <w:lvlText w:val="%1.%2.%3"/>
      <w:lvlJc w:val="left"/>
      <w:pPr>
        <w:ind w:left="720" w:hanging="720"/>
      </w:pPr>
      <w:rPr>
        <w:rFonts w:hint="default"/>
        <w:b w:val="0"/>
        <w:bCs w:val="0"/>
        <w:i w:val="0"/>
        <w:iCs w:val="0"/>
        <w:sz w:val="24"/>
        <w:szCs w:val="22"/>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440" w:hanging="1440"/>
      </w:pPr>
      <w:rPr>
        <w:rFonts w:hint="default"/>
        <w:i/>
      </w:rPr>
    </w:lvl>
  </w:abstractNum>
  <w:abstractNum w:abstractNumId="16" w15:restartNumberingAfterBreak="0">
    <w:nsid w:val="51B01FFB"/>
    <w:multiLevelType w:val="hybridMultilevel"/>
    <w:tmpl w:val="42D8D994"/>
    <w:lvl w:ilvl="0" w:tplc="013006F8">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D5B3C17"/>
    <w:multiLevelType w:val="multilevel"/>
    <w:tmpl w:val="5E7059EE"/>
    <w:lvl w:ilvl="0">
      <w:start w:val="6"/>
      <w:numFmt w:val="none"/>
      <w:lvlText w:val="5."/>
      <w:lvlJc w:val="left"/>
      <w:pPr>
        <w:ind w:left="360" w:hanging="360"/>
      </w:pPr>
      <w:rPr>
        <w:rFonts w:hint="default"/>
      </w:rPr>
    </w:lvl>
    <w:lvl w:ilvl="1">
      <w:start w:val="1"/>
      <w:numFmt w:val="decimal"/>
      <w:lvlText w:val="5.%2."/>
      <w:lvlJc w:val="left"/>
      <w:pPr>
        <w:ind w:left="720" w:hanging="540"/>
      </w:pPr>
      <w:rPr>
        <w:rFonts w:hint="default"/>
      </w:rPr>
    </w:lvl>
    <w:lvl w:ilvl="2">
      <w:start w:val="1"/>
      <w:numFmt w:val="decimal"/>
      <w:lvlText w:val="5.%2.%3."/>
      <w:lvlJc w:val="left"/>
      <w:pPr>
        <w:ind w:left="1440" w:hanging="720"/>
      </w:pPr>
      <w:rPr>
        <w:rFonts w:hint="default"/>
      </w:rPr>
    </w:lvl>
    <w:lvl w:ilvl="3">
      <w:start w:val="1"/>
      <w:numFmt w:val="decimal"/>
      <w:lvlText w:val="5.%2.%3.%4."/>
      <w:lvlJc w:val="left"/>
      <w:pPr>
        <w:ind w:left="2340" w:hanging="900"/>
      </w:pPr>
      <w:rPr>
        <w:rFonts w:hint="default"/>
      </w:rPr>
    </w:lvl>
    <w:lvl w:ilvl="4">
      <w:start w:val="1"/>
      <w:numFmt w:val="decimal"/>
      <w:lvlText w:val="%15.%2.%3.%4.%5."/>
      <w:lvlJc w:val="left"/>
      <w:pPr>
        <w:ind w:left="3427" w:hanging="108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B5325BD"/>
    <w:multiLevelType w:val="multilevel"/>
    <w:tmpl w:val="5E7059EE"/>
    <w:lvl w:ilvl="0">
      <w:start w:val="6"/>
      <w:numFmt w:val="none"/>
      <w:lvlText w:val="5."/>
      <w:lvlJc w:val="left"/>
      <w:pPr>
        <w:ind w:left="360" w:hanging="360"/>
      </w:pPr>
      <w:rPr>
        <w:rFonts w:hint="default"/>
      </w:rPr>
    </w:lvl>
    <w:lvl w:ilvl="1">
      <w:start w:val="1"/>
      <w:numFmt w:val="decimal"/>
      <w:lvlText w:val="5.%2."/>
      <w:lvlJc w:val="left"/>
      <w:pPr>
        <w:ind w:left="720" w:hanging="540"/>
      </w:pPr>
      <w:rPr>
        <w:rFonts w:hint="default"/>
      </w:rPr>
    </w:lvl>
    <w:lvl w:ilvl="2">
      <w:start w:val="1"/>
      <w:numFmt w:val="decimal"/>
      <w:lvlText w:val="5.%2.%3."/>
      <w:lvlJc w:val="left"/>
      <w:pPr>
        <w:ind w:left="1440" w:hanging="720"/>
      </w:pPr>
      <w:rPr>
        <w:rFonts w:hint="default"/>
      </w:rPr>
    </w:lvl>
    <w:lvl w:ilvl="3">
      <w:start w:val="1"/>
      <w:numFmt w:val="decimal"/>
      <w:lvlText w:val="5.%2.%3.%4."/>
      <w:lvlJc w:val="left"/>
      <w:pPr>
        <w:ind w:left="2340" w:hanging="900"/>
      </w:pPr>
      <w:rPr>
        <w:rFonts w:hint="default"/>
      </w:rPr>
    </w:lvl>
    <w:lvl w:ilvl="4">
      <w:start w:val="1"/>
      <w:numFmt w:val="decimal"/>
      <w:lvlText w:val="%15.%2.%3.%4.%5."/>
      <w:lvlJc w:val="left"/>
      <w:pPr>
        <w:ind w:left="3427" w:hanging="108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853530A"/>
    <w:multiLevelType w:val="multilevel"/>
    <w:tmpl w:val="72B4D6CA"/>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E6427D3"/>
    <w:multiLevelType w:val="multilevel"/>
    <w:tmpl w:val="8B4E9EDC"/>
    <w:lvl w:ilvl="0">
      <w:start w:val="4"/>
      <w:numFmt w:val="decimal"/>
      <w:lvlText w:val="%1."/>
      <w:lvlJc w:val="left"/>
      <w:pPr>
        <w:ind w:left="360" w:hanging="36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340" w:hanging="900"/>
      </w:pPr>
      <w:rPr>
        <w:rFonts w:hint="default"/>
      </w:rPr>
    </w:lvl>
    <w:lvl w:ilvl="4">
      <w:start w:val="1"/>
      <w:numFmt w:val="decimal"/>
      <w:lvlText w:val="%1.%2.%3.%4.%5."/>
      <w:lvlJc w:val="left"/>
      <w:pPr>
        <w:ind w:left="3427" w:hanging="108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6"/>
  </w:num>
  <w:num w:numId="2">
    <w:abstractNumId w:val="6"/>
  </w:num>
  <w:num w:numId="3">
    <w:abstractNumId w:val="9"/>
  </w:num>
  <w:num w:numId="4">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3"/>
  </w:num>
  <w:num w:numId="7">
    <w:abstractNumId w:val="18"/>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13"/>
  </w:num>
  <w:num w:numId="11">
    <w:abstractNumId w:val="2"/>
  </w:num>
  <w:num w:numId="12">
    <w:abstractNumId w:val="11"/>
  </w:num>
  <w:num w:numId="13">
    <w:abstractNumId w:val="10"/>
  </w:num>
  <w:num w:numId="14">
    <w:abstractNumId w:val="20"/>
  </w:num>
  <w:num w:numId="15">
    <w:abstractNumId w:val="7"/>
  </w:num>
  <w:num w:numId="16">
    <w:abstractNumId w:val="19"/>
  </w:num>
  <w:num w:numId="17">
    <w:abstractNumId w:val="1"/>
  </w:num>
  <w:num w:numId="18">
    <w:abstractNumId w:val="0"/>
  </w:num>
  <w:num w:numId="19">
    <w:abstractNumId w:val="17"/>
  </w:num>
  <w:num w:numId="20">
    <w:abstractNumId w:val="14"/>
  </w:num>
  <w:num w:numId="21">
    <w:abstractNumId w:val="4"/>
  </w:num>
  <w:num w:numId="22">
    <w:abstractNumId w:val="16"/>
  </w:num>
  <w:num w:numId="23">
    <w:abstractNumId w:val="15"/>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049"/>
    <w:rsid w:val="000025C2"/>
    <w:rsid w:val="00013AF6"/>
    <w:rsid w:val="000355B6"/>
    <w:rsid w:val="000705DB"/>
    <w:rsid w:val="000D40AC"/>
    <w:rsid w:val="00113FD8"/>
    <w:rsid w:val="001205C8"/>
    <w:rsid w:val="00141AC4"/>
    <w:rsid w:val="00166CC6"/>
    <w:rsid w:val="0017412E"/>
    <w:rsid w:val="00180280"/>
    <w:rsid w:val="00194817"/>
    <w:rsid w:val="001B31A5"/>
    <w:rsid w:val="001D7AD6"/>
    <w:rsid w:val="001F0AF5"/>
    <w:rsid w:val="00217C11"/>
    <w:rsid w:val="00230A6B"/>
    <w:rsid w:val="00246F53"/>
    <w:rsid w:val="00254218"/>
    <w:rsid w:val="0025728B"/>
    <w:rsid w:val="002864F5"/>
    <w:rsid w:val="00291781"/>
    <w:rsid w:val="002A4A1D"/>
    <w:rsid w:val="002B7447"/>
    <w:rsid w:val="00302FCB"/>
    <w:rsid w:val="00312045"/>
    <w:rsid w:val="00312FFD"/>
    <w:rsid w:val="00353EAF"/>
    <w:rsid w:val="0035679C"/>
    <w:rsid w:val="003635E8"/>
    <w:rsid w:val="00366BEF"/>
    <w:rsid w:val="00374CEB"/>
    <w:rsid w:val="00382E56"/>
    <w:rsid w:val="00387EE9"/>
    <w:rsid w:val="003951E3"/>
    <w:rsid w:val="003A572D"/>
    <w:rsid w:val="003F15E3"/>
    <w:rsid w:val="00422B41"/>
    <w:rsid w:val="00442AA5"/>
    <w:rsid w:val="004512B3"/>
    <w:rsid w:val="004806B8"/>
    <w:rsid w:val="00483135"/>
    <w:rsid w:val="00495EE3"/>
    <w:rsid w:val="004B4645"/>
    <w:rsid w:val="004B7849"/>
    <w:rsid w:val="004C0572"/>
    <w:rsid w:val="004F4C4F"/>
    <w:rsid w:val="005351CB"/>
    <w:rsid w:val="005658FA"/>
    <w:rsid w:val="005771CA"/>
    <w:rsid w:val="005911F7"/>
    <w:rsid w:val="005B0582"/>
    <w:rsid w:val="005C062E"/>
    <w:rsid w:val="005E0C38"/>
    <w:rsid w:val="005E4006"/>
    <w:rsid w:val="005F2B7E"/>
    <w:rsid w:val="00606514"/>
    <w:rsid w:val="00610D31"/>
    <w:rsid w:val="00622208"/>
    <w:rsid w:val="00625414"/>
    <w:rsid w:val="00647565"/>
    <w:rsid w:val="006604EE"/>
    <w:rsid w:val="0068596F"/>
    <w:rsid w:val="006A429D"/>
    <w:rsid w:val="006B23CE"/>
    <w:rsid w:val="006C114E"/>
    <w:rsid w:val="006D357C"/>
    <w:rsid w:val="00701831"/>
    <w:rsid w:val="00707C97"/>
    <w:rsid w:val="00724057"/>
    <w:rsid w:val="00727808"/>
    <w:rsid w:val="007516C0"/>
    <w:rsid w:val="007C0829"/>
    <w:rsid w:val="007C545B"/>
    <w:rsid w:val="007C7B58"/>
    <w:rsid w:val="007F768C"/>
    <w:rsid w:val="008300A3"/>
    <w:rsid w:val="00835217"/>
    <w:rsid w:val="00837A4C"/>
    <w:rsid w:val="00866B89"/>
    <w:rsid w:val="00873EDA"/>
    <w:rsid w:val="008745DA"/>
    <w:rsid w:val="00881B6B"/>
    <w:rsid w:val="00891709"/>
    <w:rsid w:val="0089355A"/>
    <w:rsid w:val="00912145"/>
    <w:rsid w:val="00931BB8"/>
    <w:rsid w:val="00942A45"/>
    <w:rsid w:val="00963BB6"/>
    <w:rsid w:val="00994DC6"/>
    <w:rsid w:val="009B2DAD"/>
    <w:rsid w:val="009B673A"/>
    <w:rsid w:val="009E48A0"/>
    <w:rsid w:val="009E5232"/>
    <w:rsid w:val="009F3BE5"/>
    <w:rsid w:val="00A57B32"/>
    <w:rsid w:val="00A712EF"/>
    <w:rsid w:val="00A80488"/>
    <w:rsid w:val="00A8171B"/>
    <w:rsid w:val="00A95A84"/>
    <w:rsid w:val="00AA3CF0"/>
    <w:rsid w:val="00AD015F"/>
    <w:rsid w:val="00B12519"/>
    <w:rsid w:val="00B37A39"/>
    <w:rsid w:val="00B60B00"/>
    <w:rsid w:val="00B70A97"/>
    <w:rsid w:val="00B811CE"/>
    <w:rsid w:val="00B871B2"/>
    <w:rsid w:val="00BC3AB8"/>
    <w:rsid w:val="00BE27BC"/>
    <w:rsid w:val="00C1486C"/>
    <w:rsid w:val="00C72B2C"/>
    <w:rsid w:val="00C764AE"/>
    <w:rsid w:val="00C83F81"/>
    <w:rsid w:val="00C9253A"/>
    <w:rsid w:val="00C9497D"/>
    <w:rsid w:val="00CA39B3"/>
    <w:rsid w:val="00CB22D5"/>
    <w:rsid w:val="00CB50A2"/>
    <w:rsid w:val="00CE519C"/>
    <w:rsid w:val="00CF66B6"/>
    <w:rsid w:val="00D136EE"/>
    <w:rsid w:val="00D34184"/>
    <w:rsid w:val="00D41F1F"/>
    <w:rsid w:val="00D6743D"/>
    <w:rsid w:val="00D838CE"/>
    <w:rsid w:val="00D860E1"/>
    <w:rsid w:val="00DA5049"/>
    <w:rsid w:val="00DD0936"/>
    <w:rsid w:val="00DD6EEB"/>
    <w:rsid w:val="00DE144B"/>
    <w:rsid w:val="00DE3106"/>
    <w:rsid w:val="00E00632"/>
    <w:rsid w:val="00E12E43"/>
    <w:rsid w:val="00E20D89"/>
    <w:rsid w:val="00E316E8"/>
    <w:rsid w:val="00E36764"/>
    <w:rsid w:val="00E4638A"/>
    <w:rsid w:val="00E85A11"/>
    <w:rsid w:val="00E87DA7"/>
    <w:rsid w:val="00EB1697"/>
    <w:rsid w:val="00EB54A4"/>
    <w:rsid w:val="00EE641E"/>
    <w:rsid w:val="00F2020C"/>
    <w:rsid w:val="00F26492"/>
    <w:rsid w:val="00F449E2"/>
    <w:rsid w:val="00F84AEF"/>
    <w:rsid w:val="00F973E3"/>
    <w:rsid w:val="00FB73AC"/>
    <w:rsid w:val="00FD6B49"/>
    <w:rsid w:val="00FE45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9EF7BB"/>
  <w15:chartTrackingRefBased/>
  <w15:docId w15:val="{5E572A80-1ACB-4798-853D-6CC43B3F7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5049"/>
    <w:rPr>
      <w:rFonts w:asciiTheme="majorBidi" w:hAnsiTheme="majorBidi" w:cstheme="majorBidi"/>
      <w:sz w:val="24"/>
      <w:szCs w:val="24"/>
    </w:rPr>
  </w:style>
  <w:style w:type="paragraph" w:styleId="Heading1">
    <w:name w:val="heading 1"/>
    <w:basedOn w:val="Normal"/>
    <w:next w:val="Normal"/>
    <w:link w:val="Heading1Char"/>
    <w:uiPriority w:val="9"/>
    <w:qFormat/>
    <w:rsid w:val="00EB54A4"/>
    <w:pPr>
      <w:spacing w:before="360" w:after="120"/>
      <w:outlineLvl w:val="0"/>
    </w:pPr>
    <w:rPr>
      <w:b/>
      <w:bCs/>
    </w:rPr>
  </w:style>
  <w:style w:type="paragraph" w:styleId="Heading2">
    <w:name w:val="heading 2"/>
    <w:basedOn w:val="Normal"/>
    <w:next w:val="Normal"/>
    <w:link w:val="Heading2Char"/>
    <w:uiPriority w:val="9"/>
    <w:unhideWhenUsed/>
    <w:qFormat/>
    <w:rsid w:val="007C0829"/>
    <w:pPr>
      <w:keepNext/>
      <w:keepLines/>
      <w:spacing w:before="120" w:after="60"/>
      <w:ind w:left="187"/>
      <w:jc w:val="both"/>
      <w:outlineLvl w:val="1"/>
    </w:pPr>
    <w:rPr>
      <w:rFonts w:eastAsia="Calibri"/>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4A4"/>
    <w:rPr>
      <w:rFonts w:asciiTheme="majorBidi" w:hAnsiTheme="majorBidi" w:cstheme="majorBidi"/>
      <w:b/>
      <w:bCs/>
      <w:sz w:val="24"/>
      <w:szCs w:val="24"/>
    </w:rPr>
  </w:style>
  <w:style w:type="paragraph" w:styleId="ListParagraph">
    <w:name w:val="List Paragraph"/>
    <w:basedOn w:val="Normal"/>
    <w:uiPriority w:val="34"/>
    <w:qFormat/>
    <w:rsid w:val="00DA5049"/>
    <w:pPr>
      <w:ind w:left="720"/>
      <w:contextualSpacing/>
    </w:pPr>
  </w:style>
  <w:style w:type="paragraph" w:styleId="NoSpacing">
    <w:name w:val="No Spacing"/>
    <w:basedOn w:val="ListParagraph"/>
    <w:uiPriority w:val="1"/>
    <w:qFormat/>
    <w:rsid w:val="00963BB6"/>
    <w:pPr>
      <w:ind w:left="0"/>
      <w:jc w:val="both"/>
    </w:pPr>
  </w:style>
  <w:style w:type="character" w:styleId="CommentReference">
    <w:name w:val="annotation reference"/>
    <w:basedOn w:val="DefaultParagraphFont"/>
    <w:uiPriority w:val="99"/>
    <w:semiHidden/>
    <w:unhideWhenUsed/>
    <w:rsid w:val="00E12E43"/>
    <w:rPr>
      <w:sz w:val="16"/>
      <w:szCs w:val="16"/>
    </w:rPr>
  </w:style>
  <w:style w:type="paragraph" w:styleId="CommentText">
    <w:name w:val="annotation text"/>
    <w:basedOn w:val="Normal"/>
    <w:link w:val="CommentTextChar"/>
    <w:uiPriority w:val="99"/>
    <w:semiHidden/>
    <w:unhideWhenUsed/>
    <w:rsid w:val="00E12E43"/>
    <w:pPr>
      <w:spacing w:line="240" w:lineRule="auto"/>
    </w:pPr>
    <w:rPr>
      <w:sz w:val="20"/>
      <w:szCs w:val="20"/>
    </w:rPr>
  </w:style>
  <w:style w:type="character" w:customStyle="1" w:styleId="CommentTextChar">
    <w:name w:val="Comment Text Char"/>
    <w:basedOn w:val="DefaultParagraphFont"/>
    <w:link w:val="CommentText"/>
    <w:uiPriority w:val="99"/>
    <w:semiHidden/>
    <w:rsid w:val="00E12E43"/>
    <w:rPr>
      <w:rFonts w:asciiTheme="majorBidi" w:hAnsiTheme="majorBidi" w:cstheme="majorBidi"/>
      <w:sz w:val="20"/>
      <w:szCs w:val="20"/>
    </w:rPr>
  </w:style>
  <w:style w:type="paragraph" w:styleId="CommentSubject">
    <w:name w:val="annotation subject"/>
    <w:basedOn w:val="CommentText"/>
    <w:next w:val="CommentText"/>
    <w:link w:val="CommentSubjectChar"/>
    <w:uiPriority w:val="99"/>
    <w:semiHidden/>
    <w:unhideWhenUsed/>
    <w:rsid w:val="00E12E43"/>
    <w:rPr>
      <w:b/>
      <w:bCs/>
    </w:rPr>
  </w:style>
  <w:style w:type="character" w:customStyle="1" w:styleId="CommentSubjectChar">
    <w:name w:val="Comment Subject Char"/>
    <w:basedOn w:val="CommentTextChar"/>
    <w:link w:val="CommentSubject"/>
    <w:uiPriority w:val="99"/>
    <w:semiHidden/>
    <w:rsid w:val="00E12E43"/>
    <w:rPr>
      <w:rFonts w:asciiTheme="majorBidi" w:hAnsiTheme="majorBidi" w:cstheme="majorBidi"/>
      <w:b/>
      <w:bCs/>
      <w:sz w:val="20"/>
      <w:szCs w:val="20"/>
    </w:rPr>
  </w:style>
  <w:style w:type="paragraph" w:styleId="BalloonText">
    <w:name w:val="Balloon Text"/>
    <w:basedOn w:val="Normal"/>
    <w:link w:val="BalloonTextChar"/>
    <w:uiPriority w:val="99"/>
    <w:semiHidden/>
    <w:unhideWhenUsed/>
    <w:rsid w:val="00E12E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2E43"/>
    <w:rPr>
      <w:rFonts w:ascii="Segoe UI" w:hAnsi="Segoe UI" w:cs="Segoe UI"/>
      <w:sz w:val="18"/>
      <w:szCs w:val="18"/>
    </w:rPr>
  </w:style>
  <w:style w:type="numbering" w:customStyle="1" w:styleId="Style1">
    <w:name w:val="Style1"/>
    <w:uiPriority w:val="99"/>
    <w:rsid w:val="00963BB6"/>
    <w:pPr>
      <w:numPr>
        <w:numId w:val="9"/>
      </w:numPr>
    </w:pPr>
  </w:style>
  <w:style w:type="numbering" w:customStyle="1" w:styleId="Style2">
    <w:name w:val="Style2"/>
    <w:uiPriority w:val="99"/>
    <w:rsid w:val="00963BB6"/>
    <w:pPr>
      <w:numPr>
        <w:numId w:val="11"/>
      </w:numPr>
    </w:pPr>
  </w:style>
  <w:style w:type="table" w:customStyle="1" w:styleId="TableGrid1">
    <w:name w:val="Table Grid1"/>
    <w:basedOn w:val="TableNormal"/>
    <w:next w:val="TableGrid"/>
    <w:uiPriority w:val="59"/>
    <w:rsid w:val="0064756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47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51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1E3"/>
    <w:rPr>
      <w:rFonts w:asciiTheme="majorBidi" w:hAnsiTheme="majorBidi" w:cstheme="majorBidi"/>
      <w:sz w:val="24"/>
      <w:szCs w:val="24"/>
    </w:rPr>
  </w:style>
  <w:style w:type="paragraph" w:styleId="Footer">
    <w:name w:val="footer"/>
    <w:basedOn w:val="Normal"/>
    <w:link w:val="FooterChar"/>
    <w:uiPriority w:val="99"/>
    <w:unhideWhenUsed/>
    <w:rsid w:val="003951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1E3"/>
    <w:rPr>
      <w:rFonts w:asciiTheme="majorBidi" w:hAnsiTheme="majorBidi" w:cstheme="majorBidi"/>
      <w:sz w:val="24"/>
      <w:szCs w:val="24"/>
    </w:rPr>
  </w:style>
  <w:style w:type="character" w:customStyle="1" w:styleId="Heading2Char">
    <w:name w:val="Heading 2 Char"/>
    <w:basedOn w:val="DefaultParagraphFont"/>
    <w:link w:val="Heading2"/>
    <w:uiPriority w:val="9"/>
    <w:rsid w:val="007C0829"/>
    <w:rPr>
      <w:rFonts w:asciiTheme="majorBidi" w:eastAsia="Calibri" w:hAnsiTheme="majorBidi" w:cstheme="majorBidi"/>
      <w:i/>
    </w:rPr>
  </w:style>
  <w:style w:type="paragraph" w:styleId="TOCHeading">
    <w:name w:val="TOC Heading"/>
    <w:basedOn w:val="Heading1"/>
    <w:next w:val="Normal"/>
    <w:uiPriority w:val="39"/>
    <w:unhideWhenUsed/>
    <w:qFormat/>
    <w:rsid w:val="00B70A97"/>
    <w:pPr>
      <w:keepNext/>
      <w:keepLines/>
      <w:spacing w:before="240" w:after="0"/>
      <w:outlineLvl w:val="9"/>
    </w:pPr>
    <w:rPr>
      <w:rFonts w:asciiTheme="majorHAnsi" w:eastAsiaTheme="majorEastAsia" w:hAnsiTheme="majorHAnsi"/>
      <w:b w:val="0"/>
      <w:bCs w:val="0"/>
      <w:color w:val="2E74B5" w:themeColor="accent1" w:themeShade="BF"/>
      <w:sz w:val="32"/>
      <w:szCs w:val="32"/>
    </w:rPr>
  </w:style>
  <w:style w:type="paragraph" w:styleId="TOC1">
    <w:name w:val="toc 1"/>
    <w:basedOn w:val="Normal"/>
    <w:next w:val="Normal"/>
    <w:autoRedefine/>
    <w:uiPriority w:val="39"/>
    <w:unhideWhenUsed/>
    <w:rsid w:val="00B70A97"/>
    <w:pPr>
      <w:spacing w:after="100"/>
    </w:pPr>
  </w:style>
  <w:style w:type="paragraph" w:styleId="TOC2">
    <w:name w:val="toc 2"/>
    <w:basedOn w:val="Normal"/>
    <w:next w:val="Normal"/>
    <w:autoRedefine/>
    <w:uiPriority w:val="39"/>
    <w:unhideWhenUsed/>
    <w:rsid w:val="00B70A97"/>
    <w:pPr>
      <w:spacing w:after="100"/>
      <w:ind w:left="240"/>
    </w:pPr>
  </w:style>
  <w:style w:type="character" w:styleId="Hyperlink">
    <w:name w:val="Hyperlink"/>
    <w:basedOn w:val="DefaultParagraphFont"/>
    <w:uiPriority w:val="99"/>
    <w:unhideWhenUsed/>
    <w:rsid w:val="00B70A97"/>
    <w:rPr>
      <w:color w:val="0563C1" w:themeColor="hyperlink"/>
      <w:u w:val="single"/>
    </w:rPr>
  </w:style>
  <w:style w:type="numbering" w:customStyle="1" w:styleId="Style3">
    <w:name w:val="Style3"/>
    <w:uiPriority w:val="99"/>
    <w:rsid w:val="00707C97"/>
    <w:pPr>
      <w:numPr>
        <w:numId w:val="17"/>
      </w:numPr>
    </w:pPr>
  </w:style>
  <w:style w:type="numbering" w:customStyle="1" w:styleId="Style4">
    <w:name w:val="Style4"/>
    <w:uiPriority w:val="99"/>
    <w:rsid w:val="00707C97"/>
    <w:pPr>
      <w:numPr>
        <w:numId w:val="18"/>
      </w:numPr>
    </w:pPr>
  </w:style>
  <w:style w:type="table" w:styleId="PlainTable1">
    <w:name w:val="Plain Table 1"/>
    <w:basedOn w:val="TableNormal"/>
    <w:uiPriority w:val="41"/>
    <w:rsid w:val="00A57B3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3">
    <w:name w:val="Grid Table 5 Dark Accent 3"/>
    <w:basedOn w:val="TableNormal"/>
    <w:uiPriority w:val="50"/>
    <w:rsid w:val="00A57B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Accent3">
    <w:name w:val="Grid Table 1 Light Accent 3"/>
    <w:basedOn w:val="TableNormal"/>
    <w:uiPriority w:val="46"/>
    <w:rsid w:val="00A57B3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A57B3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Accent3">
    <w:name w:val="Grid Table 6 Colorful Accent 3"/>
    <w:basedOn w:val="TableNormal"/>
    <w:uiPriority w:val="51"/>
    <w:rsid w:val="00A57B32"/>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odyText">
    <w:name w:val="Body Text"/>
    <w:basedOn w:val="Normal"/>
    <w:link w:val="BodyTextChar"/>
    <w:rsid w:val="005658FA"/>
    <w:pPr>
      <w:spacing w:before="130" w:after="130" w:line="260" w:lineRule="atLeast"/>
    </w:pPr>
    <w:rPr>
      <w:rFonts w:ascii="Times New Roman" w:eastAsia="Times New Roman" w:hAnsi="Times New Roman" w:cs="Times New Roman"/>
      <w:sz w:val="22"/>
      <w:szCs w:val="20"/>
    </w:rPr>
  </w:style>
  <w:style w:type="character" w:customStyle="1" w:styleId="BodyTextChar">
    <w:name w:val="Body Text Char"/>
    <w:basedOn w:val="DefaultParagraphFont"/>
    <w:link w:val="BodyText"/>
    <w:rsid w:val="005658FA"/>
    <w:rPr>
      <w:rFonts w:ascii="Times New Roman" w:eastAsia="Times New Roman"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Nintex conditional workflow start</Name>
    <Synchronization>Synchronous</Synchronization>
    <Type>10001</Type>
    <SequenceNumber>50000</SequenceNumber>
    <Assembly>Nintex.Workflow, Version=1.0.0.0, Culture=neutral, PublicKeyToken=913f6bae0ca5ae12</Assembly>
    <Class>Nintex.Workflow.ConditionalWorkflowStartReceiver</Class>
    <Data>636056547406669310</Data>
    <Filter/>
  </Receiver>
  <Receiver>
    <Name>Nintex conditional workflow start</Name>
    <Synchronization>Synchronous</Synchronization>
    <Type>10002</Type>
    <SequenceNumber>50000</SequenceNumber>
    <Assembly>Nintex.Workflow, Version=1.0.0.0, Culture=neutral, PublicKeyToken=913f6bae0ca5ae12</Assembly>
    <Class>Nintex.Workflow.ConditionalWorkflowStartReceiver</Class>
    <Data>636056547406669310</Data>
    <Filter/>
  </Receiver>
  <Receiver>
    <Name>Nintex conditional workflow start</Name>
    <Synchronization>Synchronous</Synchronization>
    <Type>2</Type>
    <SequenceNumber>50000</SequenceNumber>
    <Assembly>Nintex.Workflow, Version=1.0.0.0, Culture=neutral, PublicKeyToken=913f6bae0ca5ae12</Assembly>
    <Class>Nintex.Workflow.ConditionalWorkflowStartReceiver</Class>
    <Data>636056547406669310</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55F74C2E6C7999489501014B2C91D4BA" ma:contentTypeVersion="4" ma:contentTypeDescription="Create a new document." ma:contentTypeScope="" ma:versionID="ca695bc95c4e14d0e728db52933e04fa">
  <xsd:schema xmlns:xsd="http://www.w3.org/2001/XMLSchema" xmlns:xs="http://www.w3.org/2001/XMLSchema" xmlns:p="http://schemas.microsoft.com/office/2006/metadata/properties" xmlns:ns1="821f2628-1843-404e-8cde-039a2f458b77" xmlns:ns3="9deb1449-4bc8-4e61-af63-728fb9b080cb" targetNamespace="http://schemas.microsoft.com/office/2006/metadata/properties" ma:root="true" ma:fieldsID="1713fc9d44f74fc105ae1d391db3fd11" ns1:_="" ns3:_="">
    <xsd:import namespace="821f2628-1843-404e-8cde-039a2f458b77"/>
    <xsd:import namespace="9deb1449-4bc8-4e61-af63-728fb9b080cb"/>
    <xsd:element name="properties">
      <xsd:complexType>
        <xsd:sequence>
          <xsd:element name="documentManagement">
            <xsd:complexType>
              <xsd:all>
                <xsd:element ref="ns1:Category"/>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1f2628-1843-404e-8cde-039a2f458b77" elementFormDefault="qualified">
    <xsd:import namespace="http://schemas.microsoft.com/office/2006/documentManagement/types"/>
    <xsd:import namespace="http://schemas.microsoft.com/office/infopath/2007/PartnerControls"/>
    <xsd:element name="Category" ma:index="0" ma:displayName="Category" ma:default="1000 - Governance and Organization" ma:format="Dropdown" ma:internalName="Category">
      <xsd:simpleType>
        <xsd:restriction base="dms:Choice">
          <xsd:enumeration value="1000 - Governance and Organization"/>
          <xsd:enumeration value="2000 - Faculty and Staff Employment Policies"/>
          <xsd:enumeration value="3000 - Education Program Policies"/>
          <xsd:enumeration value="4000 - Research and Scholarly Activities Policies"/>
          <xsd:enumeration value="5000 - Student Policies"/>
          <xsd:enumeration value="6000 - Fiscal Resources Policies"/>
          <xsd:enumeration value="7000 - Facilities and Infrastructure (FMS, EHS, IT) Policies"/>
          <xsd:enumeration value="8000 - Learning Resources (Library, Physical, Technology) Policies"/>
          <xsd:enumeration value="9000 - Public Disclosure, Legal Compliance and Community Engagement Policies"/>
          <xsd:enumeration value="Unit Level Operations and Procedures Manuals"/>
          <xsd:enumeration value="Handbooks and Catalogs"/>
          <xsd:enumeration value="Institutional Manuals"/>
          <xsd:enumeration value="Standing Councils and Committees"/>
          <xsd:enumeration value="Templates"/>
          <xsd:enumeration value="Resource Documents"/>
          <xsd:enumeration value="Bylaws, Charters and Statutes"/>
        </xsd:restriction>
      </xsd:simpleType>
    </xsd:element>
  </xsd:schema>
  <xsd:schema xmlns:xsd="http://www.w3.org/2001/XMLSchema" xmlns:xs="http://www.w3.org/2001/XMLSchema" xmlns:dms="http://schemas.microsoft.com/office/2006/documentManagement/types" xmlns:pc="http://schemas.microsoft.com/office/infopath/2007/PartnerControls" targetNamespace="9deb1449-4bc8-4e61-af63-728fb9b080cb" elementFormDefault="qualified">
    <xsd:import namespace="http://schemas.microsoft.com/office/2006/documentManagement/types"/>
    <xsd:import namespace="http://schemas.microsoft.com/office/infopath/2007/PartnerControls"/>
    <xsd:element name="SharedWithUsers" ma:index="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ategory xmlns="821f2628-1843-404e-8cde-039a2f458b77">Templates</Category>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48323-A8B7-4859-8589-F8AFD424A460}">
  <ds:schemaRefs>
    <ds:schemaRef ds:uri="http://schemas.microsoft.com/sharepoint/events"/>
  </ds:schemaRefs>
</ds:datastoreItem>
</file>

<file path=customXml/itemProps2.xml><?xml version="1.0" encoding="utf-8"?>
<ds:datastoreItem xmlns:ds="http://schemas.openxmlformats.org/officeDocument/2006/customXml" ds:itemID="{A6ED67D6-A604-4F0D-80D8-33971760D4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1f2628-1843-404e-8cde-039a2f458b77"/>
    <ds:schemaRef ds:uri="9deb1449-4bc8-4e61-af63-728fb9b080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536183-1E10-4EDF-BF2E-F01FCACF06F8}">
  <ds:schemaRefs>
    <ds:schemaRef ds:uri="http://schemas.microsoft.com/sharepoint/v3/contenttype/forms"/>
  </ds:schemaRefs>
</ds:datastoreItem>
</file>

<file path=customXml/itemProps4.xml><?xml version="1.0" encoding="utf-8"?>
<ds:datastoreItem xmlns:ds="http://schemas.openxmlformats.org/officeDocument/2006/customXml" ds:itemID="{CB17DC3B-B206-40EC-BD6C-2DEBD7A0B6C5}">
  <ds:schemaRefs>
    <ds:schemaRef ds:uri="http://schemas.microsoft.com/office/2006/metadata/properties"/>
    <ds:schemaRef ds:uri="http://schemas.microsoft.com/office/infopath/2007/PartnerControls"/>
    <ds:schemaRef ds:uri="821f2628-1843-404e-8cde-039a2f458b77"/>
  </ds:schemaRefs>
</ds:datastoreItem>
</file>

<file path=customXml/itemProps5.xml><?xml version="1.0" encoding="utf-8"?>
<ds:datastoreItem xmlns:ds="http://schemas.openxmlformats.org/officeDocument/2006/customXml" ds:itemID="{AC4D88F2-0444-4E5B-93A4-65F5FC2B9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KU Policy Document Template</vt:lpstr>
    </vt:vector>
  </TitlesOfParts>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 Policy Document Template</dc:title>
  <dc:subject/>
  <dc:creator>Brian Bielenberg</dc:creator>
  <cp:keywords/>
  <dc:description/>
  <cp:lastModifiedBy>Rajesh Raj</cp:lastModifiedBy>
  <cp:revision>8</cp:revision>
  <dcterms:created xsi:type="dcterms:W3CDTF">2023-01-29T07:43:00Z</dcterms:created>
  <dcterms:modified xsi:type="dcterms:W3CDTF">2023-01-29T08:40:00Z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0x01010055F74C2E6C7999489501014B2C91D4BA</vt:lpwstr>
  </property>
</Properties>
</file>