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EAE635" w14:textId="77777777" w:rsidR="004E0E3F" w:rsidRDefault="004E0E3F"/>
    <w:p w14:paraId="718E72B7" w14:textId="77777777" w:rsidR="004E0E3F" w:rsidRDefault="002E3AA7">
      <w:pPr>
        <w:jc w:val="center"/>
      </w:pPr>
      <w:r>
        <w:rPr>
          <w:b/>
          <w:color w:val="0C4A6E"/>
          <w:sz w:val="40"/>
        </w:rPr>
        <w:t>Classification automatique des stades du sommeil</w:t>
      </w:r>
      <w:r>
        <w:rPr>
          <w:b/>
          <w:color w:val="0C4A6E"/>
          <w:sz w:val="40"/>
        </w:rPr>
        <w:br/>
        <w:t>par intelligence artificielle à partir du signal EOG</w:t>
      </w:r>
    </w:p>
    <w:p w14:paraId="00D3D33E" w14:textId="77777777" w:rsidR="004E0E3F" w:rsidRDefault="002E3AA7">
      <w:pPr>
        <w:jc w:val="center"/>
      </w:pPr>
      <w:r>
        <w:rPr>
          <w:color w:val="475569"/>
          <w:sz w:val="26"/>
        </w:rPr>
        <w:t>Projet Sommeil_EOG_IA — Dashboard clinique « DeepSleep AI »</w:t>
      </w:r>
    </w:p>
    <w:p w14:paraId="595B8F45" w14:textId="77777777" w:rsidR="004E0E3F" w:rsidRDefault="002E3AA7">
      <w:pPr>
        <w:jc w:val="center"/>
      </w:pPr>
      <w:r>
        <w:rPr>
          <w:noProof/>
        </w:rPr>
        <w:drawing>
          <wp:inline distT="0" distB="0" distL="0" distR="0" wp14:anchorId="0D1504CE" wp14:editId="7A65F872">
            <wp:extent cx="5852160" cy="13422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852160" cy="1342239"/>
                    </a:xfrm>
                    <a:prstGeom prst="rect">
                      <a:avLst/>
                    </a:prstGeom>
                  </pic:spPr>
                </pic:pic>
              </a:graphicData>
            </a:graphic>
          </wp:inline>
        </w:drawing>
      </w:r>
    </w:p>
    <w:p w14:paraId="2894282E" w14:textId="77777777" w:rsidR="004E0E3F" w:rsidRDefault="002E3AA7">
      <w:pPr>
        <w:jc w:val="center"/>
      </w:pPr>
      <w:r>
        <w:rPr>
          <w:sz w:val="22"/>
        </w:rPr>
        <w:t>Apprentissage profond (CNN 1D) · Inférence accélérée OpenVINO (NPU / GPU / CPU)</w:t>
      </w:r>
      <w:r>
        <w:rPr>
          <w:sz w:val="22"/>
        </w:rPr>
        <w:br/>
      </w:r>
      <w:r>
        <w:rPr>
          <w:sz w:val="22"/>
        </w:rPr>
        <w:t>Corpus Sleep-EDF Expanded (PhysioNet) · Nomenclature AASM 5 stades</w:t>
      </w:r>
      <w:r>
        <w:rPr>
          <w:sz w:val="22"/>
        </w:rPr>
        <w:br/>
        <w:t>Rapport de synthèse</w:t>
      </w:r>
      <w:r>
        <w:rPr>
          <w:sz w:val="22"/>
        </w:rPr>
        <w:br/>
      </w:r>
    </w:p>
    <w:p w14:paraId="56D6310B" w14:textId="77777777" w:rsidR="004E0E3F" w:rsidRDefault="002E3AA7">
      <w:r>
        <w:br w:type="page"/>
      </w:r>
    </w:p>
    <w:p w14:paraId="72246602" w14:textId="77777777" w:rsidR="004E0E3F" w:rsidRDefault="002E3AA7">
      <w:pPr>
        <w:pStyle w:val="Titre1"/>
      </w:pPr>
      <w:r>
        <w:rPr>
          <w:color w:val="0C4A6E"/>
        </w:rPr>
        <w:lastRenderedPageBreak/>
        <w:t>1. Résumé exécutif</w:t>
      </w:r>
    </w:p>
    <w:p w14:paraId="796A53F5" w14:textId="77777777" w:rsidR="004E0E3F" w:rsidRDefault="002E3AA7">
      <w:pPr>
        <w:spacing w:after="120"/>
      </w:pPr>
      <w:r>
        <w:t>Ce projet met en œuvre une chaîne complète, des enregistrements polysomnographiques bruts (fichiers EDF) jusqu'à une application web clinique, pour estimer automatiquement les stades du sommeil à partir d'un unique canal d'électro-oculographie (EOG), selon la norme AASM (cinq classes : éveil W, N1, N2, N3 et sommeil paradoxal REM). Un réseau de neurones convolutif 1D est entraîné sur le corpus Sleep-EDF Expanded (182 sujets, 419 170 époques de 30 s), puis exporté au format OpenVINO IR FP16 afin de tirer par</w:t>
      </w:r>
      <w:r>
        <w:t>ti de l'accélération matérielle (NPU Intel AI Boost, GPU intégré ou CPU). Évalué sur un jeu de test indépendant de 27 sujets jamais vus à l'entraînement, le modèle atteint une exactitude de 85.9 %, un F1 macro de 0.738 et un coefficient kappa de Cohen de 0.756 (accord « substantiel » avec l'expert). Une interface Streamlit permet le chargement des enregistrements, l'inférence en temps réel, la visualisation de l'hypnogramme et la production d'un rapport clinique synthétique.</w:t>
      </w:r>
    </w:p>
    <w:p w14:paraId="7F23DA4E" w14:textId="77777777" w:rsidR="004E0E3F" w:rsidRDefault="002E3AA7">
      <w:pPr>
        <w:pStyle w:val="Titre1"/>
      </w:pPr>
      <w:r>
        <w:rPr>
          <w:color w:val="0C4A6E"/>
        </w:rPr>
        <w:t>2. Contexte et problématique</w:t>
      </w:r>
    </w:p>
    <w:p w14:paraId="1D7AEFBA" w14:textId="77777777" w:rsidR="004E0E3F" w:rsidRDefault="002E3AA7">
      <w:pPr>
        <w:spacing w:after="120"/>
      </w:pPr>
      <w:r>
        <w:t xml:space="preserve">La polysomnographie (PSG) enregistre plusieurs signaux physiologiques durant une nuit de sommeil (EEG, EOG, EMG, etc.). Le « scoring » manuel consiste à attribuer un stade de sommeil à chaque fenêtre de 30 secondes ; réalisé par un expert, il est long, coûteux et sujet à variabilité inter-juges. L'EOG capture les mouvements oculaires, particulièrement informatifs pour distinguer l'éveil (clignements, mouvements rapides) et le sommeil paradoxal (mouvements oculaires rapides caractéristiques). L'objectif est </w:t>
      </w:r>
      <w:r>
        <w:t>de démontrer un pipeline reproductible et déployable : prétraitement du signal, apprentissage supervisé, optimisation pour accélérateur matériel et restitution visuelle à destination du technologue ou du chercheur.</w:t>
      </w:r>
    </w:p>
    <w:p w14:paraId="104B831F" w14:textId="77777777" w:rsidR="004E0E3F" w:rsidRDefault="002E3AA7">
      <w:pPr>
        <w:pStyle w:val="Titre2"/>
      </w:pPr>
      <w:r>
        <w:rPr>
          <w:color w:val="0C4A6E"/>
        </w:rPr>
        <w:t>Objectifs du projet</w:t>
      </w:r>
    </w:p>
    <w:p w14:paraId="3BF1F9DA" w14:textId="77777777" w:rsidR="004E0E3F" w:rsidRDefault="002E3AA7">
      <w:pPr>
        <w:pStyle w:val="Listepuces"/>
        <w:spacing w:after="40"/>
      </w:pPr>
      <w:r>
        <w:t>Charger et synchroniser signaux et annotations au format EDF (MNE-Python).</w:t>
      </w:r>
    </w:p>
    <w:p w14:paraId="4D0B05DF" w14:textId="77777777" w:rsidR="004E0E3F" w:rsidRDefault="002E3AA7">
      <w:pPr>
        <w:pStyle w:val="Listepuces"/>
        <w:spacing w:after="40"/>
      </w:pPr>
      <w:r>
        <w:t>Prétraiter le canal EOG : rééchantillonnage 100 Hz, filtrage 0,5–35 Hz, normalisation z-score.</w:t>
      </w:r>
    </w:p>
    <w:p w14:paraId="3AED2882" w14:textId="77777777" w:rsidR="004E0E3F" w:rsidRDefault="002E3AA7">
      <w:pPr>
        <w:pStyle w:val="Listepuces"/>
        <w:spacing w:after="40"/>
      </w:pPr>
      <w:r>
        <w:t>Entraîner un classificateur d'époques de 30 s sur les 5 classes AASM, avec un découpage par sujet.</w:t>
      </w:r>
    </w:p>
    <w:p w14:paraId="3737DDAA" w14:textId="77777777" w:rsidR="004E0E3F" w:rsidRDefault="002E3AA7">
      <w:pPr>
        <w:pStyle w:val="Listepuces"/>
        <w:spacing w:after="40"/>
      </w:pPr>
      <w:r>
        <w:t>Exporter un modèle compatible NPU via OpenVINO (FP16, forme d'entrée fixe 64×3000×1).</w:t>
      </w:r>
    </w:p>
    <w:p w14:paraId="753FA5CF" w14:textId="77777777" w:rsidR="004E0E3F" w:rsidRDefault="002E3AA7">
      <w:pPr>
        <w:pStyle w:val="Listepuces"/>
        <w:spacing w:after="40"/>
      </w:pPr>
      <w:r>
        <w:t>Fournir un tableau de bord interactif pour l'analyse, la comparaison à l'expert et l'export des résultats.</w:t>
      </w:r>
    </w:p>
    <w:p w14:paraId="25C8FB59" w14:textId="77777777" w:rsidR="004E0E3F" w:rsidRDefault="002E3AA7">
      <w:pPr>
        <w:pStyle w:val="Titre1"/>
      </w:pPr>
      <w:r>
        <w:rPr>
          <w:color w:val="0C4A6E"/>
        </w:rPr>
        <w:t>3. Données et nomenclature</w:t>
      </w:r>
    </w:p>
    <w:p w14:paraId="2A5F56A2" w14:textId="77777777" w:rsidR="004E0E3F" w:rsidRDefault="002E3AA7">
      <w:pPr>
        <w:spacing w:after="120"/>
      </w:pPr>
      <w:r>
        <w:t>Le corpus principal est Sleep-EDF Expanded (PhysioNet), complété par quatre enregistrements locaux (Patient_01, 02, 11, 12). Après chargement et synchronisation, 182 sujets exploitables fournissent 419 170 époques de 30 s échantillonnées à 100 Hz (soit 3000 points par époque). La nomenclature AASM regroupe les anciens stades N3 et N4 en une seule classe de sommeil profond.</w:t>
      </w:r>
    </w:p>
    <w:tbl>
      <w:tblPr>
        <w:tblStyle w:val="Grilledutableau"/>
        <w:tblW w:w="0" w:type="auto"/>
        <w:jc w:val="center"/>
        <w:tblLook w:val="04A0" w:firstRow="1" w:lastRow="0" w:firstColumn="1" w:lastColumn="0" w:noHBand="0" w:noVBand="1"/>
      </w:tblPr>
      <w:tblGrid>
        <w:gridCol w:w="1008"/>
        <w:gridCol w:w="1296"/>
        <w:gridCol w:w="6624"/>
      </w:tblGrid>
      <w:tr w:rsidR="004E0E3F" w14:paraId="3F5BCD8E" w14:textId="77777777">
        <w:trPr>
          <w:jc w:val="center"/>
        </w:trPr>
        <w:tc>
          <w:tcPr>
            <w:tcW w:w="1008" w:type="dxa"/>
            <w:shd w:val="clear" w:color="auto" w:fill="0C4A6E"/>
          </w:tcPr>
          <w:p w14:paraId="268B3B67" w14:textId="77777777" w:rsidR="004E0E3F" w:rsidRDefault="002E3AA7">
            <w:r>
              <w:rPr>
                <w:b/>
                <w:color w:val="FFFFFF"/>
                <w:sz w:val="19"/>
              </w:rPr>
              <w:t>Code</w:t>
            </w:r>
          </w:p>
        </w:tc>
        <w:tc>
          <w:tcPr>
            <w:tcW w:w="1296" w:type="dxa"/>
            <w:shd w:val="clear" w:color="auto" w:fill="0C4A6E"/>
          </w:tcPr>
          <w:p w14:paraId="46729AE3" w14:textId="77777777" w:rsidR="004E0E3F" w:rsidRDefault="002E3AA7">
            <w:r>
              <w:rPr>
                <w:b/>
                <w:color w:val="FFFFFF"/>
                <w:sz w:val="19"/>
              </w:rPr>
              <w:t>Stade</w:t>
            </w:r>
          </w:p>
        </w:tc>
        <w:tc>
          <w:tcPr>
            <w:tcW w:w="6624" w:type="dxa"/>
            <w:shd w:val="clear" w:color="auto" w:fill="0C4A6E"/>
          </w:tcPr>
          <w:p w14:paraId="35ACC058" w14:textId="77777777" w:rsidR="004E0E3F" w:rsidRDefault="002E3AA7">
            <w:r>
              <w:rPr>
                <w:b/>
                <w:color w:val="FFFFFF"/>
                <w:sz w:val="19"/>
              </w:rPr>
              <w:t>Description clinique</w:t>
            </w:r>
          </w:p>
        </w:tc>
      </w:tr>
      <w:tr w:rsidR="004E0E3F" w14:paraId="1D406A4C" w14:textId="77777777">
        <w:trPr>
          <w:jc w:val="center"/>
        </w:trPr>
        <w:tc>
          <w:tcPr>
            <w:tcW w:w="1008" w:type="dxa"/>
          </w:tcPr>
          <w:p w14:paraId="3FE99568" w14:textId="77777777" w:rsidR="004E0E3F" w:rsidRDefault="002E3AA7">
            <w:r>
              <w:rPr>
                <w:sz w:val="19"/>
              </w:rPr>
              <w:t>0</w:t>
            </w:r>
          </w:p>
        </w:tc>
        <w:tc>
          <w:tcPr>
            <w:tcW w:w="1296" w:type="dxa"/>
          </w:tcPr>
          <w:p w14:paraId="7F1581EE" w14:textId="77777777" w:rsidR="004E0E3F" w:rsidRDefault="002E3AA7">
            <w:r>
              <w:rPr>
                <w:sz w:val="19"/>
              </w:rPr>
              <w:t>W</w:t>
            </w:r>
          </w:p>
        </w:tc>
        <w:tc>
          <w:tcPr>
            <w:tcW w:w="6624" w:type="dxa"/>
          </w:tcPr>
          <w:p w14:paraId="77268EC7" w14:textId="77777777" w:rsidR="004E0E3F" w:rsidRDefault="002E3AA7">
            <w:r>
              <w:rPr>
                <w:sz w:val="19"/>
              </w:rPr>
              <w:t xml:space="preserve">Éveil — clignements et </w:t>
            </w:r>
            <w:r>
              <w:rPr>
                <w:sz w:val="19"/>
              </w:rPr>
              <w:t>mouvements oculaires volontaires</w:t>
            </w:r>
          </w:p>
        </w:tc>
      </w:tr>
      <w:tr w:rsidR="004E0E3F" w14:paraId="45B53871" w14:textId="77777777">
        <w:trPr>
          <w:jc w:val="center"/>
        </w:trPr>
        <w:tc>
          <w:tcPr>
            <w:tcW w:w="1008" w:type="dxa"/>
            <w:shd w:val="clear" w:color="auto" w:fill="EAF1F6"/>
          </w:tcPr>
          <w:p w14:paraId="4B3A9EC8" w14:textId="77777777" w:rsidR="004E0E3F" w:rsidRDefault="002E3AA7">
            <w:r>
              <w:rPr>
                <w:sz w:val="19"/>
              </w:rPr>
              <w:t>1</w:t>
            </w:r>
          </w:p>
        </w:tc>
        <w:tc>
          <w:tcPr>
            <w:tcW w:w="1296" w:type="dxa"/>
            <w:shd w:val="clear" w:color="auto" w:fill="EAF1F6"/>
          </w:tcPr>
          <w:p w14:paraId="22EA28D6" w14:textId="77777777" w:rsidR="004E0E3F" w:rsidRDefault="002E3AA7">
            <w:r>
              <w:rPr>
                <w:sz w:val="19"/>
              </w:rPr>
              <w:t>N1</w:t>
            </w:r>
          </w:p>
        </w:tc>
        <w:tc>
          <w:tcPr>
            <w:tcW w:w="6624" w:type="dxa"/>
            <w:shd w:val="clear" w:color="auto" w:fill="EAF1F6"/>
          </w:tcPr>
          <w:p w14:paraId="0C2D6CD7" w14:textId="77777777" w:rsidR="004E0E3F" w:rsidRDefault="002E3AA7">
            <w:r>
              <w:rPr>
                <w:sz w:val="19"/>
              </w:rPr>
              <w:t>Endormissement / sommeil léger, transition</w:t>
            </w:r>
          </w:p>
        </w:tc>
      </w:tr>
      <w:tr w:rsidR="004E0E3F" w14:paraId="74A3DC5D" w14:textId="77777777">
        <w:trPr>
          <w:jc w:val="center"/>
        </w:trPr>
        <w:tc>
          <w:tcPr>
            <w:tcW w:w="1008" w:type="dxa"/>
          </w:tcPr>
          <w:p w14:paraId="544313B4" w14:textId="77777777" w:rsidR="004E0E3F" w:rsidRDefault="002E3AA7">
            <w:r>
              <w:rPr>
                <w:sz w:val="19"/>
              </w:rPr>
              <w:t>2</w:t>
            </w:r>
          </w:p>
        </w:tc>
        <w:tc>
          <w:tcPr>
            <w:tcW w:w="1296" w:type="dxa"/>
          </w:tcPr>
          <w:p w14:paraId="2C57B343" w14:textId="77777777" w:rsidR="004E0E3F" w:rsidRDefault="002E3AA7">
            <w:r>
              <w:rPr>
                <w:sz w:val="19"/>
              </w:rPr>
              <w:t>N2</w:t>
            </w:r>
          </w:p>
        </w:tc>
        <w:tc>
          <w:tcPr>
            <w:tcW w:w="6624" w:type="dxa"/>
          </w:tcPr>
          <w:p w14:paraId="3B84E722" w14:textId="77777777" w:rsidR="004E0E3F" w:rsidRDefault="002E3AA7">
            <w:r>
              <w:rPr>
                <w:sz w:val="19"/>
              </w:rPr>
              <w:t>Sommeil léger consolidé (fuseaux, complexes K)</w:t>
            </w:r>
          </w:p>
        </w:tc>
      </w:tr>
      <w:tr w:rsidR="004E0E3F" w14:paraId="4417C389" w14:textId="77777777">
        <w:trPr>
          <w:jc w:val="center"/>
        </w:trPr>
        <w:tc>
          <w:tcPr>
            <w:tcW w:w="1008" w:type="dxa"/>
            <w:shd w:val="clear" w:color="auto" w:fill="EAF1F6"/>
          </w:tcPr>
          <w:p w14:paraId="4D49D3E5" w14:textId="77777777" w:rsidR="004E0E3F" w:rsidRDefault="002E3AA7">
            <w:r>
              <w:rPr>
                <w:sz w:val="19"/>
              </w:rPr>
              <w:t>3</w:t>
            </w:r>
          </w:p>
        </w:tc>
        <w:tc>
          <w:tcPr>
            <w:tcW w:w="1296" w:type="dxa"/>
            <w:shd w:val="clear" w:color="auto" w:fill="EAF1F6"/>
          </w:tcPr>
          <w:p w14:paraId="2452D8A0" w14:textId="77777777" w:rsidR="004E0E3F" w:rsidRDefault="002E3AA7">
            <w:r>
              <w:rPr>
                <w:sz w:val="19"/>
              </w:rPr>
              <w:t>N3</w:t>
            </w:r>
          </w:p>
        </w:tc>
        <w:tc>
          <w:tcPr>
            <w:tcW w:w="6624" w:type="dxa"/>
            <w:shd w:val="clear" w:color="auto" w:fill="EAF1F6"/>
          </w:tcPr>
          <w:p w14:paraId="194D4333" w14:textId="77777777" w:rsidR="004E0E3F" w:rsidRDefault="002E3AA7">
            <w:r>
              <w:rPr>
                <w:sz w:val="19"/>
              </w:rPr>
              <w:t>Sommeil profond à ondes lentes (N3 + N4 fusionnés)</w:t>
            </w:r>
          </w:p>
        </w:tc>
      </w:tr>
      <w:tr w:rsidR="004E0E3F" w14:paraId="4FDA189E" w14:textId="77777777">
        <w:trPr>
          <w:jc w:val="center"/>
        </w:trPr>
        <w:tc>
          <w:tcPr>
            <w:tcW w:w="1008" w:type="dxa"/>
          </w:tcPr>
          <w:p w14:paraId="5EB52799" w14:textId="77777777" w:rsidR="004E0E3F" w:rsidRDefault="002E3AA7">
            <w:r>
              <w:rPr>
                <w:sz w:val="19"/>
              </w:rPr>
              <w:t>4</w:t>
            </w:r>
          </w:p>
        </w:tc>
        <w:tc>
          <w:tcPr>
            <w:tcW w:w="1296" w:type="dxa"/>
          </w:tcPr>
          <w:p w14:paraId="66BD07B3" w14:textId="77777777" w:rsidR="004E0E3F" w:rsidRDefault="002E3AA7">
            <w:r>
              <w:rPr>
                <w:sz w:val="19"/>
              </w:rPr>
              <w:t>REM</w:t>
            </w:r>
          </w:p>
        </w:tc>
        <w:tc>
          <w:tcPr>
            <w:tcW w:w="6624" w:type="dxa"/>
          </w:tcPr>
          <w:p w14:paraId="7CDD462D" w14:textId="77777777" w:rsidR="004E0E3F" w:rsidRDefault="002E3AA7">
            <w:r>
              <w:rPr>
                <w:sz w:val="19"/>
              </w:rPr>
              <w:t>Sommeil paradoxal — mouvements oculaires rapides</w:t>
            </w:r>
          </w:p>
        </w:tc>
      </w:tr>
    </w:tbl>
    <w:p w14:paraId="7CEF515E" w14:textId="77777777" w:rsidR="004E0E3F" w:rsidRDefault="002E3AA7">
      <w:pPr>
        <w:spacing w:after="80"/>
      </w:pPr>
      <w:r>
        <w:t xml:space="preserve">Les </w:t>
      </w:r>
      <w:r>
        <w:t>stades sont fortement déséquilibrés : l'éveil et le N2 dominent, tandis que le N1 est rare et difficile à distinguer (transition courte). Ce déséquilibre, illustré ci-dessous, est compensé à l'entraînement par une pondération des classes (class_weight).</w:t>
      </w:r>
    </w:p>
    <w:p w14:paraId="0411798A" w14:textId="77777777" w:rsidR="004E0E3F" w:rsidRDefault="002E3AA7">
      <w:pPr>
        <w:jc w:val="center"/>
      </w:pPr>
      <w:r>
        <w:rPr>
          <w:noProof/>
        </w:rPr>
        <w:lastRenderedPageBreak/>
        <w:drawing>
          <wp:inline distT="0" distB="0" distL="0" distR="0" wp14:anchorId="34F934A9" wp14:editId="57660BFD">
            <wp:extent cx="5120640" cy="24066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distribution.png"/>
                    <pic:cNvPicPr/>
                  </pic:nvPicPr>
                  <pic:blipFill>
                    <a:blip r:embed="rId7"/>
                    <a:stretch>
                      <a:fillRect/>
                    </a:stretch>
                  </pic:blipFill>
                  <pic:spPr>
                    <a:xfrm>
                      <a:off x="0" y="0"/>
                      <a:ext cx="5120640" cy="2406658"/>
                    </a:xfrm>
                    <a:prstGeom prst="rect">
                      <a:avLst/>
                    </a:prstGeom>
                  </pic:spPr>
                </pic:pic>
              </a:graphicData>
            </a:graphic>
          </wp:inline>
        </w:drawing>
      </w:r>
    </w:p>
    <w:p w14:paraId="2D70564F" w14:textId="77777777" w:rsidR="004E0E3F" w:rsidRDefault="002E3AA7">
      <w:pPr>
        <w:spacing w:after="160"/>
        <w:jc w:val="center"/>
      </w:pPr>
      <w:r>
        <w:rPr>
          <w:i/>
          <w:color w:val="475569"/>
          <w:sz w:val="18"/>
        </w:rPr>
        <w:t>Figure 1 — Répartition des 64 113 époques du jeu de test sur les 5 stades AASM.</w:t>
      </w:r>
    </w:p>
    <w:p w14:paraId="49ABF0DC" w14:textId="77777777" w:rsidR="004E0E3F" w:rsidRDefault="002E3AA7">
      <w:pPr>
        <w:pStyle w:val="Titre1"/>
      </w:pPr>
      <w:r>
        <w:rPr>
          <w:color w:val="0C4A6E"/>
        </w:rPr>
        <w:t>4. Prétraitement du signal EOG</w:t>
      </w:r>
    </w:p>
    <w:p w14:paraId="644411CB" w14:textId="77777777" w:rsidR="004E0E3F" w:rsidRDefault="002E3AA7">
      <w:pPr>
        <w:spacing w:after="120"/>
      </w:pPr>
      <w:r>
        <w:t xml:space="preserve">Le prétraitement (module src/preprocessing.py) homogénéise les enregistrements avant l'inférence : rééchantillonnage à 100 Hz, sélection </w:t>
      </w:r>
      <w:r>
        <w:t>automatique du premier canal dont le nom contient « EOG », filtrage passe-bande FIR 0,5–35 Hz pour éliminer la dérive lente et le bruit haute fréquence, puis normalisation z-score par enregistrement et écrêtage des valeurs aberrantes à ±3 écarts-types. La figure 2 montre l'effet du prétraitement sur une époque, et la figure 3 met en évidence des morphologies distinctes selon le stade — base sur laquelle le réseau apprend à discriminer.</w:t>
      </w:r>
    </w:p>
    <w:tbl>
      <w:tblPr>
        <w:tblStyle w:val="Grilledutableau"/>
        <w:tblW w:w="0" w:type="auto"/>
        <w:jc w:val="center"/>
        <w:tblLook w:val="04A0" w:firstRow="1" w:lastRow="0" w:firstColumn="1" w:lastColumn="0" w:noHBand="0" w:noVBand="1"/>
      </w:tblPr>
      <w:tblGrid>
        <w:gridCol w:w="2448"/>
        <w:gridCol w:w="6480"/>
      </w:tblGrid>
      <w:tr w:rsidR="004E0E3F" w14:paraId="4665A7CD" w14:textId="77777777">
        <w:trPr>
          <w:jc w:val="center"/>
        </w:trPr>
        <w:tc>
          <w:tcPr>
            <w:tcW w:w="2448" w:type="dxa"/>
            <w:shd w:val="clear" w:color="auto" w:fill="0C4A6E"/>
          </w:tcPr>
          <w:p w14:paraId="226B8BD7" w14:textId="77777777" w:rsidR="004E0E3F" w:rsidRDefault="002E3AA7">
            <w:r>
              <w:rPr>
                <w:b/>
                <w:color w:val="FFFFFF"/>
                <w:sz w:val="19"/>
              </w:rPr>
              <w:t>Étape</w:t>
            </w:r>
          </w:p>
        </w:tc>
        <w:tc>
          <w:tcPr>
            <w:tcW w:w="6480" w:type="dxa"/>
            <w:shd w:val="clear" w:color="auto" w:fill="0C4A6E"/>
          </w:tcPr>
          <w:p w14:paraId="12E06A96" w14:textId="77777777" w:rsidR="004E0E3F" w:rsidRDefault="002E3AA7">
            <w:r>
              <w:rPr>
                <w:b/>
                <w:color w:val="FFFFFF"/>
                <w:sz w:val="19"/>
              </w:rPr>
              <w:t>Paramètres</w:t>
            </w:r>
          </w:p>
        </w:tc>
      </w:tr>
      <w:tr w:rsidR="004E0E3F" w14:paraId="698D4557" w14:textId="77777777">
        <w:trPr>
          <w:jc w:val="center"/>
        </w:trPr>
        <w:tc>
          <w:tcPr>
            <w:tcW w:w="2448" w:type="dxa"/>
          </w:tcPr>
          <w:p w14:paraId="44E33CDD" w14:textId="77777777" w:rsidR="004E0E3F" w:rsidRDefault="002E3AA7">
            <w:r>
              <w:rPr>
                <w:sz w:val="19"/>
              </w:rPr>
              <w:t>Rééchantillonnage</w:t>
            </w:r>
          </w:p>
        </w:tc>
        <w:tc>
          <w:tcPr>
            <w:tcW w:w="6480" w:type="dxa"/>
          </w:tcPr>
          <w:p w14:paraId="5CA2B882" w14:textId="77777777" w:rsidR="004E0E3F" w:rsidRDefault="002E3AA7">
            <w:r>
              <w:rPr>
                <w:sz w:val="19"/>
              </w:rPr>
              <w:t>100 Hz (aligné sur l'entrée du modèle)</w:t>
            </w:r>
          </w:p>
        </w:tc>
      </w:tr>
      <w:tr w:rsidR="004E0E3F" w14:paraId="4EBCE6B4" w14:textId="77777777">
        <w:trPr>
          <w:jc w:val="center"/>
        </w:trPr>
        <w:tc>
          <w:tcPr>
            <w:tcW w:w="2448" w:type="dxa"/>
            <w:shd w:val="clear" w:color="auto" w:fill="EAF1F6"/>
          </w:tcPr>
          <w:p w14:paraId="6BAA0CF2" w14:textId="77777777" w:rsidR="004E0E3F" w:rsidRDefault="002E3AA7">
            <w:r>
              <w:rPr>
                <w:sz w:val="19"/>
              </w:rPr>
              <w:t>Sélection du canal</w:t>
            </w:r>
          </w:p>
        </w:tc>
        <w:tc>
          <w:tcPr>
            <w:tcW w:w="6480" w:type="dxa"/>
            <w:shd w:val="clear" w:color="auto" w:fill="EAF1F6"/>
          </w:tcPr>
          <w:p w14:paraId="75BF80CB" w14:textId="77777777" w:rsidR="004E0E3F" w:rsidRDefault="002E3AA7">
            <w:r>
              <w:rPr>
                <w:sz w:val="19"/>
              </w:rPr>
              <w:t>Premier canal contenant « EOG » (insensible à la casse)</w:t>
            </w:r>
          </w:p>
        </w:tc>
      </w:tr>
      <w:tr w:rsidR="004E0E3F" w14:paraId="5CE52B0B" w14:textId="77777777">
        <w:trPr>
          <w:jc w:val="center"/>
        </w:trPr>
        <w:tc>
          <w:tcPr>
            <w:tcW w:w="2448" w:type="dxa"/>
          </w:tcPr>
          <w:p w14:paraId="3FEB6414" w14:textId="77777777" w:rsidR="004E0E3F" w:rsidRDefault="002E3AA7">
            <w:r>
              <w:rPr>
                <w:sz w:val="19"/>
              </w:rPr>
              <w:t>Filtrage</w:t>
            </w:r>
          </w:p>
        </w:tc>
        <w:tc>
          <w:tcPr>
            <w:tcW w:w="6480" w:type="dxa"/>
          </w:tcPr>
          <w:p w14:paraId="446B2131" w14:textId="77777777" w:rsidR="004E0E3F" w:rsidRDefault="002E3AA7">
            <w:r>
              <w:rPr>
                <w:sz w:val="19"/>
              </w:rPr>
              <w:t>Passe-bande FIR 0,5 – 35 Hz (MNE-Python)</w:t>
            </w:r>
          </w:p>
        </w:tc>
      </w:tr>
      <w:tr w:rsidR="004E0E3F" w14:paraId="35F43B12" w14:textId="77777777">
        <w:trPr>
          <w:jc w:val="center"/>
        </w:trPr>
        <w:tc>
          <w:tcPr>
            <w:tcW w:w="2448" w:type="dxa"/>
            <w:shd w:val="clear" w:color="auto" w:fill="EAF1F6"/>
          </w:tcPr>
          <w:p w14:paraId="5EB12175" w14:textId="77777777" w:rsidR="004E0E3F" w:rsidRDefault="002E3AA7">
            <w:r>
              <w:rPr>
                <w:sz w:val="19"/>
              </w:rPr>
              <w:t>Normalisation</w:t>
            </w:r>
          </w:p>
        </w:tc>
        <w:tc>
          <w:tcPr>
            <w:tcW w:w="6480" w:type="dxa"/>
            <w:shd w:val="clear" w:color="auto" w:fill="EAF1F6"/>
          </w:tcPr>
          <w:p w14:paraId="4C5D64E3" w14:textId="77777777" w:rsidR="004E0E3F" w:rsidRDefault="002E3AA7">
            <w:r>
              <w:rPr>
                <w:sz w:val="19"/>
              </w:rPr>
              <w:t>Z-score par enregistrement, puis écrêtage à ±3 σ</w:t>
            </w:r>
          </w:p>
        </w:tc>
      </w:tr>
      <w:tr w:rsidR="004E0E3F" w14:paraId="4B69CEFF" w14:textId="77777777">
        <w:trPr>
          <w:jc w:val="center"/>
        </w:trPr>
        <w:tc>
          <w:tcPr>
            <w:tcW w:w="2448" w:type="dxa"/>
          </w:tcPr>
          <w:p w14:paraId="758AFCE0" w14:textId="77777777" w:rsidR="004E0E3F" w:rsidRDefault="002E3AA7">
            <w:r>
              <w:rPr>
                <w:sz w:val="19"/>
              </w:rPr>
              <w:t>Découpage</w:t>
            </w:r>
          </w:p>
        </w:tc>
        <w:tc>
          <w:tcPr>
            <w:tcW w:w="6480" w:type="dxa"/>
          </w:tcPr>
          <w:p w14:paraId="70140752" w14:textId="77777777" w:rsidR="004E0E3F" w:rsidRDefault="002E3AA7">
            <w:r>
              <w:rPr>
                <w:sz w:val="19"/>
              </w:rPr>
              <w:t xml:space="preserve">Époques de 30 s = 3000 points → tenseur (N, </w:t>
            </w:r>
            <w:r>
              <w:rPr>
                <w:sz w:val="19"/>
              </w:rPr>
              <w:t>3000, 1)</w:t>
            </w:r>
          </w:p>
        </w:tc>
      </w:tr>
    </w:tbl>
    <w:p w14:paraId="3536F05E" w14:textId="77777777" w:rsidR="004E0E3F" w:rsidRDefault="002E3AA7">
      <w:pPr>
        <w:jc w:val="center"/>
      </w:pPr>
      <w:r>
        <w:rPr>
          <w:noProof/>
        </w:rPr>
        <w:drawing>
          <wp:inline distT="0" distB="0" distL="0" distR="0" wp14:anchorId="00E6C587" wp14:editId="30346CA3">
            <wp:extent cx="5394960" cy="24496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og_signal.png"/>
                    <pic:cNvPicPr/>
                  </pic:nvPicPr>
                  <pic:blipFill>
                    <a:blip r:embed="rId8"/>
                    <a:stretch>
                      <a:fillRect/>
                    </a:stretch>
                  </pic:blipFill>
                  <pic:spPr>
                    <a:xfrm>
                      <a:off x="0" y="0"/>
                      <a:ext cx="5394960" cy="2449642"/>
                    </a:xfrm>
                    <a:prstGeom prst="rect">
                      <a:avLst/>
                    </a:prstGeom>
                  </pic:spPr>
                </pic:pic>
              </a:graphicData>
            </a:graphic>
          </wp:inline>
        </w:drawing>
      </w:r>
    </w:p>
    <w:p w14:paraId="17B016ED" w14:textId="77777777" w:rsidR="004E0E3F" w:rsidRDefault="002E3AA7">
      <w:pPr>
        <w:spacing w:after="160"/>
        <w:jc w:val="center"/>
      </w:pPr>
      <w:r>
        <w:rPr>
          <w:i/>
          <w:color w:val="475569"/>
          <w:sz w:val="18"/>
        </w:rPr>
        <w:t>Figure 2 — Signal EOG brut (haut) et après prétraitement (bas) sur une époque de 30 s.</w:t>
      </w:r>
    </w:p>
    <w:p w14:paraId="596C2E3B" w14:textId="77777777" w:rsidR="004E0E3F" w:rsidRDefault="002E3AA7">
      <w:pPr>
        <w:jc w:val="center"/>
      </w:pPr>
      <w:r>
        <w:rPr>
          <w:noProof/>
        </w:rPr>
        <w:lastRenderedPageBreak/>
        <w:drawing>
          <wp:inline distT="0" distB="0" distL="0" distR="0" wp14:anchorId="66388394" wp14:editId="211CAC5B">
            <wp:extent cx="5029200" cy="37785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og_stages.png"/>
                    <pic:cNvPicPr/>
                  </pic:nvPicPr>
                  <pic:blipFill>
                    <a:blip r:embed="rId9"/>
                    <a:stretch>
                      <a:fillRect/>
                    </a:stretch>
                  </pic:blipFill>
                  <pic:spPr>
                    <a:xfrm>
                      <a:off x="0" y="0"/>
                      <a:ext cx="5029200" cy="3778588"/>
                    </a:xfrm>
                    <a:prstGeom prst="rect">
                      <a:avLst/>
                    </a:prstGeom>
                  </pic:spPr>
                </pic:pic>
              </a:graphicData>
            </a:graphic>
          </wp:inline>
        </w:drawing>
      </w:r>
    </w:p>
    <w:p w14:paraId="263666C0" w14:textId="77777777" w:rsidR="004E0E3F" w:rsidRDefault="002E3AA7">
      <w:pPr>
        <w:spacing w:after="160"/>
        <w:jc w:val="center"/>
      </w:pPr>
      <w:r>
        <w:rPr>
          <w:i/>
          <w:color w:val="475569"/>
          <w:sz w:val="18"/>
        </w:rPr>
        <w:t>Figure 3 — Morphologie typique du signal EOG prétraité pour chacun des 5 stades (Patient_01).</w:t>
      </w:r>
    </w:p>
    <w:p w14:paraId="10109B03" w14:textId="77777777" w:rsidR="004E0E3F" w:rsidRDefault="002E3AA7">
      <w:pPr>
        <w:pStyle w:val="Titre1"/>
      </w:pPr>
      <w:r>
        <w:rPr>
          <w:color w:val="0C4A6E"/>
        </w:rPr>
        <w:t>5. Architecture du modèle</w:t>
      </w:r>
    </w:p>
    <w:p w14:paraId="68176B99" w14:textId="77777777" w:rsidR="004E0E3F" w:rsidRDefault="002E3AA7">
      <w:pPr>
        <w:spacing w:after="120"/>
      </w:pPr>
      <w:r>
        <w:t>Deux architectures ont été développées (src/architecture.py). Une variante CNN + Bi-LSTM offre une bonne modélisation temporelle mais utilise des opérations récurrentes (Loop, ReverseSequence) non supportées par le NPU Intel ciblé. Une variante CNN 1D pure — quatre blocs convolutifs (Conv1D + BatchNorm + MaxPooling) suivis d'un global average pooling et de couches denses — n'emploie que des opérations compatibles NPU et constitue le modèle déployé. Elle compte environ 455 000 paramètres pour une entrée stat</w:t>
      </w:r>
      <w:r>
        <w:t>ique de forme (64, 3000, 1).</w:t>
      </w:r>
    </w:p>
    <w:p w14:paraId="6587BE8C" w14:textId="77777777" w:rsidR="004E0E3F" w:rsidRDefault="002E3AA7">
      <w:pPr>
        <w:jc w:val="center"/>
      </w:pPr>
      <w:r>
        <w:rPr>
          <w:noProof/>
        </w:rPr>
        <w:drawing>
          <wp:inline distT="0" distB="0" distL="0" distR="0" wp14:anchorId="640CEA49" wp14:editId="5E84DA72">
            <wp:extent cx="5760720" cy="12151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5760720" cy="1215152"/>
                    </a:xfrm>
                    <a:prstGeom prst="rect">
                      <a:avLst/>
                    </a:prstGeom>
                  </pic:spPr>
                </pic:pic>
              </a:graphicData>
            </a:graphic>
          </wp:inline>
        </w:drawing>
      </w:r>
    </w:p>
    <w:p w14:paraId="23A5E544" w14:textId="77777777" w:rsidR="004E0E3F" w:rsidRDefault="002E3AA7">
      <w:pPr>
        <w:spacing w:after="160"/>
        <w:jc w:val="center"/>
      </w:pPr>
      <w:r>
        <w:rPr>
          <w:i/>
          <w:color w:val="475569"/>
          <w:sz w:val="18"/>
        </w:rPr>
        <w:t>Figure 4 — Architecture du CNN 1D compatible NPU (détail dans src/architecture.py).</w:t>
      </w:r>
    </w:p>
    <w:tbl>
      <w:tblPr>
        <w:tblStyle w:val="Grilledutableau"/>
        <w:tblW w:w="0" w:type="auto"/>
        <w:jc w:val="center"/>
        <w:tblLook w:val="04A0" w:firstRow="1" w:lastRow="0" w:firstColumn="1" w:lastColumn="0" w:noHBand="0" w:noVBand="1"/>
      </w:tblPr>
      <w:tblGrid>
        <w:gridCol w:w="1008"/>
        <w:gridCol w:w="6048"/>
        <w:gridCol w:w="1872"/>
      </w:tblGrid>
      <w:tr w:rsidR="004E0E3F" w14:paraId="14307EDE" w14:textId="77777777">
        <w:trPr>
          <w:jc w:val="center"/>
        </w:trPr>
        <w:tc>
          <w:tcPr>
            <w:tcW w:w="1008" w:type="dxa"/>
            <w:shd w:val="clear" w:color="auto" w:fill="0C4A6E"/>
          </w:tcPr>
          <w:p w14:paraId="2E592477" w14:textId="77777777" w:rsidR="004E0E3F" w:rsidRDefault="002E3AA7">
            <w:r>
              <w:rPr>
                <w:b/>
                <w:color w:val="FFFFFF"/>
                <w:sz w:val="19"/>
              </w:rPr>
              <w:t>Bloc</w:t>
            </w:r>
          </w:p>
        </w:tc>
        <w:tc>
          <w:tcPr>
            <w:tcW w:w="6048" w:type="dxa"/>
            <w:shd w:val="clear" w:color="auto" w:fill="0C4A6E"/>
          </w:tcPr>
          <w:p w14:paraId="2CD8BD00" w14:textId="77777777" w:rsidR="004E0E3F" w:rsidRDefault="002E3AA7">
            <w:r>
              <w:rPr>
                <w:b/>
                <w:color w:val="FFFFFF"/>
                <w:sz w:val="19"/>
              </w:rPr>
              <w:t>Couches</w:t>
            </w:r>
          </w:p>
        </w:tc>
        <w:tc>
          <w:tcPr>
            <w:tcW w:w="1872" w:type="dxa"/>
            <w:shd w:val="clear" w:color="auto" w:fill="0C4A6E"/>
          </w:tcPr>
          <w:p w14:paraId="11D785B0" w14:textId="77777777" w:rsidR="004E0E3F" w:rsidRDefault="002E3AA7">
            <w:r>
              <w:rPr>
                <w:b/>
                <w:color w:val="FFFFFF"/>
                <w:sz w:val="19"/>
              </w:rPr>
              <w:t>Sortie</w:t>
            </w:r>
          </w:p>
        </w:tc>
      </w:tr>
      <w:tr w:rsidR="004E0E3F" w14:paraId="6A45E891" w14:textId="77777777">
        <w:trPr>
          <w:jc w:val="center"/>
        </w:trPr>
        <w:tc>
          <w:tcPr>
            <w:tcW w:w="1008" w:type="dxa"/>
          </w:tcPr>
          <w:p w14:paraId="237FBA88" w14:textId="77777777" w:rsidR="004E0E3F" w:rsidRDefault="002E3AA7">
            <w:r>
              <w:rPr>
                <w:sz w:val="19"/>
              </w:rPr>
              <w:t>1</w:t>
            </w:r>
          </w:p>
        </w:tc>
        <w:tc>
          <w:tcPr>
            <w:tcW w:w="6048" w:type="dxa"/>
          </w:tcPr>
          <w:p w14:paraId="7623A980" w14:textId="77777777" w:rsidR="004E0E3F" w:rsidRDefault="002E3AA7">
            <w:r>
              <w:rPr>
                <w:sz w:val="19"/>
              </w:rPr>
              <w:t>Conv1D(64, k=11) + BN + MaxPool(4)</w:t>
            </w:r>
          </w:p>
        </w:tc>
        <w:tc>
          <w:tcPr>
            <w:tcW w:w="1872" w:type="dxa"/>
          </w:tcPr>
          <w:p w14:paraId="512A993F" w14:textId="77777777" w:rsidR="004E0E3F" w:rsidRDefault="002E3AA7">
            <w:r>
              <w:rPr>
                <w:sz w:val="19"/>
              </w:rPr>
              <w:t>(750, 64)</w:t>
            </w:r>
          </w:p>
        </w:tc>
      </w:tr>
      <w:tr w:rsidR="004E0E3F" w14:paraId="52C71117" w14:textId="77777777">
        <w:trPr>
          <w:jc w:val="center"/>
        </w:trPr>
        <w:tc>
          <w:tcPr>
            <w:tcW w:w="1008" w:type="dxa"/>
            <w:shd w:val="clear" w:color="auto" w:fill="EAF1F6"/>
          </w:tcPr>
          <w:p w14:paraId="16F7E4FC" w14:textId="77777777" w:rsidR="004E0E3F" w:rsidRDefault="002E3AA7">
            <w:r>
              <w:rPr>
                <w:sz w:val="19"/>
              </w:rPr>
              <w:t>2</w:t>
            </w:r>
          </w:p>
        </w:tc>
        <w:tc>
          <w:tcPr>
            <w:tcW w:w="6048" w:type="dxa"/>
            <w:shd w:val="clear" w:color="auto" w:fill="EAF1F6"/>
          </w:tcPr>
          <w:p w14:paraId="3F185703" w14:textId="77777777" w:rsidR="004E0E3F" w:rsidRDefault="002E3AA7">
            <w:r>
              <w:rPr>
                <w:sz w:val="19"/>
              </w:rPr>
              <w:t>Conv1D(128, k=7) + BN + MaxPool(4)</w:t>
            </w:r>
          </w:p>
        </w:tc>
        <w:tc>
          <w:tcPr>
            <w:tcW w:w="1872" w:type="dxa"/>
            <w:shd w:val="clear" w:color="auto" w:fill="EAF1F6"/>
          </w:tcPr>
          <w:p w14:paraId="23CEE229" w14:textId="77777777" w:rsidR="004E0E3F" w:rsidRDefault="002E3AA7">
            <w:r>
              <w:rPr>
                <w:sz w:val="19"/>
              </w:rPr>
              <w:t>(187, 128)</w:t>
            </w:r>
          </w:p>
        </w:tc>
      </w:tr>
      <w:tr w:rsidR="004E0E3F" w14:paraId="413D548C" w14:textId="77777777">
        <w:trPr>
          <w:jc w:val="center"/>
        </w:trPr>
        <w:tc>
          <w:tcPr>
            <w:tcW w:w="1008" w:type="dxa"/>
          </w:tcPr>
          <w:p w14:paraId="39E78329" w14:textId="77777777" w:rsidR="004E0E3F" w:rsidRDefault="002E3AA7">
            <w:r>
              <w:rPr>
                <w:sz w:val="19"/>
              </w:rPr>
              <w:t>3</w:t>
            </w:r>
          </w:p>
        </w:tc>
        <w:tc>
          <w:tcPr>
            <w:tcW w:w="6048" w:type="dxa"/>
          </w:tcPr>
          <w:p w14:paraId="019F93A4" w14:textId="77777777" w:rsidR="004E0E3F" w:rsidRDefault="002E3AA7">
            <w:r>
              <w:rPr>
                <w:sz w:val="19"/>
              </w:rPr>
              <w:t>Conv1D(256, k=5) + BN + MaxPool(4)</w:t>
            </w:r>
          </w:p>
        </w:tc>
        <w:tc>
          <w:tcPr>
            <w:tcW w:w="1872" w:type="dxa"/>
          </w:tcPr>
          <w:p w14:paraId="61EFA297" w14:textId="77777777" w:rsidR="004E0E3F" w:rsidRDefault="002E3AA7">
            <w:r>
              <w:rPr>
                <w:sz w:val="19"/>
              </w:rPr>
              <w:t>(46, 256)</w:t>
            </w:r>
          </w:p>
        </w:tc>
      </w:tr>
      <w:tr w:rsidR="004E0E3F" w14:paraId="1B14524E" w14:textId="77777777">
        <w:trPr>
          <w:jc w:val="center"/>
        </w:trPr>
        <w:tc>
          <w:tcPr>
            <w:tcW w:w="1008" w:type="dxa"/>
            <w:shd w:val="clear" w:color="auto" w:fill="EAF1F6"/>
          </w:tcPr>
          <w:p w14:paraId="68E14E0E" w14:textId="77777777" w:rsidR="004E0E3F" w:rsidRDefault="002E3AA7">
            <w:r>
              <w:rPr>
                <w:sz w:val="19"/>
              </w:rPr>
              <w:t>4</w:t>
            </w:r>
          </w:p>
        </w:tc>
        <w:tc>
          <w:tcPr>
            <w:tcW w:w="6048" w:type="dxa"/>
            <w:shd w:val="clear" w:color="auto" w:fill="EAF1F6"/>
          </w:tcPr>
          <w:p w14:paraId="267C6F11" w14:textId="77777777" w:rsidR="004E0E3F" w:rsidRDefault="002E3AA7">
            <w:r>
              <w:rPr>
                <w:sz w:val="19"/>
              </w:rPr>
              <w:t>Conv1D(256, k=3) + BN + MaxPool(2)</w:t>
            </w:r>
          </w:p>
        </w:tc>
        <w:tc>
          <w:tcPr>
            <w:tcW w:w="1872" w:type="dxa"/>
            <w:shd w:val="clear" w:color="auto" w:fill="EAF1F6"/>
          </w:tcPr>
          <w:p w14:paraId="0EBD9BF2" w14:textId="77777777" w:rsidR="004E0E3F" w:rsidRDefault="002E3AA7">
            <w:r>
              <w:rPr>
                <w:sz w:val="19"/>
              </w:rPr>
              <w:t>(23, 256)</w:t>
            </w:r>
          </w:p>
        </w:tc>
      </w:tr>
      <w:tr w:rsidR="004E0E3F" w14:paraId="6099C602" w14:textId="77777777">
        <w:trPr>
          <w:jc w:val="center"/>
        </w:trPr>
        <w:tc>
          <w:tcPr>
            <w:tcW w:w="1008" w:type="dxa"/>
          </w:tcPr>
          <w:p w14:paraId="75A6476F" w14:textId="77777777" w:rsidR="004E0E3F" w:rsidRDefault="002E3AA7">
            <w:r>
              <w:rPr>
                <w:sz w:val="19"/>
              </w:rPr>
              <w:t>Tête</w:t>
            </w:r>
          </w:p>
        </w:tc>
        <w:tc>
          <w:tcPr>
            <w:tcW w:w="6048" w:type="dxa"/>
          </w:tcPr>
          <w:p w14:paraId="070F6A02" w14:textId="77777777" w:rsidR="004E0E3F" w:rsidRDefault="002E3AA7">
            <w:r>
              <w:rPr>
                <w:sz w:val="19"/>
              </w:rPr>
              <w:t>GlobalAvgPool1D → Dense(128) → Dense(5, softmax)</w:t>
            </w:r>
          </w:p>
        </w:tc>
        <w:tc>
          <w:tcPr>
            <w:tcW w:w="1872" w:type="dxa"/>
          </w:tcPr>
          <w:p w14:paraId="75628BCA" w14:textId="77777777" w:rsidR="004E0E3F" w:rsidRDefault="002E3AA7">
            <w:r>
              <w:rPr>
                <w:sz w:val="19"/>
              </w:rPr>
              <w:t>(5,)</w:t>
            </w:r>
          </w:p>
        </w:tc>
      </w:tr>
    </w:tbl>
    <w:p w14:paraId="064E1DDC" w14:textId="77777777" w:rsidR="004E0E3F" w:rsidRDefault="002E3AA7">
      <w:pPr>
        <w:pStyle w:val="Titre1"/>
      </w:pPr>
      <w:r>
        <w:rPr>
          <w:color w:val="0C4A6E"/>
        </w:rPr>
        <w:lastRenderedPageBreak/>
        <w:t>6. Protocole d'entraînement et d'évaluation</w:t>
      </w:r>
    </w:p>
    <w:p w14:paraId="7DDC404F" w14:textId="77777777" w:rsidR="004E0E3F" w:rsidRDefault="002E3AA7">
      <w:pPr>
        <w:spacing w:after="120"/>
      </w:pPr>
      <w:r>
        <w:t xml:space="preserve">Le point méthodologique central est le découpage par sujet (src/splits.py) : les </w:t>
      </w:r>
      <w:r>
        <w:t>enregistrements sont répartis en 127 sujets d'entraînement (297 012 époques), 28 sujets de validation (58 045 époques) et 27 sujets de test (64 113 époques). Aucune époque d'un sujet de test n'apparaît à l'entraînement ni à la validation, ce qui évite toute fuite de données et donne une estimation honnête de la généralisation. La fonction de perte est l'entropie croisée catégorielle, l'optimiseur Adam, avec pondération des classes et arrêt anticipé sur le F1 macro de validation. L'entraînement a été mené su</w:t>
      </w:r>
      <w:r>
        <w:t>r GPU (Kaggle P100). La figure 5 montre la progression du F1 macro et de l'exactitude en validation.</w:t>
      </w:r>
    </w:p>
    <w:p w14:paraId="059C0A2B" w14:textId="77777777" w:rsidR="004E0E3F" w:rsidRDefault="002E3AA7">
      <w:pPr>
        <w:jc w:val="center"/>
      </w:pPr>
      <w:r>
        <w:rPr>
          <w:noProof/>
        </w:rPr>
        <w:drawing>
          <wp:inline distT="0" distB="0" distL="0" distR="0" wp14:anchorId="29BD1EC8" wp14:editId="5752B08D">
            <wp:extent cx="5303520" cy="23239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ining_curve.png"/>
                    <pic:cNvPicPr/>
                  </pic:nvPicPr>
                  <pic:blipFill>
                    <a:blip r:embed="rId11"/>
                    <a:stretch>
                      <a:fillRect/>
                    </a:stretch>
                  </pic:blipFill>
                  <pic:spPr>
                    <a:xfrm>
                      <a:off x="0" y="0"/>
                      <a:ext cx="5303520" cy="2323967"/>
                    </a:xfrm>
                    <a:prstGeom prst="rect">
                      <a:avLst/>
                    </a:prstGeom>
                  </pic:spPr>
                </pic:pic>
              </a:graphicData>
            </a:graphic>
          </wp:inline>
        </w:drawing>
      </w:r>
    </w:p>
    <w:p w14:paraId="4E3EC3A6" w14:textId="77777777" w:rsidR="004E0E3F" w:rsidRDefault="002E3AA7">
      <w:pPr>
        <w:spacing w:after="160"/>
        <w:jc w:val="center"/>
      </w:pPr>
      <w:r>
        <w:rPr>
          <w:i/>
          <w:color w:val="475569"/>
          <w:sz w:val="18"/>
        </w:rPr>
        <w:t>Figure 5 — Courbes de validation (CNN 1D NPU). Le meilleur modèle (F1 ≈ 0,724) est conservé.</w:t>
      </w:r>
    </w:p>
    <w:p w14:paraId="58E4A1B4" w14:textId="77777777" w:rsidR="004E0E3F" w:rsidRDefault="002E3AA7">
      <w:pPr>
        <w:pStyle w:val="Titre1"/>
      </w:pPr>
      <w:r>
        <w:rPr>
          <w:color w:val="0C4A6E"/>
        </w:rPr>
        <w:t>7. Résultats quantitatifs</w:t>
      </w:r>
    </w:p>
    <w:p w14:paraId="561C4D88" w14:textId="77777777" w:rsidR="004E0E3F" w:rsidRDefault="002E3AA7">
      <w:pPr>
        <w:spacing w:after="120"/>
      </w:pPr>
      <w:r>
        <w:t xml:space="preserve">Les performances </w:t>
      </w:r>
      <w:r>
        <w:t>ci-dessous sont calculées sur le jeu de test hold-out (27 sujets, 64 113 époques) via src/evaluate_holdout.py. Le CNN 1D déployé dépasse la variante CNN + Bi-LSTM sur l'ensemble des métriques globales, tout en restant compatible NPU.</w:t>
      </w:r>
    </w:p>
    <w:tbl>
      <w:tblPr>
        <w:tblStyle w:val="Grilledutableau"/>
        <w:tblW w:w="0" w:type="auto"/>
        <w:jc w:val="center"/>
        <w:tblLook w:val="04A0" w:firstRow="1" w:lastRow="0" w:firstColumn="1" w:lastColumn="0" w:noHBand="0" w:noVBand="1"/>
      </w:tblPr>
      <w:tblGrid>
        <w:gridCol w:w="3024"/>
        <w:gridCol w:w="3168"/>
        <w:gridCol w:w="3168"/>
      </w:tblGrid>
      <w:tr w:rsidR="004E0E3F" w14:paraId="0FFB4296" w14:textId="77777777">
        <w:trPr>
          <w:jc w:val="center"/>
        </w:trPr>
        <w:tc>
          <w:tcPr>
            <w:tcW w:w="3024" w:type="dxa"/>
            <w:shd w:val="clear" w:color="auto" w:fill="0C4A6E"/>
          </w:tcPr>
          <w:p w14:paraId="16D73DC4" w14:textId="77777777" w:rsidR="004E0E3F" w:rsidRDefault="002E3AA7">
            <w:r>
              <w:rPr>
                <w:b/>
                <w:color w:val="FFFFFF"/>
                <w:sz w:val="19"/>
              </w:rPr>
              <w:t>Métrique</w:t>
            </w:r>
          </w:p>
        </w:tc>
        <w:tc>
          <w:tcPr>
            <w:tcW w:w="3168" w:type="dxa"/>
            <w:shd w:val="clear" w:color="auto" w:fill="0C4A6E"/>
          </w:tcPr>
          <w:p w14:paraId="5A693622" w14:textId="77777777" w:rsidR="004E0E3F" w:rsidRDefault="002E3AA7">
            <w:r>
              <w:rPr>
                <w:b/>
                <w:color w:val="FFFFFF"/>
                <w:sz w:val="19"/>
              </w:rPr>
              <w:t>CNN 1D (NPU) — déployé</w:t>
            </w:r>
          </w:p>
        </w:tc>
        <w:tc>
          <w:tcPr>
            <w:tcW w:w="3168" w:type="dxa"/>
            <w:shd w:val="clear" w:color="auto" w:fill="0C4A6E"/>
          </w:tcPr>
          <w:p w14:paraId="114E9D75" w14:textId="77777777" w:rsidR="004E0E3F" w:rsidRDefault="002E3AA7">
            <w:r>
              <w:rPr>
                <w:b/>
                <w:color w:val="FFFFFF"/>
                <w:sz w:val="19"/>
              </w:rPr>
              <w:t>CNN + Bi-LSTM (référence)</w:t>
            </w:r>
          </w:p>
        </w:tc>
      </w:tr>
      <w:tr w:rsidR="004E0E3F" w14:paraId="15FDB0D0" w14:textId="77777777">
        <w:trPr>
          <w:jc w:val="center"/>
        </w:trPr>
        <w:tc>
          <w:tcPr>
            <w:tcW w:w="3024" w:type="dxa"/>
          </w:tcPr>
          <w:p w14:paraId="353626FF" w14:textId="77777777" w:rsidR="004E0E3F" w:rsidRDefault="002E3AA7">
            <w:r>
              <w:rPr>
                <w:sz w:val="19"/>
              </w:rPr>
              <w:t>Exactitude (accuracy)</w:t>
            </w:r>
          </w:p>
        </w:tc>
        <w:tc>
          <w:tcPr>
            <w:tcW w:w="3168" w:type="dxa"/>
          </w:tcPr>
          <w:p w14:paraId="7982C872" w14:textId="77777777" w:rsidR="004E0E3F" w:rsidRDefault="002E3AA7">
            <w:r>
              <w:rPr>
                <w:sz w:val="19"/>
              </w:rPr>
              <w:t>85.9 %</w:t>
            </w:r>
          </w:p>
        </w:tc>
        <w:tc>
          <w:tcPr>
            <w:tcW w:w="3168" w:type="dxa"/>
          </w:tcPr>
          <w:p w14:paraId="2950A604" w14:textId="77777777" w:rsidR="004E0E3F" w:rsidRDefault="002E3AA7">
            <w:r>
              <w:rPr>
                <w:sz w:val="19"/>
              </w:rPr>
              <w:t>83.7 %</w:t>
            </w:r>
          </w:p>
        </w:tc>
      </w:tr>
      <w:tr w:rsidR="004E0E3F" w14:paraId="51EB34C0" w14:textId="77777777">
        <w:trPr>
          <w:jc w:val="center"/>
        </w:trPr>
        <w:tc>
          <w:tcPr>
            <w:tcW w:w="3024" w:type="dxa"/>
            <w:shd w:val="clear" w:color="auto" w:fill="EAF1F6"/>
          </w:tcPr>
          <w:p w14:paraId="4074C85F" w14:textId="77777777" w:rsidR="004E0E3F" w:rsidRDefault="002E3AA7">
            <w:r>
              <w:rPr>
                <w:sz w:val="19"/>
              </w:rPr>
              <w:t>F1 macro</w:t>
            </w:r>
          </w:p>
        </w:tc>
        <w:tc>
          <w:tcPr>
            <w:tcW w:w="3168" w:type="dxa"/>
            <w:shd w:val="clear" w:color="auto" w:fill="EAF1F6"/>
          </w:tcPr>
          <w:p w14:paraId="5B37AFD0" w14:textId="77777777" w:rsidR="004E0E3F" w:rsidRDefault="002E3AA7">
            <w:r>
              <w:rPr>
                <w:sz w:val="19"/>
              </w:rPr>
              <w:t>0.738</w:t>
            </w:r>
          </w:p>
        </w:tc>
        <w:tc>
          <w:tcPr>
            <w:tcW w:w="3168" w:type="dxa"/>
            <w:shd w:val="clear" w:color="auto" w:fill="EAF1F6"/>
          </w:tcPr>
          <w:p w14:paraId="0260AD76" w14:textId="77777777" w:rsidR="004E0E3F" w:rsidRDefault="002E3AA7">
            <w:r>
              <w:rPr>
                <w:sz w:val="19"/>
              </w:rPr>
              <w:t>0.700</w:t>
            </w:r>
          </w:p>
        </w:tc>
      </w:tr>
      <w:tr w:rsidR="004E0E3F" w14:paraId="74671D80" w14:textId="77777777">
        <w:trPr>
          <w:jc w:val="center"/>
        </w:trPr>
        <w:tc>
          <w:tcPr>
            <w:tcW w:w="3024" w:type="dxa"/>
          </w:tcPr>
          <w:p w14:paraId="47537C06" w14:textId="77777777" w:rsidR="004E0E3F" w:rsidRDefault="002E3AA7">
            <w:r>
              <w:rPr>
                <w:sz w:val="19"/>
              </w:rPr>
              <w:t>F1 pondéré</w:t>
            </w:r>
          </w:p>
        </w:tc>
        <w:tc>
          <w:tcPr>
            <w:tcW w:w="3168" w:type="dxa"/>
          </w:tcPr>
          <w:p w14:paraId="68C9CD97" w14:textId="77777777" w:rsidR="004E0E3F" w:rsidRDefault="002E3AA7">
            <w:r>
              <w:rPr>
                <w:sz w:val="19"/>
              </w:rPr>
              <w:t>0.870</w:t>
            </w:r>
          </w:p>
        </w:tc>
        <w:tc>
          <w:tcPr>
            <w:tcW w:w="3168" w:type="dxa"/>
          </w:tcPr>
          <w:p w14:paraId="20E10AC6" w14:textId="77777777" w:rsidR="004E0E3F" w:rsidRDefault="002E3AA7">
            <w:r>
              <w:rPr>
                <w:sz w:val="19"/>
              </w:rPr>
              <w:t>0.851</w:t>
            </w:r>
          </w:p>
        </w:tc>
      </w:tr>
      <w:tr w:rsidR="004E0E3F" w14:paraId="5EDF31DE" w14:textId="77777777">
        <w:trPr>
          <w:jc w:val="center"/>
        </w:trPr>
        <w:tc>
          <w:tcPr>
            <w:tcW w:w="3024" w:type="dxa"/>
            <w:shd w:val="clear" w:color="auto" w:fill="EAF1F6"/>
          </w:tcPr>
          <w:p w14:paraId="32E3B3F5" w14:textId="77777777" w:rsidR="004E0E3F" w:rsidRDefault="002E3AA7">
            <w:r>
              <w:rPr>
                <w:sz w:val="19"/>
              </w:rPr>
              <w:t>Kappa de Cohen</w:t>
            </w:r>
          </w:p>
        </w:tc>
        <w:tc>
          <w:tcPr>
            <w:tcW w:w="3168" w:type="dxa"/>
            <w:shd w:val="clear" w:color="auto" w:fill="EAF1F6"/>
          </w:tcPr>
          <w:p w14:paraId="647B8C9A" w14:textId="77777777" w:rsidR="004E0E3F" w:rsidRDefault="002E3AA7">
            <w:r>
              <w:rPr>
                <w:sz w:val="19"/>
              </w:rPr>
              <w:t>0.756</w:t>
            </w:r>
          </w:p>
        </w:tc>
        <w:tc>
          <w:tcPr>
            <w:tcW w:w="3168" w:type="dxa"/>
            <w:shd w:val="clear" w:color="auto" w:fill="EAF1F6"/>
          </w:tcPr>
          <w:p w14:paraId="72CDDE89" w14:textId="77777777" w:rsidR="004E0E3F" w:rsidRDefault="002E3AA7">
            <w:r>
              <w:rPr>
                <w:sz w:val="19"/>
              </w:rPr>
              <w:t>0.719</w:t>
            </w:r>
          </w:p>
        </w:tc>
      </w:tr>
    </w:tbl>
    <w:p w14:paraId="3388F47B" w14:textId="77777777" w:rsidR="004E0E3F" w:rsidRDefault="002E3AA7">
      <w:pPr>
        <w:spacing w:after="120"/>
      </w:pPr>
      <w:r>
        <w:t xml:space="preserve">L'analyse par stade (figure 6) confirme une excellente détection de l'éveil et du sommeil profond, de </w:t>
      </w:r>
      <w:r>
        <w:t>bonnes performances en N2 et REM, et la difficulté attendue sur le N1 — stade de transition minoritaire et ambigu, y compris pour les experts humains. La matrice de confusion (figure 7) montre que les erreurs résiduelles concernent surtout les confusions N1↔N2 et N1↔REM.</w:t>
      </w:r>
    </w:p>
    <w:p w14:paraId="2817DC91" w14:textId="77777777" w:rsidR="004E0E3F" w:rsidRDefault="002E3AA7">
      <w:pPr>
        <w:jc w:val="center"/>
      </w:pPr>
      <w:r>
        <w:rPr>
          <w:noProof/>
        </w:rPr>
        <w:lastRenderedPageBreak/>
        <w:drawing>
          <wp:inline distT="0" distB="0" distL="0" distR="0" wp14:anchorId="1A4BFF85" wp14:editId="7096532D">
            <wp:extent cx="5303520" cy="24118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1_comparison.png"/>
                    <pic:cNvPicPr/>
                  </pic:nvPicPr>
                  <pic:blipFill>
                    <a:blip r:embed="rId12"/>
                    <a:stretch>
                      <a:fillRect/>
                    </a:stretch>
                  </pic:blipFill>
                  <pic:spPr>
                    <a:xfrm>
                      <a:off x="0" y="0"/>
                      <a:ext cx="5303520" cy="2411810"/>
                    </a:xfrm>
                    <a:prstGeom prst="rect">
                      <a:avLst/>
                    </a:prstGeom>
                  </pic:spPr>
                </pic:pic>
              </a:graphicData>
            </a:graphic>
          </wp:inline>
        </w:drawing>
      </w:r>
    </w:p>
    <w:p w14:paraId="36755DE6" w14:textId="77777777" w:rsidR="004E0E3F" w:rsidRDefault="002E3AA7">
      <w:pPr>
        <w:spacing w:after="160"/>
        <w:jc w:val="center"/>
      </w:pPr>
      <w:r>
        <w:rPr>
          <w:i/>
          <w:color w:val="475569"/>
          <w:sz w:val="18"/>
        </w:rPr>
        <w:t>Figure 6 — Score F1 par stade : CNN 1D (NPU) vs CNN + Bi-LSTM (test hold-out).</w:t>
      </w:r>
    </w:p>
    <w:p w14:paraId="4FA0155F" w14:textId="77777777" w:rsidR="004E0E3F" w:rsidRDefault="002E3AA7">
      <w:pPr>
        <w:jc w:val="center"/>
      </w:pPr>
      <w:r>
        <w:rPr>
          <w:noProof/>
        </w:rPr>
        <w:drawing>
          <wp:inline distT="0" distB="0" distL="0" distR="0" wp14:anchorId="5201D896" wp14:editId="2BDEDA6B">
            <wp:extent cx="4114800" cy="3596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_cnn.png"/>
                    <pic:cNvPicPr/>
                  </pic:nvPicPr>
                  <pic:blipFill>
                    <a:blip r:embed="rId13"/>
                    <a:stretch>
                      <a:fillRect/>
                    </a:stretch>
                  </pic:blipFill>
                  <pic:spPr>
                    <a:xfrm>
                      <a:off x="0" y="0"/>
                      <a:ext cx="4114800" cy="3596400"/>
                    </a:xfrm>
                    <a:prstGeom prst="rect">
                      <a:avLst/>
                    </a:prstGeom>
                  </pic:spPr>
                </pic:pic>
              </a:graphicData>
            </a:graphic>
          </wp:inline>
        </w:drawing>
      </w:r>
    </w:p>
    <w:p w14:paraId="4B60CF07" w14:textId="77777777" w:rsidR="004E0E3F" w:rsidRDefault="002E3AA7">
      <w:pPr>
        <w:spacing w:after="160"/>
        <w:jc w:val="center"/>
      </w:pPr>
      <w:r>
        <w:rPr>
          <w:i/>
          <w:color w:val="475569"/>
          <w:sz w:val="18"/>
        </w:rPr>
        <w:t>Figure 7 — Matrice de confusion normalisée par ligne (CNN 1D NPU, test hold-out).</w:t>
      </w:r>
    </w:p>
    <w:tbl>
      <w:tblPr>
        <w:tblStyle w:val="Grilledutableau"/>
        <w:tblW w:w="0" w:type="auto"/>
        <w:jc w:val="center"/>
        <w:tblLook w:val="04A0" w:firstRow="1" w:lastRow="0" w:firstColumn="1" w:lastColumn="0" w:noHBand="0" w:noVBand="1"/>
      </w:tblPr>
      <w:tblGrid>
        <w:gridCol w:w="1440"/>
        <w:gridCol w:w="1728"/>
        <w:gridCol w:w="1584"/>
        <w:gridCol w:w="1440"/>
        <w:gridCol w:w="1728"/>
      </w:tblGrid>
      <w:tr w:rsidR="004E0E3F" w14:paraId="049D40D9" w14:textId="77777777">
        <w:trPr>
          <w:jc w:val="center"/>
        </w:trPr>
        <w:tc>
          <w:tcPr>
            <w:tcW w:w="1440" w:type="dxa"/>
            <w:shd w:val="clear" w:color="auto" w:fill="0C4A6E"/>
          </w:tcPr>
          <w:p w14:paraId="5BF32080" w14:textId="77777777" w:rsidR="004E0E3F" w:rsidRDefault="002E3AA7">
            <w:r>
              <w:rPr>
                <w:b/>
                <w:color w:val="FFFFFF"/>
                <w:sz w:val="19"/>
              </w:rPr>
              <w:t>Stade</w:t>
            </w:r>
          </w:p>
        </w:tc>
        <w:tc>
          <w:tcPr>
            <w:tcW w:w="1728" w:type="dxa"/>
            <w:shd w:val="clear" w:color="auto" w:fill="0C4A6E"/>
          </w:tcPr>
          <w:p w14:paraId="1932A9FD" w14:textId="77777777" w:rsidR="004E0E3F" w:rsidRDefault="002E3AA7">
            <w:r>
              <w:rPr>
                <w:b/>
                <w:color w:val="FFFFFF"/>
                <w:sz w:val="19"/>
              </w:rPr>
              <w:t>Précision</w:t>
            </w:r>
          </w:p>
        </w:tc>
        <w:tc>
          <w:tcPr>
            <w:tcW w:w="1584" w:type="dxa"/>
            <w:shd w:val="clear" w:color="auto" w:fill="0C4A6E"/>
          </w:tcPr>
          <w:p w14:paraId="47B0206F" w14:textId="77777777" w:rsidR="004E0E3F" w:rsidRDefault="002E3AA7">
            <w:r>
              <w:rPr>
                <w:b/>
                <w:color w:val="FFFFFF"/>
                <w:sz w:val="19"/>
              </w:rPr>
              <w:t>Rappel</w:t>
            </w:r>
          </w:p>
        </w:tc>
        <w:tc>
          <w:tcPr>
            <w:tcW w:w="1440" w:type="dxa"/>
            <w:shd w:val="clear" w:color="auto" w:fill="0C4A6E"/>
          </w:tcPr>
          <w:p w14:paraId="4AD90DC7" w14:textId="77777777" w:rsidR="004E0E3F" w:rsidRDefault="002E3AA7">
            <w:r>
              <w:rPr>
                <w:b/>
                <w:color w:val="FFFFFF"/>
                <w:sz w:val="19"/>
              </w:rPr>
              <w:t>F1</w:t>
            </w:r>
          </w:p>
        </w:tc>
        <w:tc>
          <w:tcPr>
            <w:tcW w:w="1728" w:type="dxa"/>
            <w:shd w:val="clear" w:color="auto" w:fill="0C4A6E"/>
          </w:tcPr>
          <w:p w14:paraId="03F261C4" w14:textId="77777777" w:rsidR="004E0E3F" w:rsidRDefault="002E3AA7">
            <w:r>
              <w:rPr>
                <w:b/>
                <w:color w:val="FFFFFF"/>
                <w:sz w:val="19"/>
              </w:rPr>
              <w:t>Support</w:t>
            </w:r>
          </w:p>
        </w:tc>
      </w:tr>
      <w:tr w:rsidR="004E0E3F" w14:paraId="4B4691A8" w14:textId="77777777">
        <w:trPr>
          <w:jc w:val="center"/>
        </w:trPr>
        <w:tc>
          <w:tcPr>
            <w:tcW w:w="1440" w:type="dxa"/>
          </w:tcPr>
          <w:p w14:paraId="1FCD717E" w14:textId="77777777" w:rsidR="004E0E3F" w:rsidRDefault="002E3AA7">
            <w:r>
              <w:rPr>
                <w:sz w:val="19"/>
              </w:rPr>
              <w:t>W</w:t>
            </w:r>
          </w:p>
        </w:tc>
        <w:tc>
          <w:tcPr>
            <w:tcW w:w="1728" w:type="dxa"/>
          </w:tcPr>
          <w:p w14:paraId="2787AC24" w14:textId="77777777" w:rsidR="004E0E3F" w:rsidRDefault="002E3AA7">
            <w:r>
              <w:rPr>
                <w:sz w:val="19"/>
              </w:rPr>
              <w:t>1.00</w:t>
            </w:r>
          </w:p>
        </w:tc>
        <w:tc>
          <w:tcPr>
            <w:tcW w:w="1584" w:type="dxa"/>
          </w:tcPr>
          <w:p w14:paraId="1AE3B1DA" w14:textId="77777777" w:rsidR="004E0E3F" w:rsidRDefault="002E3AA7">
            <w:r>
              <w:rPr>
                <w:sz w:val="19"/>
              </w:rPr>
              <w:t>0.93</w:t>
            </w:r>
          </w:p>
        </w:tc>
        <w:tc>
          <w:tcPr>
            <w:tcW w:w="1440" w:type="dxa"/>
          </w:tcPr>
          <w:p w14:paraId="2C2ACAB1" w14:textId="77777777" w:rsidR="004E0E3F" w:rsidRDefault="002E3AA7">
            <w:r>
              <w:rPr>
                <w:sz w:val="19"/>
              </w:rPr>
              <w:t>0.96</w:t>
            </w:r>
          </w:p>
        </w:tc>
        <w:tc>
          <w:tcPr>
            <w:tcW w:w="1728" w:type="dxa"/>
          </w:tcPr>
          <w:p w14:paraId="00AEC19F" w14:textId="77777777" w:rsidR="004E0E3F" w:rsidRDefault="002E3AA7">
            <w:r>
              <w:rPr>
                <w:sz w:val="19"/>
              </w:rPr>
              <w:t>40828</w:t>
            </w:r>
          </w:p>
        </w:tc>
      </w:tr>
      <w:tr w:rsidR="004E0E3F" w14:paraId="09C13DA7" w14:textId="77777777">
        <w:trPr>
          <w:jc w:val="center"/>
        </w:trPr>
        <w:tc>
          <w:tcPr>
            <w:tcW w:w="1440" w:type="dxa"/>
            <w:shd w:val="clear" w:color="auto" w:fill="EAF1F6"/>
          </w:tcPr>
          <w:p w14:paraId="6D4EA9E7" w14:textId="77777777" w:rsidR="004E0E3F" w:rsidRDefault="002E3AA7">
            <w:r>
              <w:rPr>
                <w:sz w:val="19"/>
              </w:rPr>
              <w:t>N1</w:t>
            </w:r>
          </w:p>
        </w:tc>
        <w:tc>
          <w:tcPr>
            <w:tcW w:w="1728" w:type="dxa"/>
            <w:shd w:val="clear" w:color="auto" w:fill="EAF1F6"/>
          </w:tcPr>
          <w:p w14:paraId="7DD90058" w14:textId="77777777" w:rsidR="004E0E3F" w:rsidRDefault="002E3AA7">
            <w:r>
              <w:rPr>
                <w:sz w:val="19"/>
              </w:rPr>
              <w:t>0.35</w:t>
            </w:r>
          </w:p>
        </w:tc>
        <w:tc>
          <w:tcPr>
            <w:tcW w:w="1584" w:type="dxa"/>
            <w:shd w:val="clear" w:color="auto" w:fill="EAF1F6"/>
          </w:tcPr>
          <w:p w14:paraId="08EF32DF" w14:textId="77777777" w:rsidR="004E0E3F" w:rsidRDefault="002E3AA7">
            <w:r>
              <w:rPr>
                <w:sz w:val="19"/>
              </w:rPr>
              <w:t>0.60</w:t>
            </w:r>
          </w:p>
        </w:tc>
        <w:tc>
          <w:tcPr>
            <w:tcW w:w="1440" w:type="dxa"/>
            <w:shd w:val="clear" w:color="auto" w:fill="EAF1F6"/>
          </w:tcPr>
          <w:p w14:paraId="5B7F5513" w14:textId="77777777" w:rsidR="004E0E3F" w:rsidRDefault="002E3AA7">
            <w:r>
              <w:rPr>
                <w:sz w:val="19"/>
              </w:rPr>
              <w:t>0.45</w:t>
            </w:r>
          </w:p>
        </w:tc>
        <w:tc>
          <w:tcPr>
            <w:tcW w:w="1728" w:type="dxa"/>
            <w:shd w:val="clear" w:color="auto" w:fill="EAF1F6"/>
          </w:tcPr>
          <w:p w14:paraId="3EEF9F5B" w14:textId="77777777" w:rsidR="004E0E3F" w:rsidRDefault="002E3AA7">
            <w:r>
              <w:rPr>
                <w:sz w:val="19"/>
              </w:rPr>
              <w:t>3971</w:t>
            </w:r>
          </w:p>
        </w:tc>
      </w:tr>
      <w:tr w:rsidR="004E0E3F" w14:paraId="31ACA113" w14:textId="77777777">
        <w:trPr>
          <w:jc w:val="center"/>
        </w:trPr>
        <w:tc>
          <w:tcPr>
            <w:tcW w:w="1440" w:type="dxa"/>
          </w:tcPr>
          <w:p w14:paraId="5566F01B" w14:textId="77777777" w:rsidR="004E0E3F" w:rsidRDefault="002E3AA7">
            <w:r>
              <w:rPr>
                <w:sz w:val="19"/>
              </w:rPr>
              <w:t>N2</w:t>
            </w:r>
          </w:p>
        </w:tc>
        <w:tc>
          <w:tcPr>
            <w:tcW w:w="1728" w:type="dxa"/>
          </w:tcPr>
          <w:p w14:paraId="69161DBD" w14:textId="77777777" w:rsidR="004E0E3F" w:rsidRDefault="002E3AA7">
            <w:r>
              <w:rPr>
                <w:sz w:val="19"/>
              </w:rPr>
              <w:t>0.82</w:t>
            </w:r>
          </w:p>
        </w:tc>
        <w:tc>
          <w:tcPr>
            <w:tcW w:w="1584" w:type="dxa"/>
          </w:tcPr>
          <w:p w14:paraId="107FC503" w14:textId="77777777" w:rsidR="004E0E3F" w:rsidRDefault="002E3AA7">
            <w:r>
              <w:rPr>
                <w:sz w:val="19"/>
              </w:rPr>
              <w:t>0.74</w:t>
            </w:r>
          </w:p>
        </w:tc>
        <w:tc>
          <w:tcPr>
            <w:tcW w:w="1440" w:type="dxa"/>
          </w:tcPr>
          <w:p w14:paraId="10B5C668" w14:textId="77777777" w:rsidR="004E0E3F" w:rsidRDefault="002E3AA7">
            <w:r>
              <w:rPr>
                <w:sz w:val="19"/>
              </w:rPr>
              <w:t>0.77</w:t>
            </w:r>
          </w:p>
        </w:tc>
        <w:tc>
          <w:tcPr>
            <w:tcW w:w="1728" w:type="dxa"/>
          </w:tcPr>
          <w:p w14:paraId="28892DBE" w14:textId="77777777" w:rsidR="004E0E3F" w:rsidRDefault="002E3AA7">
            <w:r>
              <w:rPr>
                <w:sz w:val="19"/>
              </w:rPr>
              <w:t>11658</w:t>
            </w:r>
          </w:p>
        </w:tc>
      </w:tr>
      <w:tr w:rsidR="004E0E3F" w14:paraId="7B784A95" w14:textId="77777777">
        <w:trPr>
          <w:jc w:val="center"/>
        </w:trPr>
        <w:tc>
          <w:tcPr>
            <w:tcW w:w="1440" w:type="dxa"/>
            <w:shd w:val="clear" w:color="auto" w:fill="EAF1F6"/>
          </w:tcPr>
          <w:p w14:paraId="46AC2194" w14:textId="77777777" w:rsidR="004E0E3F" w:rsidRDefault="002E3AA7">
            <w:r>
              <w:rPr>
                <w:sz w:val="19"/>
              </w:rPr>
              <w:t>N3</w:t>
            </w:r>
          </w:p>
        </w:tc>
        <w:tc>
          <w:tcPr>
            <w:tcW w:w="1728" w:type="dxa"/>
            <w:shd w:val="clear" w:color="auto" w:fill="EAF1F6"/>
          </w:tcPr>
          <w:p w14:paraId="54911623" w14:textId="77777777" w:rsidR="004E0E3F" w:rsidRDefault="002E3AA7">
            <w:r>
              <w:rPr>
                <w:sz w:val="19"/>
              </w:rPr>
              <w:t>0.67</w:t>
            </w:r>
          </w:p>
        </w:tc>
        <w:tc>
          <w:tcPr>
            <w:tcW w:w="1584" w:type="dxa"/>
            <w:shd w:val="clear" w:color="auto" w:fill="EAF1F6"/>
          </w:tcPr>
          <w:p w14:paraId="5D0B21B7" w14:textId="77777777" w:rsidR="004E0E3F" w:rsidRDefault="002E3AA7">
            <w:r>
              <w:rPr>
                <w:sz w:val="19"/>
              </w:rPr>
              <w:t>0.84</w:t>
            </w:r>
          </w:p>
        </w:tc>
        <w:tc>
          <w:tcPr>
            <w:tcW w:w="1440" w:type="dxa"/>
            <w:shd w:val="clear" w:color="auto" w:fill="EAF1F6"/>
          </w:tcPr>
          <w:p w14:paraId="0F1963FE" w14:textId="77777777" w:rsidR="004E0E3F" w:rsidRDefault="002E3AA7">
            <w:r>
              <w:rPr>
                <w:sz w:val="19"/>
              </w:rPr>
              <w:t>0.75</w:t>
            </w:r>
          </w:p>
        </w:tc>
        <w:tc>
          <w:tcPr>
            <w:tcW w:w="1728" w:type="dxa"/>
            <w:shd w:val="clear" w:color="auto" w:fill="EAF1F6"/>
          </w:tcPr>
          <w:p w14:paraId="5C1DBA13" w14:textId="77777777" w:rsidR="004E0E3F" w:rsidRDefault="002E3AA7">
            <w:r>
              <w:rPr>
                <w:sz w:val="19"/>
              </w:rPr>
              <w:t>2785</w:t>
            </w:r>
          </w:p>
        </w:tc>
      </w:tr>
      <w:tr w:rsidR="004E0E3F" w14:paraId="1174AADA" w14:textId="77777777">
        <w:trPr>
          <w:jc w:val="center"/>
        </w:trPr>
        <w:tc>
          <w:tcPr>
            <w:tcW w:w="1440" w:type="dxa"/>
          </w:tcPr>
          <w:p w14:paraId="50D2349B" w14:textId="77777777" w:rsidR="004E0E3F" w:rsidRDefault="002E3AA7">
            <w:r>
              <w:rPr>
                <w:sz w:val="19"/>
              </w:rPr>
              <w:t>REM</w:t>
            </w:r>
          </w:p>
        </w:tc>
        <w:tc>
          <w:tcPr>
            <w:tcW w:w="1728" w:type="dxa"/>
          </w:tcPr>
          <w:p w14:paraId="2B390F87" w14:textId="77777777" w:rsidR="004E0E3F" w:rsidRDefault="002E3AA7">
            <w:r>
              <w:rPr>
                <w:sz w:val="19"/>
              </w:rPr>
              <w:t>0.72</w:t>
            </w:r>
          </w:p>
        </w:tc>
        <w:tc>
          <w:tcPr>
            <w:tcW w:w="1584" w:type="dxa"/>
          </w:tcPr>
          <w:p w14:paraId="47157320" w14:textId="77777777" w:rsidR="004E0E3F" w:rsidRDefault="002E3AA7">
            <w:r>
              <w:rPr>
                <w:sz w:val="19"/>
              </w:rPr>
              <w:t>0.81</w:t>
            </w:r>
          </w:p>
        </w:tc>
        <w:tc>
          <w:tcPr>
            <w:tcW w:w="1440" w:type="dxa"/>
          </w:tcPr>
          <w:p w14:paraId="1CEE7E99" w14:textId="77777777" w:rsidR="004E0E3F" w:rsidRDefault="002E3AA7">
            <w:r>
              <w:rPr>
                <w:sz w:val="19"/>
              </w:rPr>
              <w:t>0.76</w:t>
            </w:r>
          </w:p>
        </w:tc>
        <w:tc>
          <w:tcPr>
            <w:tcW w:w="1728" w:type="dxa"/>
          </w:tcPr>
          <w:p w14:paraId="047B839C" w14:textId="77777777" w:rsidR="004E0E3F" w:rsidRDefault="002E3AA7">
            <w:r>
              <w:rPr>
                <w:sz w:val="19"/>
              </w:rPr>
              <w:t>4871</w:t>
            </w:r>
          </w:p>
        </w:tc>
      </w:tr>
    </w:tbl>
    <w:p w14:paraId="43CB22FE" w14:textId="77777777" w:rsidR="004E0E3F" w:rsidRDefault="002E3AA7">
      <w:pPr>
        <w:pStyle w:val="Titre1"/>
      </w:pPr>
      <w:r>
        <w:rPr>
          <w:color w:val="0C4A6E"/>
        </w:rPr>
        <w:t>8. Démonstration sur un cas réel (Patient_01)</w:t>
      </w:r>
    </w:p>
    <w:p w14:paraId="630A5425" w14:textId="77777777" w:rsidR="004E0E3F" w:rsidRDefault="002E3AA7">
      <w:pPr>
        <w:spacing w:after="120"/>
      </w:pPr>
      <w:r>
        <w:t xml:space="preserve">Sur l'enregistrement de démonstration Patient_01 (2650 époques, canal « EOG horizontal »), réservé au jeu de test, </w:t>
      </w:r>
      <w:r>
        <w:t xml:space="preserve">l'hypnogramme prédit par l'IA reproduit fidèlement la structure du sommeil scorée par l'expert, avec une </w:t>
      </w:r>
      <w:r>
        <w:lastRenderedPageBreak/>
        <w:t>concordance de 92.3 %. On retrouve l'alternance des cycles de sommeil, la présence de sommeil profond en début de nuit et l'apparition progressive du sommeil paradoxal.</w:t>
      </w:r>
    </w:p>
    <w:p w14:paraId="1E4B0289" w14:textId="77777777" w:rsidR="004E0E3F" w:rsidRDefault="002E3AA7">
      <w:pPr>
        <w:jc w:val="center"/>
      </w:pPr>
      <w:r>
        <w:rPr>
          <w:noProof/>
        </w:rPr>
        <w:drawing>
          <wp:inline distT="0" distB="0" distL="0" distR="0" wp14:anchorId="1F6E123D" wp14:editId="5CBE800E">
            <wp:extent cx="5577840" cy="25677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ypnogram.png"/>
                    <pic:cNvPicPr/>
                  </pic:nvPicPr>
                  <pic:blipFill>
                    <a:blip r:embed="rId14"/>
                    <a:stretch>
                      <a:fillRect/>
                    </a:stretch>
                  </pic:blipFill>
                  <pic:spPr>
                    <a:xfrm>
                      <a:off x="0" y="0"/>
                      <a:ext cx="5577840" cy="2567748"/>
                    </a:xfrm>
                    <a:prstGeom prst="rect">
                      <a:avLst/>
                    </a:prstGeom>
                  </pic:spPr>
                </pic:pic>
              </a:graphicData>
            </a:graphic>
          </wp:inline>
        </w:drawing>
      </w:r>
    </w:p>
    <w:p w14:paraId="3EACF53F" w14:textId="77777777" w:rsidR="004E0E3F" w:rsidRDefault="002E3AA7">
      <w:pPr>
        <w:spacing w:after="160"/>
        <w:jc w:val="center"/>
      </w:pPr>
      <w:r>
        <w:rPr>
          <w:i/>
          <w:color w:val="475569"/>
          <w:sz w:val="18"/>
        </w:rPr>
        <w:t>Figure 8 — Hypnogramme prédit par l'IA (haut) vs scoring expert de référence (bas), Patient_01.</w:t>
      </w:r>
    </w:p>
    <w:p w14:paraId="0C494390" w14:textId="77777777" w:rsidR="004E0E3F" w:rsidRDefault="002E3AA7">
      <w:pPr>
        <w:pStyle w:val="Titre1"/>
      </w:pPr>
      <w:r>
        <w:rPr>
          <w:color w:val="0C4A6E"/>
        </w:rPr>
        <w:t>9. Déploiement et application</w:t>
      </w:r>
    </w:p>
    <w:p w14:paraId="71B19E56" w14:textId="77777777" w:rsidR="004E0E3F" w:rsidRDefault="002E3AA7">
      <w:pPr>
        <w:spacing w:after="120"/>
      </w:pPr>
      <w:r>
        <w:t xml:space="preserve">Le modèle Keras est exporté en OpenVINO IR FP16 </w:t>
      </w:r>
      <w:r>
        <w:t>(scripts/export_cnn_openvino.py) : deux fichiers légers (sleep_model_npu.xml ≈ 56 ko, sleep_model_npu.bin ≈ 0,9 Mo). OpenVINO sélectionne automatiquement l'accélérateur disponible (NPU, GPU intégré ou CPU). Le dashboard Streamlit (app/dashboard.py) charge uniquement ce modèle IR — sans TensorFlow à l'exécution — ce qui le rend déployable sur Streamlit Community Cloud.</w:t>
      </w:r>
    </w:p>
    <w:tbl>
      <w:tblPr>
        <w:tblStyle w:val="Grilledutableau"/>
        <w:tblW w:w="0" w:type="auto"/>
        <w:jc w:val="center"/>
        <w:tblLook w:val="04A0" w:firstRow="1" w:lastRow="0" w:firstColumn="1" w:lastColumn="0" w:noHBand="0" w:noVBand="1"/>
      </w:tblPr>
      <w:tblGrid>
        <w:gridCol w:w="2880"/>
        <w:gridCol w:w="3456"/>
        <w:gridCol w:w="3168"/>
      </w:tblGrid>
      <w:tr w:rsidR="004E0E3F" w14:paraId="6FB52B65" w14:textId="77777777">
        <w:trPr>
          <w:jc w:val="center"/>
        </w:trPr>
        <w:tc>
          <w:tcPr>
            <w:tcW w:w="2880" w:type="dxa"/>
            <w:shd w:val="clear" w:color="auto" w:fill="0C4A6E"/>
          </w:tcPr>
          <w:p w14:paraId="46143DD5" w14:textId="77777777" w:rsidR="004E0E3F" w:rsidRDefault="002E3AA7">
            <w:r>
              <w:rPr>
                <w:b/>
                <w:color w:val="FFFFFF"/>
                <w:sz w:val="19"/>
              </w:rPr>
              <w:t>Périphérique</w:t>
            </w:r>
          </w:p>
        </w:tc>
        <w:tc>
          <w:tcPr>
            <w:tcW w:w="3456" w:type="dxa"/>
            <w:shd w:val="clear" w:color="auto" w:fill="0C4A6E"/>
          </w:tcPr>
          <w:p w14:paraId="1194E022" w14:textId="77777777" w:rsidR="004E0E3F" w:rsidRDefault="002E3AA7">
            <w:r>
              <w:rPr>
                <w:b/>
                <w:color w:val="FFFFFF"/>
                <w:sz w:val="19"/>
              </w:rPr>
              <w:t>Débit indicatif (époques/s)</w:t>
            </w:r>
          </w:p>
        </w:tc>
        <w:tc>
          <w:tcPr>
            <w:tcW w:w="3168" w:type="dxa"/>
            <w:shd w:val="clear" w:color="auto" w:fill="0C4A6E"/>
          </w:tcPr>
          <w:p w14:paraId="17674455" w14:textId="77777777" w:rsidR="004E0E3F" w:rsidRDefault="002E3AA7">
            <w:r>
              <w:rPr>
                <w:b/>
                <w:color w:val="FFFFFF"/>
                <w:sz w:val="19"/>
              </w:rPr>
              <w:t>Remarque</w:t>
            </w:r>
          </w:p>
        </w:tc>
      </w:tr>
      <w:tr w:rsidR="004E0E3F" w14:paraId="64C6AEAD" w14:textId="77777777">
        <w:trPr>
          <w:jc w:val="center"/>
        </w:trPr>
        <w:tc>
          <w:tcPr>
            <w:tcW w:w="2880" w:type="dxa"/>
          </w:tcPr>
          <w:p w14:paraId="144EBC94" w14:textId="77777777" w:rsidR="004E0E3F" w:rsidRDefault="002E3AA7">
            <w:r>
              <w:rPr>
                <w:sz w:val="19"/>
              </w:rPr>
              <w:t>NPU (Intel AI Boost)</w:t>
            </w:r>
          </w:p>
        </w:tc>
        <w:tc>
          <w:tcPr>
            <w:tcW w:w="3456" w:type="dxa"/>
          </w:tcPr>
          <w:p w14:paraId="2BA5290C" w14:textId="77777777" w:rsidR="004E0E3F" w:rsidRDefault="002E3AA7">
            <w:r>
              <w:rPr>
                <w:sz w:val="19"/>
              </w:rPr>
              <w:t>≈ 5 650</w:t>
            </w:r>
          </w:p>
        </w:tc>
        <w:tc>
          <w:tcPr>
            <w:tcW w:w="3168" w:type="dxa"/>
          </w:tcPr>
          <w:p w14:paraId="7A247C6F" w14:textId="77777777" w:rsidR="004E0E3F" w:rsidRDefault="002E3AA7">
            <w:r>
              <w:rPr>
                <w:sz w:val="19"/>
              </w:rPr>
              <w:t>×5,2 vs CPU — modèle IR FP16</w:t>
            </w:r>
          </w:p>
        </w:tc>
      </w:tr>
      <w:tr w:rsidR="004E0E3F" w14:paraId="23AF1ADB" w14:textId="77777777">
        <w:trPr>
          <w:jc w:val="center"/>
        </w:trPr>
        <w:tc>
          <w:tcPr>
            <w:tcW w:w="2880" w:type="dxa"/>
            <w:shd w:val="clear" w:color="auto" w:fill="EAF1F6"/>
          </w:tcPr>
          <w:p w14:paraId="35280288" w14:textId="77777777" w:rsidR="004E0E3F" w:rsidRDefault="002E3AA7">
            <w:r>
              <w:rPr>
                <w:sz w:val="19"/>
              </w:rPr>
              <w:t>GPU intégré</w:t>
            </w:r>
          </w:p>
        </w:tc>
        <w:tc>
          <w:tcPr>
            <w:tcW w:w="3456" w:type="dxa"/>
            <w:shd w:val="clear" w:color="auto" w:fill="EAF1F6"/>
          </w:tcPr>
          <w:p w14:paraId="5AF5F385" w14:textId="77777777" w:rsidR="004E0E3F" w:rsidRDefault="002E3AA7">
            <w:r>
              <w:rPr>
                <w:sz w:val="19"/>
              </w:rPr>
              <w:t>≈ 2 150</w:t>
            </w:r>
          </w:p>
        </w:tc>
        <w:tc>
          <w:tcPr>
            <w:tcW w:w="3168" w:type="dxa"/>
            <w:shd w:val="clear" w:color="auto" w:fill="EAF1F6"/>
          </w:tcPr>
          <w:p w14:paraId="288C2689" w14:textId="77777777" w:rsidR="004E0E3F" w:rsidRDefault="002E3AA7">
            <w:r>
              <w:rPr>
                <w:sz w:val="19"/>
              </w:rPr>
              <w:t>Modèle IR FP16</w:t>
            </w:r>
          </w:p>
        </w:tc>
      </w:tr>
      <w:tr w:rsidR="004E0E3F" w14:paraId="73F8E7EB" w14:textId="77777777">
        <w:trPr>
          <w:jc w:val="center"/>
        </w:trPr>
        <w:tc>
          <w:tcPr>
            <w:tcW w:w="2880" w:type="dxa"/>
          </w:tcPr>
          <w:p w14:paraId="0FA6092C" w14:textId="77777777" w:rsidR="004E0E3F" w:rsidRDefault="002E3AA7">
            <w:r>
              <w:rPr>
                <w:sz w:val="19"/>
              </w:rPr>
              <w:t>CPU</w:t>
            </w:r>
          </w:p>
        </w:tc>
        <w:tc>
          <w:tcPr>
            <w:tcW w:w="3456" w:type="dxa"/>
          </w:tcPr>
          <w:p w14:paraId="6FBA86A4" w14:textId="77777777" w:rsidR="004E0E3F" w:rsidRDefault="002E3AA7">
            <w:r>
              <w:rPr>
                <w:sz w:val="19"/>
              </w:rPr>
              <w:t>≈ 1 100</w:t>
            </w:r>
          </w:p>
        </w:tc>
        <w:tc>
          <w:tcPr>
            <w:tcW w:w="3168" w:type="dxa"/>
          </w:tcPr>
          <w:p w14:paraId="61CC417B" w14:textId="77777777" w:rsidR="004E0E3F" w:rsidRDefault="002E3AA7">
            <w:r>
              <w:rPr>
                <w:sz w:val="19"/>
              </w:rPr>
              <w:t>Repli universel (Cloud)</w:t>
            </w:r>
          </w:p>
        </w:tc>
      </w:tr>
    </w:tbl>
    <w:p w14:paraId="2EE61337" w14:textId="77777777" w:rsidR="004E0E3F" w:rsidRDefault="002E3AA7">
      <w:pPr>
        <w:pStyle w:val="Titre2"/>
      </w:pPr>
      <w:r>
        <w:rPr>
          <w:color w:val="0C4A6E"/>
        </w:rPr>
        <w:t>Fonctionnalités du tableau de bord</w:t>
      </w:r>
    </w:p>
    <w:p w14:paraId="4B7BEDBC" w14:textId="77777777" w:rsidR="004E0E3F" w:rsidRDefault="002E3AA7">
      <w:pPr>
        <w:pStyle w:val="Listepuces"/>
        <w:spacing w:after="40"/>
      </w:pPr>
      <w:r>
        <w:t>Choix du périphérique d'inférence OpenVINO (NPU / GPU / CPU / AUTO).</w:t>
      </w:r>
    </w:p>
    <w:p w14:paraId="6C5C2D72" w14:textId="77777777" w:rsidR="004E0E3F" w:rsidRDefault="002E3AA7">
      <w:pPr>
        <w:pStyle w:val="Listepuces"/>
        <w:spacing w:after="40"/>
      </w:pPr>
      <w:r>
        <w:t>Import EDF (signal + hypnogramme expert optionnel) ou base d'exemples locale.</w:t>
      </w:r>
    </w:p>
    <w:p w14:paraId="27485AB0" w14:textId="77777777" w:rsidR="004E0E3F" w:rsidRDefault="002E3AA7">
      <w:pPr>
        <w:pStyle w:val="Listepuces"/>
        <w:spacing w:after="40"/>
      </w:pPr>
      <w:r>
        <w:t xml:space="preserve">Hypnogramme IA, </w:t>
      </w:r>
      <w:r>
        <w:t>architecture du sommeil et comparaison IA vs expert.</w:t>
      </w:r>
    </w:p>
    <w:p w14:paraId="1DCBD78C" w14:textId="77777777" w:rsidR="004E0E3F" w:rsidRDefault="002E3AA7">
      <w:pPr>
        <w:pStyle w:val="Listepuces"/>
        <w:spacing w:after="40"/>
      </w:pPr>
      <w:r>
        <w:t>Métriques cliniques : temps de sommeil total, efficacité, latences, pourcentages de stades.</w:t>
      </w:r>
    </w:p>
    <w:p w14:paraId="3018E5E2" w14:textId="77777777" w:rsidR="004E0E3F" w:rsidRDefault="002E3AA7">
      <w:pPr>
        <w:pStyle w:val="Listepuces"/>
        <w:spacing w:after="40"/>
      </w:pPr>
      <w:r>
        <w:t>Export des résultats époque par époque au format CSV.</w:t>
      </w:r>
    </w:p>
    <w:p w14:paraId="4637E8A4" w14:textId="77777777" w:rsidR="004E0E3F" w:rsidRDefault="002E3AA7">
      <w:pPr>
        <w:pStyle w:val="Titre1"/>
      </w:pPr>
      <w:r>
        <w:rPr>
          <w:color w:val="0C4A6E"/>
        </w:rPr>
        <w:t>10. Limites, perspectives et conclusion</w:t>
      </w:r>
    </w:p>
    <w:p w14:paraId="69E4B7BD" w14:textId="77777777" w:rsidR="004E0E3F" w:rsidRDefault="002E3AA7">
      <w:pPr>
        <w:pStyle w:val="Listepuces"/>
        <w:spacing w:after="40"/>
      </w:pPr>
      <w:r>
        <w:t>Un seul canal EOG ne remplace pas une PSG complète : l'outil est une aide à la décision, non un dispositif diagnostique.</w:t>
      </w:r>
    </w:p>
    <w:p w14:paraId="0669B78A" w14:textId="77777777" w:rsidR="004E0E3F" w:rsidRDefault="002E3AA7">
      <w:pPr>
        <w:pStyle w:val="Listepuces"/>
        <w:spacing w:after="40"/>
      </w:pPr>
      <w:r>
        <w:t>Le stade N1 reste le point faible (F1 ≈ 0,45) ; des pistes incluent une perte focale et l'ajout de contexte temporel.</w:t>
      </w:r>
    </w:p>
    <w:p w14:paraId="20B2CF80" w14:textId="77777777" w:rsidR="004E0E3F" w:rsidRDefault="002E3AA7">
      <w:pPr>
        <w:pStyle w:val="Listepuces"/>
        <w:spacing w:after="40"/>
      </w:pPr>
      <w:r>
        <w:t>Les performances dépendent de la population et de la qualité du signal ; une validation multicentrique serait nécessaire.</w:t>
      </w:r>
    </w:p>
    <w:p w14:paraId="06CF14FB" w14:textId="77777777" w:rsidR="004E0E3F" w:rsidRDefault="002E3AA7">
      <w:pPr>
        <w:pStyle w:val="Listepuces"/>
        <w:spacing w:after="40"/>
      </w:pPr>
      <w:r>
        <w:t>Perspectives : modèle multi-canaux, explicabilité (Grad-CAM), agrégation temporelle séquence-à-séquence.</w:t>
      </w:r>
    </w:p>
    <w:p w14:paraId="51648C7E" w14:textId="77777777" w:rsidR="004E0E3F" w:rsidRDefault="002E3AA7">
      <w:pPr>
        <w:spacing w:after="120"/>
      </w:pPr>
      <w:r>
        <w:lastRenderedPageBreak/>
        <w:t xml:space="preserve">Le projet Sommeil_EOG_IA illustre une chaîne de bout en </w:t>
      </w:r>
      <w:r>
        <w:t>bout moderne et reproductible : données standardisées (EDF / AASM), prétraitement robuste, modèle profond évalué rigoureusement par découpage sujet, optimisation matérielle via OpenVINO et restitution clinique interactive. Le modèle déployé atteint une concordance « substantielle » avec l'expert (kappa = 0.756, exactitude = 85.9 %), démontrant la faisabilité d'un scoring automatique du sommeil à partir d'un capteur unique et peu coûteux.</w:t>
      </w:r>
    </w:p>
    <w:p w14:paraId="196E972A" w14:textId="77777777" w:rsidR="004E0E3F" w:rsidRDefault="002E3AA7">
      <w:pPr>
        <w:pStyle w:val="Titre2"/>
      </w:pPr>
      <w:r>
        <w:rPr>
          <w:color w:val="0C4A6E"/>
        </w:rPr>
        <w:t>Références et outils</w:t>
      </w:r>
    </w:p>
    <w:p w14:paraId="42A9F47C" w14:textId="77777777" w:rsidR="004E0E3F" w:rsidRDefault="002E3AA7">
      <w:pPr>
        <w:spacing w:after="120"/>
      </w:pPr>
      <w:r>
        <w:rPr>
          <w:i/>
          <w:sz w:val="19"/>
        </w:rPr>
        <w:t>Corpus : Sleep-EDF Expanded, PhysioNet (physionet.org). Bibliothèques : MNE-Python (mne.tools), TensorFlow / Keras (tensorflow.org), OpenVINO (docs.openvino.ai), scikit-learn, Matplotlib, Streamlit (streamlit.io). Code source complet et notebook fournis avec ce rapport.</w:t>
      </w:r>
    </w:p>
    <w:sectPr w:rsidR="004E0E3F"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552809018">
    <w:abstractNumId w:val="8"/>
  </w:num>
  <w:num w:numId="2" w16cid:durableId="1262682685">
    <w:abstractNumId w:val="6"/>
  </w:num>
  <w:num w:numId="3" w16cid:durableId="1215386323">
    <w:abstractNumId w:val="5"/>
  </w:num>
  <w:num w:numId="4" w16cid:durableId="1491361403">
    <w:abstractNumId w:val="4"/>
  </w:num>
  <w:num w:numId="5" w16cid:durableId="395473060">
    <w:abstractNumId w:val="7"/>
  </w:num>
  <w:num w:numId="6" w16cid:durableId="1720010836">
    <w:abstractNumId w:val="3"/>
  </w:num>
  <w:num w:numId="7" w16cid:durableId="1285963927">
    <w:abstractNumId w:val="2"/>
  </w:num>
  <w:num w:numId="8" w16cid:durableId="172569988">
    <w:abstractNumId w:val="1"/>
  </w:num>
  <w:num w:numId="9" w16cid:durableId="119610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3AA7"/>
    <w:rsid w:val="00326F90"/>
    <w:rsid w:val="004E0E3F"/>
    <w:rsid w:val="00AA1D8D"/>
    <w:rsid w:val="00B47730"/>
    <w:rsid w:val="00C34D6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A8CAE1C"/>
  <w14:defaultImageDpi w14:val="300"/>
  <w15:docId w15:val="{3B3EE25E-63AD-49C9-B4C2-7625D418A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1576</Words>
  <Characters>8886</Characters>
  <Application>Microsoft Office Word</Application>
  <DocSecurity>0</DocSecurity>
  <Lines>227</Lines>
  <Paragraphs>156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Hatim Rais</cp:lastModifiedBy>
  <cp:revision>2</cp:revision>
  <cp:lastPrinted>2026-06-16T19:10:00Z</cp:lastPrinted>
  <dcterms:created xsi:type="dcterms:W3CDTF">2013-12-23T23:15:00Z</dcterms:created>
  <dcterms:modified xsi:type="dcterms:W3CDTF">2026-06-16T19:10:00Z</dcterms:modified>
  <cp:category/>
</cp:coreProperties>
</file>