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4A6E"/>
          <w:sz w:val="44"/>
        </w:rPr>
        <w:t>Rapport de projet</w:t>
        <w:br/>
      </w:r>
      <w:r>
        <w:rPr>
          <w:b/>
          <w:sz w:val="32"/>
        </w:rPr>
        <w:t>Classification automatique des stades du sommeil</w:t>
        <w:br/>
      </w:r>
      <w:r>
        <w:rPr>
          <w:sz w:val="28"/>
        </w:rPr>
        <w:t>à partir du signal EOG (électro-oculographie)</w:t>
        <w:br/>
      </w:r>
    </w:p>
    <w:p/>
    <w:p>
      <w:pPr>
        <w:jc w:val="center"/>
      </w:pPr>
      <w:r>
        <w:rPr>
          <w:sz w:val="22"/>
        </w:rPr>
        <w:t>Projet : Sommeil_EOG_IA (DeepSleep AI)</w:t>
        <w:br/>
      </w:r>
      <w:r>
        <w:rPr>
          <w:sz w:val="22"/>
        </w:rPr>
        <w:t>Nomenclature clinique : AASM — 5 classes</w:t>
        <w:br/>
      </w:r>
      <w:r>
        <w:rPr>
          <w:i/>
        </w:rPr>
        <w:br/>
        <w:t>Document généré automatiquement à des fins pédagogiques.</w:t>
        <w:br/>
      </w:r>
    </w:p>
    <w:p>
      <w:r>
        <w:br w:type="page"/>
      </w:r>
    </w:p>
    <w:p>
      <w:pPr>
        <w:pStyle w:val="Heading1"/>
      </w:pPr>
      <w:r>
        <w:rPr>
          <w:color w:val="0C4A6E"/>
        </w:rPr>
        <w:t>1. Résumé exécutif</w:t>
      </w:r>
    </w:p>
    <w:p>
      <w:r>
        <w:t>Ce projet met en œuvre une chaîne complète — des données polysomnographiques (fichiers EDF) jusqu’à une interface web — pour estimer automatiquement les stades du sommeil à partir d’un canal EOG, selon la norme AASM (cinq classes : éveil, N1, N2, N3, REM). Un réseau de neurones convolutif 1D est entraîné puis exporté au format OpenVINO (IR FP16) afin de tirer parti de l’accélération matérielle (NPU Intel AI Boost, GPU intégré ou CPU). Une application Streamlit permet le chargement des enregistrements, l’inférence, la visualisation des hypnogrammes et un rapport clinique synthétique.</w:t>
      </w:r>
    </w:p>
    <w:p>
      <w:pPr>
        <w:pStyle w:val="Heading1"/>
      </w:pPr>
      <w:r>
        <w:rPr>
          <w:color w:val="0C4A6E"/>
        </w:rPr>
        <w:t>2. Contexte et problématique</w:t>
      </w:r>
    </w:p>
    <w:p>
      <w:r>
        <w:t>La polysomnographie (PSG) enregistre plusieurs signaux physiologiques pendant une nuit. Le scoring manuel des stades par un expert est long et coûteux. L’EOG capture les mouvements oculaires caractéristiques (notamment en sommeil paradoxal, REM). L’objectif du projet est de démontrer un pipeline reproductible : prétraitement du signal, apprentissage supervisé, déploiement optimisé et outil de visualisation pour le technologue ou le chercheur.</w:t>
      </w:r>
    </w:p>
    <w:p>
      <w:pPr>
        <w:pStyle w:val="Heading1"/>
      </w:pPr>
      <w:r>
        <w:rPr>
          <w:color w:val="0C4A6E"/>
        </w:rPr>
        <w:t>3. Objectifs</w:t>
      </w:r>
    </w:p>
    <w:p>
      <w:pPr>
        <w:pStyle w:val="ListBullet"/>
      </w:pPr>
      <w:r>
        <w:t>Charger et synchroniser signaux et annotations au format EDF.</w:t>
      </w:r>
    </w:p>
    <w:p>
      <w:pPr>
        <w:pStyle w:val="ListBullet"/>
      </w:pPr>
      <w:r>
        <w:t>Prétraiter le canal EOG (rééchantillonnage, filtrage, normalisation).</w:t>
      </w:r>
    </w:p>
    <w:p>
      <w:pPr>
        <w:pStyle w:val="ListBullet"/>
      </w:pPr>
      <w:r>
        <w:t>Entraîner un classificateur par époques de 30 secondes (5 classes AASM).</w:t>
      </w:r>
    </w:p>
    <w:p>
      <w:pPr>
        <w:pStyle w:val="ListBullet"/>
      </w:pPr>
      <w:r>
        <w:t>Exporter un modèle compatible NPU via OpenVINO (FP16, forme d’entrée fixe).</w:t>
      </w:r>
    </w:p>
    <w:p>
      <w:pPr>
        <w:pStyle w:val="ListBullet"/>
      </w:pPr>
      <w:r>
        <w:t>Proposer une interface interactive (dashboard) pour l’analyse et l’export des résultats.</w:t>
      </w:r>
    </w:p>
    <w:p>
      <w:pPr>
        <w:pStyle w:val="Heading1"/>
      </w:pPr>
      <w:r>
        <w:rPr>
          <w:color w:val="0C4A6E"/>
        </w:rPr>
        <w:t>4. Codification des stades (AASM)</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Code</w:t>
            </w:r>
          </w:p>
        </w:tc>
        <w:tc>
          <w:tcPr>
            <w:tcW w:type="dxa" w:w="3120"/>
          </w:tcPr>
          <w:p>
            <w:r>
              <w:rPr>
                <w:b/>
                <w:sz w:val="20"/>
              </w:rPr>
              <w:t>Libellé</w:t>
            </w:r>
          </w:p>
        </w:tc>
        <w:tc>
          <w:tcPr>
            <w:tcW w:type="dxa" w:w="3120"/>
          </w:tcPr>
          <w:p>
            <w:r>
              <w:rPr>
                <w:b/>
                <w:sz w:val="20"/>
              </w:rPr>
              <w:t>Description courte</w:t>
            </w:r>
          </w:p>
        </w:tc>
      </w:tr>
      <w:tr>
        <w:tc>
          <w:tcPr>
            <w:tcW w:type="dxa" w:w="3120"/>
          </w:tcPr>
          <w:p>
            <w:r>
              <w:rPr>
                <w:sz w:val="20"/>
              </w:rPr>
              <w:t>0</w:t>
            </w:r>
          </w:p>
        </w:tc>
        <w:tc>
          <w:tcPr>
            <w:tcW w:type="dxa" w:w="3120"/>
          </w:tcPr>
          <w:p>
            <w:r>
              <w:rPr>
                <w:sz w:val="20"/>
              </w:rPr>
              <w:t>W (Wake)</w:t>
            </w:r>
          </w:p>
        </w:tc>
        <w:tc>
          <w:tcPr>
            <w:tcW w:type="dxa" w:w="3120"/>
          </w:tcPr>
          <w:p>
            <w:r>
              <w:rPr>
                <w:sz w:val="20"/>
              </w:rPr>
              <w:t>Éveil</w:t>
            </w:r>
          </w:p>
        </w:tc>
      </w:tr>
      <w:tr>
        <w:tc>
          <w:tcPr>
            <w:tcW w:type="dxa" w:w="3120"/>
          </w:tcPr>
          <w:p>
            <w:r>
              <w:rPr>
                <w:sz w:val="20"/>
              </w:rPr>
              <w:t>1</w:t>
            </w:r>
          </w:p>
        </w:tc>
        <w:tc>
          <w:tcPr>
            <w:tcW w:type="dxa" w:w="3120"/>
          </w:tcPr>
          <w:p>
            <w:r>
              <w:rPr>
                <w:sz w:val="20"/>
              </w:rPr>
              <w:t>N1</w:t>
            </w:r>
          </w:p>
        </w:tc>
        <w:tc>
          <w:tcPr>
            <w:tcW w:type="dxa" w:w="3120"/>
          </w:tcPr>
          <w:p>
            <w:r>
              <w:rPr>
                <w:sz w:val="20"/>
              </w:rPr>
              <w:t>Sommeil léger / transition</w:t>
            </w:r>
          </w:p>
        </w:tc>
      </w:tr>
      <w:tr>
        <w:tc>
          <w:tcPr>
            <w:tcW w:type="dxa" w:w="3120"/>
          </w:tcPr>
          <w:p>
            <w:r>
              <w:rPr>
                <w:sz w:val="20"/>
              </w:rPr>
              <w:t>2</w:t>
            </w:r>
          </w:p>
        </w:tc>
        <w:tc>
          <w:tcPr>
            <w:tcW w:type="dxa" w:w="3120"/>
          </w:tcPr>
          <w:p>
            <w:r>
              <w:rPr>
                <w:sz w:val="20"/>
              </w:rPr>
              <w:t>N2</w:t>
            </w:r>
          </w:p>
        </w:tc>
        <w:tc>
          <w:tcPr>
            <w:tcW w:type="dxa" w:w="3120"/>
          </w:tcPr>
          <w:p>
            <w:r>
              <w:rPr>
                <w:sz w:val="20"/>
              </w:rPr>
              <w:t>Sommeil léger consolidé</w:t>
            </w:r>
          </w:p>
        </w:tc>
      </w:tr>
      <w:tr>
        <w:tc>
          <w:tcPr>
            <w:tcW w:type="dxa" w:w="3120"/>
          </w:tcPr>
          <w:p>
            <w:r>
              <w:rPr>
                <w:sz w:val="20"/>
              </w:rPr>
              <w:t>3</w:t>
            </w:r>
          </w:p>
        </w:tc>
        <w:tc>
          <w:tcPr>
            <w:tcW w:type="dxa" w:w="3120"/>
          </w:tcPr>
          <w:p>
            <w:r>
              <w:rPr>
                <w:sz w:val="20"/>
              </w:rPr>
              <w:t>N3</w:t>
            </w:r>
          </w:p>
        </w:tc>
        <w:tc>
          <w:tcPr>
            <w:tcW w:type="dxa" w:w="3120"/>
          </w:tcPr>
          <w:p>
            <w:r>
              <w:rPr>
                <w:sz w:val="20"/>
              </w:rPr>
              <w:t>Sommeil profond (SWS ; N3 et N4 historiques fusionnés)</w:t>
            </w:r>
          </w:p>
        </w:tc>
      </w:tr>
      <w:tr>
        <w:tc>
          <w:tcPr>
            <w:tcW w:type="dxa" w:w="3120"/>
          </w:tcPr>
          <w:p>
            <w:r>
              <w:rPr>
                <w:sz w:val="20"/>
              </w:rPr>
              <w:t>4</w:t>
            </w:r>
          </w:p>
        </w:tc>
        <w:tc>
          <w:tcPr>
            <w:tcW w:type="dxa" w:w="3120"/>
          </w:tcPr>
          <w:p>
            <w:r>
              <w:rPr>
                <w:sz w:val="20"/>
              </w:rPr>
              <w:t>REM</w:t>
            </w:r>
          </w:p>
        </w:tc>
        <w:tc>
          <w:tcPr>
            <w:tcW w:type="dxa" w:w="3120"/>
          </w:tcPr>
          <w:p>
            <w:r>
              <w:rPr>
                <w:sz w:val="20"/>
              </w:rPr>
              <w:t>Sommeil paradoxal</w:t>
            </w:r>
          </w:p>
        </w:tc>
      </w:tr>
    </w:tbl>
    <w:p/>
    <w:p>
      <w:pPr>
        <w:pStyle w:val="Heading1"/>
      </w:pPr>
      <w:r>
        <w:rPr>
          <w:color w:val="0C4A6E"/>
        </w:rPr>
        <w:t>5. Technologies et bibliothèques</w:t>
      </w:r>
    </w:p>
    <w:p>
      <w:r>
        <w:t>Le tableau suivant liste les principaux composants logiciels du dépôt (versions indicatives ; se référer à requirements.txt pour le déploiement du dashboard).</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Technologie</w:t>
            </w:r>
          </w:p>
        </w:tc>
        <w:tc>
          <w:tcPr>
            <w:tcW w:type="dxa" w:w="4680"/>
          </w:tcPr>
          <w:p>
            <w:r>
              <w:rPr>
                <w:b/>
                <w:sz w:val="20"/>
              </w:rPr>
              <w:t>Rôle dans le projet</w:t>
            </w:r>
          </w:p>
        </w:tc>
      </w:tr>
      <w:tr>
        <w:tc>
          <w:tcPr>
            <w:tcW w:type="dxa" w:w="4680"/>
          </w:tcPr>
          <w:p>
            <w:r>
              <w:rPr>
                <w:sz w:val="20"/>
              </w:rPr>
              <w:t>Python 3.12 (recommandé)</w:t>
            </w:r>
          </w:p>
        </w:tc>
        <w:tc>
          <w:tcPr>
            <w:tcW w:type="dxa" w:w="4680"/>
          </w:tcPr>
          <w:p>
            <w:r>
              <w:rPr>
                <w:sz w:val="20"/>
              </w:rPr>
              <w:t>Langage principal ; voir runtime.txt pour le cloud.</w:t>
            </w:r>
          </w:p>
        </w:tc>
      </w:tr>
      <w:tr>
        <w:tc>
          <w:tcPr>
            <w:tcW w:type="dxa" w:w="4680"/>
          </w:tcPr>
          <w:p>
            <w:r>
              <w:rPr>
                <w:sz w:val="20"/>
              </w:rPr>
              <w:t>Streamlit</w:t>
            </w:r>
          </w:p>
        </w:tc>
        <w:tc>
          <w:tcPr>
            <w:tcW w:type="dxa" w:w="4680"/>
          </w:tcPr>
          <w:p>
            <w:r>
              <w:rPr>
                <w:sz w:val="20"/>
              </w:rPr>
              <w:t>Interface web du laboratoire (sidebar, onglets, métriques, graphiques).</w:t>
            </w:r>
          </w:p>
        </w:tc>
      </w:tr>
      <w:tr>
        <w:tc>
          <w:tcPr>
            <w:tcW w:type="dxa" w:w="4680"/>
          </w:tcPr>
          <w:p>
            <w:r>
              <w:rPr>
                <w:sz w:val="20"/>
              </w:rPr>
              <w:t>MNE-Python 1.6</w:t>
            </w:r>
          </w:p>
        </w:tc>
        <w:tc>
          <w:tcPr>
            <w:tcW w:type="dxa" w:w="4680"/>
          </w:tcPr>
          <w:p>
            <w:r>
              <w:rPr>
                <w:sz w:val="20"/>
              </w:rPr>
              <w:t>Lecture des EDF, annotations, extraction du canal EOG.</w:t>
            </w:r>
          </w:p>
        </w:tc>
      </w:tr>
      <w:tr>
        <w:tc>
          <w:tcPr>
            <w:tcW w:type="dxa" w:w="4680"/>
          </w:tcPr>
          <w:p>
            <w:r>
              <w:rPr>
                <w:sz w:val="20"/>
              </w:rPr>
              <w:t>NumPy / SciPy / Pandas</w:t>
            </w:r>
          </w:p>
        </w:tc>
        <w:tc>
          <w:tcPr>
            <w:tcW w:type="dxa" w:w="4680"/>
          </w:tcPr>
          <w:p>
            <w:r>
              <w:rPr>
                <w:sz w:val="20"/>
              </w:rPr>
              <w:t>Tableaux, statistiques, tableaux de résultats.</w:t>
            </w:r>
          </w:p>
        </w:tc>
      </w:tr>
      <w:tr>
        <w:tc>
          <w:tcPr>
            <w:tcW w:type="dxa" w:w="4680"/>
          </w:tcPr>
          <w:p>
            <w:r>
              <w:rPr>
                <w:sz w:val="20"/>
              </w:rPr>
              <w:t>Matplotlib</w:t>
            </w:r>
          </w:p>
        </w:tc>
        <w:tc>
          <w:tcPr>
            <w:tcW w:type="dxa" w:w="4680"/>
          </w:tcPr>
          <w:p>
            <w:r>
              <w:rPr>
                <w:sz w:val="20"/>
              </w:rPr>
              <w:t>Hypnogrammes, camemberts d’architecture, matrices de confusion.</w:t>
            </w:r>
          </w:p>
        </w:tc>
      </w:tr>
      <w:tr>
        <w:tc>
          <w:tcPr>
            <w:tcW w:type="dxa" w:w="4680"/>
          </w:tcPr>
          <w:p>
            <w:r>
              <w:rPr>
                <w:sz w:val="20"/>
              </w:rPr>
              <w:t>OpenVINO (2024.x+)</w:t>
            </w:r>
          </w:p>
        </w:tc>
        <w:tc>
          <w:tcPr>
            <w:tcW w:type="dxa" w:w="4680"/>
          </w:tcPr>
          <w:p>
            <w:r>
              <w:rPr>
                <w:sz w:val="20"/>
              </w:rPr>
              <w:t>Inférence accélérée sur NPU / GPU / CPU (modèle IR .xml + .bin).</w:t>
            </w:r>
          </w:p>
        </w:tc>
      </w:tr>
      <w:tr>
        <w:tc>
          <w:tcPr>
            <w:tcW w:type="dxa" w:w="4680"/>
          </w:tcPr>
          <w:p>
            <w:r>
              <w:rPr>
                <w:sz w:val="20"/>
              </w:rPr>
              <w:t>TensorFlow / Keras (requirements-train.txt)</w:t>
            </w:r>
          </w:p>
        </w:tc>
        <w:tc>
          <w:tcPr>
            <w:tcW w:type="dxa" w:w="4680"/>
          </w:tcPr>
          <w:p>
            <w:r>
              <w:rPr>
                <w:sz w:val="20"/>
              </w:rPr>
              <w:t>Entraînement et export des modèles .keras → OpenVINO.</w:t>
            </w:r>
          </w:p>
        </w:tc>
      </w:tr>
      <w:tr>
        <w:tc>
          <w:tcPr>
            <w:tcW w:type="dxa" w:w="4680"/>
          </w:tcPr>
          <w:p>
            <w:r>
              <w:rPr>
                <w:sz w:val="20"/>
              </w:rPr>
              <w:t>scikit-learn</w:t>
            </w:r>
          </w:p>
        </w:tc>
        <w:tc>
          <w:tcPr>
            <w:tcW w:type="dxa" w:w="4680"/>
          </w:tcPr>
          <w:p>
            <w:r>
              <w:rPr>
                <w:sz w:val="20"/>
              </w:rPr>
              <w:t>Métriques et évaluation (evaluate.py).</w:t>
            </w:r>
          </w:p>
        </w:tc>
      </w:tr>
    </w:tbl>
    <w:p/>
    <w:p>
      <w:pPr>
        <w:pStyle w:val="Heading1"/>
      </w:pPr>
      <w:r>
        <w:rPr>
          <w:color w:val="0C4A6E"/>
        </w:rPr>
        <w:t>6. Organisation du dépôt</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Chemin / fichier</w:t>
            </w:r>
          </w:p>
        </w:tc>
        <w:tc>
          <w:tcPr>
            <w:tcW w:type="dxa" w:w="4680"/>
          </w:tcPr>
          <w:p>
            <w:r>
              <w:rPr>
                <w:b/>
                <w:sz w:val="20"/>
              </w:rPr>
              <w:t>Description</w:t>
            </w:r>
          </w:p>
        </w:tc>
      </w:tr>
      <w:tr>
        <w:tc>
          <w:tcPr>
            <w:tcW w:type="dxa" w:w="4680"/>
          </w:tcPr>
          <w:p>
            <w:r>
              <w:rPr>
                <w:sz w:val="20"/>
              </w:rPr>
              <w:t>app/dashboard.py</w:t>
            </w:r>
          </w:p>
        </w:tc>
        <w:tc>
          <w:tcPr>
            <w:tcW w:type="dxa" w:w="4680"/>
          </w:tcPr>
          <w:p>
            <w:r>
              <w:rPr>
                <w:sz w:val="20"/>
              </w:rPr>
              <w:t>Application Streamlit : pipeline, inférence, onglets cliniques.</w:t>
            </w:r>
          </w:p>
        </w:tc>
      </w:tr>
      <w:tr>
        <w:tc>
          <w:tcPr>
            <w:tcW w:type="dxa" w:w="4680"/>
          </w:tcPr>
          <w:p>
            <w:r>
              <w:rPr>
                <w:sz w:val="20"/>
              </w:rPr>
              <w:t>app/ui_theme.py</w:t>
            </w:r>
          </w:p>
        </w:tc>
        <w:tc>
          <w:tcPr>
            <w:tcW w:type="dxa" w:w="4680"/>
          </w:tcPr>
          <w:p>
            <w:r>
              <w:rPr>
                <w:sz w:val="20"/>
              </w:rPr>
              <w:t>Thème couleur centralisé (clair / sombre / système).</w:t>
            </w:r>
          </w:p>
        </w:tc>
      </w:tr>
      <w:tr>
        <w:tc>
          <w:tcPr>
            <w:tcW w:type="dxa" w:w="4680"/>
          </w:tcPr>
          <w:p>
            <w:r>
              <w:rPr>
                <w:sz w:val="20"/>
              </w:rPr>
              <w:t>src/preprocessing.py</w:t>
            </w:r>
          </w:p>
        </w:tc>
        <w:tc>
          <w:tcPr>
            <w:tcW w:type="dxa" w:w="4680"/>
          </w:tcPr>
          <w:p>
            <w:r>
              <w:rPr>
                <w:sz w:val="20"/>
              </w:rPr>
              <w:t>Rééchantillonnage 100 Hz, filtre FIR 0,5–35 Hz, z-score, clip ±3σ.</w:t>
            </w:r>
          </w:p>
        </w:tc>
      </w:tr>
      <w:tr>
        <w:tc>
          <w:tcPr>
            <w:tcW w:type="dxa" w:w="4680"/>
          </w:tcPr>
          <w:p>
            <w:r>
              <w:rPr>
                <w:sz w:val="20"/>
              </w:rPr>
              <w:t>src/data_loader.py</w:t>
            </w:r>
          </w:p>
        </w:tc>
        <w:tc>
          <w:tcPr>
            <w:tcW w:type="dxa" w:w="4680"/>
          </w:tcPr>
          <w:p>
            <w:r>
              <w:rPr>
                <w:sz w:val="20"/>
              </w:rPr>
              <w:t>Parsing des annotations EDF → vecteur de labels par époque.</w:t>
            </w:r>
          </w:p>
        </w:tc>
      </w:tr>
      <w:tr>
        <w:tc>
          <w:tcPr>
            <w:tcW w:type="dxa" w:w="4680"/>
          </w:tcPr>
          <w:p>
            <w:r>
              <w:rPr>
                <w:sz w:val="20"/>
              </w:rPr>
              <w:t>src/architecture.py</w:t>
            </w:r>
          </w:p>
        </w:tc>
        <w:tc>
          <w:tcPr>
            <w:tcW w:type="dxa" w:w="4680"/>
          </w:tcPr>
          <w:p>
            <w:r>
              <w:rPr>
                <w:sz w:val="20"/>
              </w:rPr>
              <w:t>Modèles CNN+Bi-LSTM (CPU) et CNN 1D pur (NPU-compatible).</w:t>
            </w:r>
          </w:p>
        </w:tc>
      </w:tr>
      <w:tr>
        <w:tc>
          <w:tcPr>
            <w:tcW w:type="dxa" w:w="4680"/>
          </w:tcPr>
          <w:p>
            <w:r>
              <w:rPr>
                <w:sz w:val="20"/>
              </w:rPr>
              <w:t>src/train.py / train_npu.py</w:t>
            </w:r>
          </w:p>
        </w:tc>
        <w:tc>
          <w:tcPr>
            <w:tcW w:type="dxa" w:w="4680"/>
          </w:tcPr>
          <w:p>
            <w:r>
              <w:rPr>
                <w:sz w:val="20"/>
              </w:rPr>
              <w:t>Scripts d’entraînement et export IR.</w:t>
            </w:r>
          </w:p>
        </w:tc>
      </w:tr>
      <w:tr>
        <w:tc>
          <w:tcPr>
            <w:tcW w:type="dxa" w:w="4680"/>
          </w:tcPr>
          <w:p>
            <w:r>
              <w:rPr>
                <w:sz w:val="20"/>
              </w:rPr>
              <w:t>src/evaluate.py</w:t>
            </w:r>
          </w:p>
        </w:tc>
        <w:tc>
          <w:tcPr>
            <w:tcW w:type="dxa" w:w="4680"/>
          </w:tcPr>
          <w:p>
            <w:r>
              <w:rPr>
                <w:sz w:val="20"/>
              </w:rPr>
              <w:t>Évaluation quantitative vs vérité terrain.</w:t>
            </w:r>
          </w:p>
        </w:tc>
      </w:tr>
      <w:tr>
        <w:tc>
          <w:tcPr>
            <w:tcW w:type="dxa" w:w="4680"/>
          </w:tcPr>
          <w:p>
            <w:r>
              <w:rPr>
                <w:sz w:val="20"/>
              </w:rPr>
              <w:t>models/</w:t>
            </w:r>
          </w:p>
        </w:tc>
        <w:tc>
          <w:tcPr>
            <w:tcW w:type="dxa" w:w="4680"/>
          </w:tcPr>
          <w:p>
            <w:r>
              <w:rPr>
                <w:sz w:val="20"/>
              </w:rPr>
              <w:t>Poids Keras et modèle OpenVINO IR FP16 (entrée [64, 3000, 1]).</w:t>
            </w:r>
          </w:p>
        </w:tc>
      </w:tr>
      <w:tr>
        <w:tc>
          <w:tcPr>
            <w:tcW w:type="dxa" w:w="4680"/>
          </w:tcPr>
          <w:p>
            <w:r>
              <w:rPr>
                <w:sz w:val="20"/>
              </w:rPr>
              <w:t>data/raw/</w:t>
            </w:r>
          </w:p>
        </w:tc>
        <w:tc>
          <w:tcPr>
            <w:tcW w:type="dxa" w:w="4680"/>
          </w:tcPr>
          <w:p>
            <w:r>
              <w:rPr>
                <w:sz w:val="20"/>
              </w:rPr>
              <w:t>Enregistrements exemples (*_Signal.edf, *_Labels.edf).</w:t>
            </w:r>
          </w:p>
        </w:tc>
      </w:tr>
      <w:tr>
        <w:tc>
          <w:tcPr>
            <w:tcW w:type="dxa" w:w="4680"/>
          </w:tcPr>
          <w:p>
            <w:r>
              <w:rPr>
                <w:sz w:val="20"/>
              </w:rPr>
              <w:t>.streamlit/config.toml</w:t>
            </w:r>
          </w:p>
        </w:tc>
        <w:tc>
          <w:tcPr>
            <w:tcW w:type="dxa" w:w="4680"/>
          </w:tcPr>
          <w:p>
            <w:r>
              <w:rPr>
                <w:sz w:val="20"/>
              </w:rPr>
              <w:t>Thème Streamlit de base.</w:t>
            </w:r>
          </w:p>
        </w:tc>
      </w:tr>
    </w:tbl>
    <w:p/>
    <w:p>
      <w:pPr>
        <w:pStyle w:val="Heading1"/>
      </w:pPr>
      <w:r>
        <w:rPr>
          <w:color w:val="0C4A6E"/>
        </w:rPr>
        <w:t>7. Schéma du pipeline de bout en bout</w:t>
      </w:r>
    </w:p>
    <w:p>
      <w:pPr>
        <w:jc w:val="center"/>
      </w:pPr>
      <w:r>
        <w:drawing>
          <wp:inline xmlns:a="http://schemas.openxmlformats.org/drawingml/2006/main" xmlns:pic="http://schemas.openxmlformats.org/drawingml/2006/picture">
            <wp:extent cx="5669280" cy="1535916"/>
            <wp:docPr id="1" name="Picture 1"/>
            <wp:cNvGraphicFramePr>
              <a:graphicFrameLocks noChangeAspect="1"/>
            </wp:cNvGraphicFramePr>
            <a:graphic>
              <a:graphicData uri="http://schemas.openxmlformats.org/drawingml/2006/picture">
                <pic:pic>
                  <pic:nvPicPr>
                    <pic:cNvPr id="0" name="tmp8d2d5_k5.png"/>
                    <pic:cNvPicPr/>
                  </pic:nvPicPr>
                  <pic:blipFill>
                    <a:blip r:embed="rId9"/>
                    <a:stretch>
                      <a:fillRect/>
                    </a:stretch>
                  </pic:blipFill>
                  <pic:spPr>
                    <a:xfrm>
                      <a:off x="0" y="0"/>
                      <a:ext cx="5669280" cy="1535916"/>
                    </a:xfrm>
                    <a:prstGeom prst="rect"/>
                  </pic:spPr>
                </pic:pic>
              </a:graphicData>
            </a:graphic>
          </wp:inline>
        </w:drawing>
      </w:r>
    </w:p>
    <w:p>
      <w:r>
        <w:t>Chaque époque correspond à 30 s à 100 Hz soit 3000 échantillons par canal. Le modèle déployé dans le dashboard attend un tenseur de forme (batch, 3000, 1) ; l’inférence est traitée par lots (batch 64) pour optimiser le débit.</w:t>
      </w:r>
    </w:p>
    <w:p>
      <w:pPr>
        <w:pStyle w:val="Heading1"/>
      </w:pPr>
      <w:r>
        <w:rPr>
          <w:color w:val="0C4A6E"/>
        </w:rPr>
        <w:t>8. Prétraitement du signal EOG</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Étape</w:t>
            </w:r>
          </w:p>
        </w:tc>
        <w:tc>
          <w:tcPr>
            <w:tcW w:type="dxa" w:w="4680"/>
          </w:tcPr>
          <w:p>
            <w:r>
              <w:rPr>
                <w:b/>
                <w:sz w:val="20"/>
              </w:rPr>
              <w:t>Paramètres</w:t>
            </w:r>
          </w:p>
        </w:tc>
      </w:tr>
      <w:tr>
        <w:tc>
          <w:tcPr>
            <w:tcW w:type="dxa" w:w="4680"/>
          </w:tcPr>
          <w:p>
            <w:r>
              <w:rPr>
                <w:sz w:val="20"/>
              </w:rPr>
              <w:t>Rééchantillonnage</w:t>
            </w:r>
          </w:p>
        </w:tc>
        <w:tc>
          <w:tcPr>
            <w:tcW w:type="dxa" w:w="4680"/>
          </w:tcPr>
          <w:p>
            <w:r>
              <w:rPr>
                <w:sz w:val="20"/>
              </w:rPr>
              <w:t>100 Hz (aligné sur l’entrée du modèle).</w:t>
            </w:r>
          </w:p>
        </w:tc>
      </w:tr>
      <w:tr>
        <w:tc>
          <w:tcPr>
            <w:tcW w:type="dxa" w:w="4680"/>
          </w:tcPr>
          <w:p>
            <w:r>
              <w:rPr>
                <w:sz w:val="20"/>
              </w:rPr>
              <w:t>Sélection du canal</w:t>
            </w:r>
          </w:p>
        </w:tc>
        <w:tc>
          <w:tcPr>
            <w:tcW w:type="dxa" w:w="4680"/>
          </w:tcPr>
          <w:p>
            <w:r>
              <w:rPr>
                <w:sz w:val="20"/>
              </w:rPr>
              <w:t>Premier canal dont le nom contient « EOG » (insensible à la casse).</w:t>
            </w:r>
          </w:p>
        </w:tc>
      </w:tr>
      <w:tr>
        <w:tc>
          <w:tcPr>
            <w:tcW w:type="dxa" w:w="4680"/>
          </w:tcPr>
          <w:p>
            <w:r>
              <w:rPr>
                <w:sz w:val="20"/>
              </w:rPr>
              <w:t>Filtrage</w:t>
            </w:r>
          </w:p>
        </w:tc>
        <w:tc>
          <w:tcPr>
            <w:tcW w:type="dxa" w:w="4680"/>
          </w:tcPr>
          <w:p>
            <w:r>
              <w:rPr>
                <w:sz w:val="20"/>
              </w:rPr>
              <w:t>Passe-bande FIR 0,5 Hz – 35 Hz (MNE).</w:t>
            </w:r>
          </w:p>
        </w:tc>
      </w:tr>
      <w:tr>
        <w:tc>
          <w:tcPr>
            <w:tcW w:type="dxa" w:w="4680"/>
          </w:tcPr>
          <w:p>
            <w:r>
              <w:rPr>
                <w:sz w:val="20"/>
              </w:rPr>
              <w:t>Normalisation</w:t>
            </w:r>
          </w:p>
        </w:tc>
        <w:tc>
          <w:tcPr>
            <w:tcW w:type="dxa" w:w="4680"/>
          </w:tcPr>
          <w:p>
            <w:r>
              <w:rPr>
                <w:sz w:val="20"/>
              </w:rPr>
              <w:t>Z-score par enregistrement ; limitation des valeurs à ±3 écarts-types.</w:t>
            </w:r>
          </w:p>
        </w:tc>
      </w:tr>
    </w:tbl>
    <w:p/>
    <w:p>
      <w:pPr>
        <w:pStyle w:val="Heading1"/>
      </w:pPr>
      <w:r>
        <w:rPr>
          <w:color w:val="0C4A6E"/>
        </w:rPr>
        <w:t>9. Modèles d’apprentissage</w:t>
      </w:r>
    </w:p>
    <w:p>
      <w:r>
        <w:t>Deux architectures sont définies dans architecture.py : une variante CNN + Bi-LSTM (meilleure expressivité temporelle mais opérations non supportées sur le NPU Intel ciblé) et une CNN 1D pure (convolutions, normalisation par lots, max-pooling, global average pooling, dense) compatible avec l’export OpenVINO et l’exécution sur NPU.</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Critère</w:t>
            </w:r>
          </w:p>
        </w:tc>
        <w:tc>
          <w:tcPr>
            <w:tcW w:type="dxa" w:w="3120"/>
          </w:tcPr>
          <w:p>
            <w:r>
              <w:rPr>
                <w:b/>
                <w:sz w:val="20"/>
              </w:rPr>
              <w:t>CNN + Bi-LSTM</w:t>
            </w:r>
          </w:p>
        </w:tc>
        <w:tc>
          <w:tcPr>
            <w:tcW w:type="dxa" w:w="3120"/>
          </w:tcPr>
          <w:p>
            <w:r>
              <w:rPr>
                <w:b/>
                <w:sz w:val="20"/>
              </w:rPr>
              <w:t>CNN 1D (NPU)</w:t>
            </w:r>
          </w:p>
        </w:tc>
      </w:tr>
      <w:tr>
        <w:tc>
          <w:tcPr>
            <w:tcW w:type="dxa" w:w="3120"/>
          </w:tcPr>
          <w:p>
            <w:r>
              <w:rPr>
                <w:sz w:val="20"/>
              </w:rPr>
              <w:t>Cible d’exécution</w:t>
            </w:r>
          </w:p>
        </w:tc>
        <w:tc>
          <w:tcPr>
            <w:tcW w:type="dxa" w:w="3120"/>
          </w:tcPr>
          <w:p>
            <w:r>
              <w:rPr>
                <w:sz w:val="20"/>
              </w:rPr>
              <w:t>CPU / GPU (LSTM)</w:t>
            </w:r>
          </w:p>
        </w:tc>
        <w:tc>
          <w:tcPr>
            <w:tcW w:type="dxa" w:w="3120"/>
          </w:tcPr>
          <w:p>
            <w:r>
              <w:rPr>
                <w:sz w:val="20"/>
              </w:rPr>
              <w:t>NPU / GPU / CPU (IR)</w:t>
            </w:r>
          </w:p>
        </w:tc>
      </w:tr>
      <w:tr>
        <w:tc>
          <w:tcPr>
            <w:tcW w:type="dxa" w:w="3120"/>
          </w:tcPr>
          <w:p>
            <w:r>
              <w:rPr>
                <w:sz w:val="20"/>
              </w:rPr>
              <w:t>Contrainte matérielle</w:t>
            </w:r>
          </w:p>
        </w:tc>
        <w:tc>
          <w:tcPr>
            <w:tcW w:type="dxa" w:w="3120"/>
          </w:tcPr>
          <w:p>
            <w:r>
              <w:rPr>
                <w:sz w:val="20"/>
              </w:rPr>
              <w:t>Ops récurrentes</w:t>
            </w:r>
          </w:p>
        </w:tc>
        <w:tc>
          <w:tcPr>
            <w:tcW w:type="dxa" w:w="3120"/>
          </w:tcPr>
          <w:p>
            <w:r>
              <w:rPr>
                <w:sz w:val="20"/>
              </w:rPr>
              <w:t>Pas de LSTM — convolutions uniquement</w:t>
            </w:r>
          </w:p>
        </w:tc>
      </w:tr>
      <w:tr>
        <w:tc>
          <w:tcPr>
            <w:tcW w:type="dxa" w:w="3120"/>
          </w:tcPr>
          <w:p>
            <w:r>
              <w:rPr>
                <w:sz w:val="20"/>
              </w:rPr>
              <w:t>Perte / optimisation</w:t>
            </w:r>
          </w:p>
        </w:tc>
        <w:tc>
          <w:tcPr>
            <w:tcW w:type="dxa" w:w="3120"/>
          </w:tcPr>
          <w:p>
            <w:r>
              <w:rPr>
                <w:sz w:val="20"/>
              </w:rPr>
              <w:t>sparse_categorical_crossentropy, Adam</w:t>
            </w:r>
          </w:p>
        </w:tc>
        <w:tc>
          <w:tcPr>
            <w:tcW w:type="dxa" w:w="3120"/>
          </w:tcPr>
          <w:p>
            <w:r>
              <w:rPr>
                <w:sz w:val="20"/>
              </w:rPr>
              <w:t>idem</w:t>
            </w:r>
          </w:p>
        </w:tc>
      </w:tr>
    </w:tbl>
    <w:p/>
    <w:p>
      <w:pPr>
        <w:jc w:val="center"/>
      </w:pPr>
      <w:r>
        <w:drawing>
          <wp:inline xmlns:a="http://schemas.openxmlformats.org/drawingml/2006/main" xmlns:pic="http://schemas.openxmlformats.org/drawingml/2006/picture">
            <wp:extent cx="5486400" cy="1397479"/>
            <wp:docPr id="2" name="Picture 2"/>
            <wp:cNvGraphicFramePr>
              <a:graphicFrameLocks noChangeAspect="1"/>
            </wp:cNvGraphicFramePr>
            <a:graphic>
              <a:graphicData uri="http://schemas.openxmlformats.org/drawingml/2006/picture">
                <pic:pic>
                  <pic:nvPicPr>
                    <pic:cNvPr id="0" name="tmpmdk22g6l.png"/>
                    <pic:cNvPicPr/>
                  </pic:nvPicPr>
                  <pic:blipFill>
                    <a:blip r:embed="rId10"/>
                    <a:stretch>
                      <a:fillRect/>
                    </a:stretch>
                  </pic:blipFill>
                  <pic:spPr>
                    <a:xfrm>
                      <a:off x="0" y="0"/>
                      <a:ext cx="5486400" cy="1397479"/>
                    </a:xfrm>
                    <a:prstGeom prst="rect"/>
                  </pic:spPr>
                </pic:pic>
              </a:graphicData>
            </a:graphic>
          </wp:inline>
        </w:drawing>
      </w:r>
    </w:p>
    <w:p/>
    <w:p>
      <w:pPr>
        <w:pStyle w:val="Heading1"/>
      </w:pPr>
      <w:r>
        <w:rPr>
          <w:color w:val="0C4A6E"/>
        </w:rPr>
        <w:t>10. Fonctionnalités du dashboard</w:t>
      </w:r>
    </w:p>
    <w:p>
      <w:pPr>
        <w:pStyle w:val="ListBullet"/>
      </w:pPr>
      <w:r>
        <w:t>Choix du périphérique d’inférence OpenVINO (NPU, GPU, CPU, AUTO).</w:t>
      </w:r>
    </w:p>
    <w:p>
      <w:pPr>
        <w:pStyle w:val="ListBullet"/>
      </w:pPr>
      <w:r>
        <w:t>Import EDF signal ; base locale data/raw ; hypnogramme expert optionnel.</w:t>
      </w:r>
    </w:p>
    <w:p>
      <w:pPr>
        <w:pStyle w:val="ListBullet"/>
      </w:pPr>
      <w:r>
        <w:t>Métriques cliniques (TST, efficacité du sommeil, latences, % de stades, etc.).</w:t>
      </w:r>
    </w:p>
    <w:p>
      <w:pPr>
        <w:pStyle w:val="ListBullet"/>
      </w:pPr>
      <w:r>
        <w:t>Onglets : hypnogramme IA (et expert), architecture du sommeil, accord IA vs expert, rapport, technique.</w:t>
      </w:r>
    </w:p>
    <w:p>
      <w:pPr>
        <w:pStyle w:val="ListBullet"/>
      </w:pPr>
      <w:r>
        <w:t>Export CSV époque par époque.</w:t>
      </w:r>
    </w:p>
    <w:p>
      <w:pPr>
        <w:pStyle w:val="Heading1"/>
      </w:pPr>
      <w:r>
        <w:rPr>
          <w:color w:val="0C4A6E"/>
        </w:rPr>
        <w:t>11. Performances indicatives (README du projet)</w:t>
      </w:r>
    </w:p>
    <w:p>
      <w:r>
        <w:t>Les chiffres ci-dessous sont donnés à titre illustratif sur une configuration type (Intel Core Ultra 5 125U) ; ils dépendent du matériel et de la charge.</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Périphérique</w:t>
            </w:r>
          </w:p>
        </w:tc>
        <w:tc>
          <w:tcPr>
            <w:tcW w:type="dxa" w:w="4680"/>
          </w:tcPr>
          <w:p>
            <w:r>
              <w:rPr>
                <w:b/>
                <w:sz w:val="20"/>
              </w:rPr>
              <w:t>Débit approximatif (époques/s)</w:t>
            </w:r>
          </w:p>
        </w:tc>
      </w:tr>
      <w:tr>
        <w:tc>
          <w:tcPr>
            <w:tcW w:type="dxa" w:w="4680"/>
          </w:tcPr>
          <w:p>
            <w:r>
              <w:rPr>
                <w:sz w:val="20"/>
              </w:rPr>
              <w:t>NPU (Intel AI Boost)</w:t>
            </w:r>
          </w:p>
        </w:tc>
        <w:tc>
          <w:tcPr>
            <w:tcW w:type="dxa" w:w="4680"/>
          </w:tcPr>
          <w:p>
            <w:r>
              <w:rPr>
                <w:sz w:val="20"/>
              </w:rPr>
              <w:t>~5 650</w:t>
            </w:r>
          </w:p>
        </w:tc>
      </w:tr>
      <w:tr>
        <w:tc>
          <w:tcPr>
            <w:tcW w:type="dxa" w:w="4680"/>
          </w:tcPr>
          <w:p>
            <w:r>
              <w:rPr>
                <w:sz w:val="20"/>
              </w:rPr>
              <w:t>GPU intégré</w:t>
            </w:r>
          </w:p>
        </w:tc>
        <w:tc>
          <w:tcPr>
            <w:tcW w:type="dxa" w:w="4680"/>
          </w:tcPr>
          <w:p>
            <w:r>
              <w:rPr>
                <w:sz w:val="20"/>
              </w:rPr>
              <w:t>~2 150</w:t>
            </w:r>
          </w:p>
        </w:tc>
      </w:tr>
      <w:tr>
        <w:tc>
          <w:tcPr>
            <w:tcW w:type="dxa" w:w="4680"/>
          </w:tcPr>
          <w:p>
            <w:r>
              <w:rPr>
                <w:sz w:val="20"/>
              </w:rPr>
              <w:t>CPU</w:t>
            </w:r>
          </w:p>
        </w:tc>
        <w:tc>
          <w:tcPr>
            <w:tcW w:type="dxa" w:w="4680"/>
          </w:tcPr>
          <w:p>
            <w:r>
              <w:rPr>
                <w:sz w:val="20"/>
              </w:rPr>
              <w:t>~1 100</w:t>
            </w:r>
          </w:p>
        </w:tc>
      </w:tr>
    </w:tbl>
    <w:p>
      <w:r>
        <w:t>Précision rapportée sur un petit jeu de validation (4 patients) : environ 88,4 % pour la variante CNN 1D (voir README.md du dépôt).</w:t>
      </w:r>
    </w:p>
    <w:p>
      <w:pPr>
        <w:pStyle w:val="Heading1"/>
      </w:pPr>
      <w:r>
        <w:rPr>
          <w:color w:val="0C4A6E"/>
        </w:rPr>
        <w:t>12. Limites et perspectives</w:t>
      </w:r>
    </w:p>
    <w:p>
      <w:pPr>
        <w:pStyle w:val="ListBullet"/>
      </w:pPr>
      <w:r>
        <w:t>Un seul canal EOG ne remplace pas une PSG complète pour le diagnostic clinique.</w:t>
      </w:r>
    </w:p>
    <w:p>
      <w:pPr>
        <w:pStyle w:val="ListBullet"/>
      </w:pPr>
      <w:r>
        <w:t>Les performances varient selon la population, la qualité du signal et les pathologies.</w:t>
      </w:r>
    </w:p>
    <w:p>
      <w:pPr>
        <w:pStyle w:val="ListBullet"/>
      </w:pPr>
      <w:r>
        <w:t>L’outil sert d’aide à la décision / démonstration pédagogique ; le scoring expert reste la référence.</w:t>
      </w:r>
    </w:p>
    <w:p>
      <w:pPr>
        <w:pStyle w:val="ListBullet"/>
      </w:pPr>
      <w:r>
        <w:t>Pistes : multi-canaux, calibration sur plus de sujets, explicabilité (Grad-CAM), déploiement serveur.</w:t>
      </w:r>
    </w:p>
    <w:p>
      <w:pPr>
        <w:pStyle w:val="Heading1"/>
      </w:pPr>
      <w:r>
        <w:rPr>
          <w:color w:val="0C4A6E"/>
        </w:rPr>
        <w:t>13. Conclusion</w:t>
      </w:r>
    </w:p>
    <w:p>
      <w:r>
        <w:t>Le projet Sommeil_EOG_IA illustre une chaîne moderne d’apprentissage automatique appliquée au sommeil : données standardisées (EDF / AASM), prétraitement reproductible, modèle profond déployable sur accélérateur via OpenVINO, et restitution visuelle pour l’utilisateur. Il constitue une base solide pour un exposé ou un rapport de fin d’études en traitement du signal et intelligence artificielle.</w:t>
      </w:r>
    </w:p>
    <w:p>
      <w:pPr>
        <w:pStyle w:val="Heading1"/>
      </w:pPr>
      <w:r>
        <w:rPr>
          <w:color w:val="0C4A6E"/>
        </w:rPr>
        <w:t>Références logicielles</w:t>
      </w:r>
    </w:p>
    <w:p>
      <w:r>
        <w:t>MNE-Python (https://mne.tools/), Streamlit (https://streamlit.io/), OpenVINO (https://docs.openvino.ai/), TensorFlow/Keras (https://www.tensorflow.org/).</w:t>
      </w:r>
    </w:p>
    <w:sectPr w:rsidR="00FC693F" w:rsidRPr="0006063C" w:rsidSect="00034616">
      <w:pgSz w:w="12240" w:h="15840"/>
      <w:pgMar w:top="1120" w:right="1440" w:bottom="11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