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Nhóm IA3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Nguyễn Thành Long – Tiêu Tấn Lợi (SEC2)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+2.1 Mục tiêu bảo mật (Nguyễn Thành Long)</w:t>
        <w:br w:type="textWrapping"/>
        <w:t xml:space="preserve"> +2.2 Phạm vi và tài sản cần bảo vệ (Nguyễn Thành Long)</w:t>
        <w:br w:type="textWrapping"/>
        <w:t xml:space="preserve"> +2.3 Yêu cầu bảo mật chi tiết (Nguyễn Thành Long - Tiêu Tấn Lợi)</w:t>
        <w:br w:type="textWrapping"/>
        <w:t xml:space="preserve"> +2.4 Mô hình kiểm soát đề xuất (Tiêu Tấn Lợi)</w:t>
        <w:br w:type="textWrapping"/>
        <w:t xml:space="preserve"> +2.5 Kiểm thử bảo mật cho SEC2 (Nguyễn Thành Long – Tiêu Tấn Lợi)</w:t>
      </w:r>
    </w:p>
    <w:p w:rsidR="00000000" w:rsidDel="00000000" w:rsidP="00000000" w:rsidRDefault="00000000" w:rsidRPr="00000000" w14:paraId="0000000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Nguyễn Lê Hoàng Thông – Thái Quốc Triệu (SEC6)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+3.1 Mục tiêu bảo mật (Nguyễn Lê Hoàng Thông)</w:t>
        <w:br w:type="textWrapping"/>
        <w:t xml:space="preserve"> +3.2 Mô hình đe doạ chính (Nguyễn Lê Hoàng Thông – Thái Quốc Triệu)</w:t>
        <w:br w:type="textWrapping"/>
        <w:t xml:space="preserve"> +3.3 Yêu cầu bảo mật chi tiết (Thái Quốc Triệu)</w:t>
        <w:br w:type="textWrapping"/>
        <w:t xml:space="preserve"> +3.4 Cơ chế phòng vệ đề xuất (Thái Quốc Triệu)</w:t>
        <w:br w:type="textWrapping"/>
        <w:t xml:space="preserve"> +3.5 Kiểm thử bảo mật cho SEC 6 (Thái Quốc Triệu – Nguyễn Lê Hoàng Thông)</w:t>
        <w:br w:type="textWrapping"/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