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1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  <w:lang w:val="vi-VN"/>
              </w:rPr>
              <w:t>C10</w:t>
            </w:r>
            <w:r>
              <w:rPr>
                <w:rFonts w:ascii="Arial" w:hAnsi="Arial" w:cs="Arial"/>
                <w:sz w:val="26"/>
                <w:szCs w:val="26"/>
              </w:rPr>
              <w:t>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29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23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29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String và regex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SOLID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DeSingPatten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Structural Design patten</w:t>
            </w:r>
          </w:p>
        </w:tc>
        <w:tc>
          <w:tcPr>
            <w:tcW w:w="5235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FF"/>
                <w:sz w:val="26"/>
                <w:szCs w:val="26"/>
                <w:u w:val="none"/>
                <w:vertAlign w:val="baseline"/>
              </w:rPr>
              <w:t>1.SOLID, 2.Regular, 3. CSV, 4.Serialization, 5.String Builder, 6. Proxy,7.Factory Method, 8.Singleton, 9.String pool, 10.Validate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FF"/>
                <w:sz w:val="26"/>
                <w:szCs w:val="26"/>
                <w:u w:val="none"/>
                <w:vertAlign w:val="baseline"/>
                <w:lang w:val="vi-VN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eastAsia="SimSun" w:cs="Arial"/>
                <w:i w:val="0"/>
                <w:iCs w:val="0"/>
                <w:color w:val="0000FF"/>
                <w:sz w:val="26"/>
                <w:szCs w:val="26"/>
                <w:u w:val="none"/>
                <w:vertAlign w:val="baseline"/>
              </w:rPr>
              <w:t>–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FF"/>
                <w:sz w:val="26"/>
                <w:szCs w:val="26"/>
                <w:u w:val="none"/>
                <w:vertAlign w:val="baseline"/>
                <w:lang w:val="vi-VN"/>
              </w:rPr>
              <w:t xml:space="preserve"> Lê Đình Hậu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21FC01DC"/>
    <w:rsid w:val="29AF1EE5"/>
    <w:rsid w:val="34C50283"/>
    <w:rsid w:val="37E51464"/>
    <w:rsid w:val="4B5A3B94"/>
    <w:rsid w:val="56B7412D"/>
    <w:rsid w:val="57BF125F"/>
    <w:rsid w:val="58DE6209"/>
    <w:rsid w:val="5FC744C2"/>
    <w:rsid w:val="6C302493"/>
    <w:rsid w:val="768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  <w:style w:type="character" w:customStyle="1" w:styleId="1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59</TotalTime>
  <ScaleCrop>false</ScaleCrop>
  <LinksUpToDate>false</LinksUpToDate>
  <CharactersWithSpaces>2988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2022-12-30T04:42:45Z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1033-11.2.0.11440</vt:lpwstr>
  </property>
  <property fmtid="{D5CDD505-2E9C-101B-9397-08002B2CF9AE}" pid="4" name="ICV">
    <vt:lpwstr>5E9652EC81644A52B6487BF3930CBC38</vt:lpwstr>
  </property>
</Properties>
</file>