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ind w:firstLine="0"/>
        <w:jc w:val="center"/>
      </w:pPr>
      <w:r>
        <w:t xml:space="preserve">АВТОНОМНАЯ НЕКОММЕРЧЕСКАЯ ОБРАЗОВАТЕЛЬНАЯ ОРГАНИЗАЦИЯ</w:t>
      </w:r>
    </w:p>
    <w:p>
      <w:pPr>
        <w:ind w:firstLine="0"/>
        <w:jc w:val="center"/>
      </w:pPr>
      <w:r>
        <w:t xml:space="preserve">ВЫСШЕГО ОБРАЗОВАНИЯ ЦЕНТРОСОЮЗА РОССИЙСКОЙ ФЕДЕРАЦИИ</w:t>
      </w:r>
    </w:p>
    <w:p>
      <w:pPr>
        <w:ind w:firstLine="0"/>
        <w:jc w:val="center"/>
      </w:pPr>
      <w:r>
        <w:t xml:space="preserve">«РОССИЙСКИЙ УНИВЕРСИТЕТ КООПЕРАЦИИ»</w:t>
      </w:r>
    </w:p>
    <w:p>
      <w:pPr>
        <w:ind w:firstLine="0"/>
        <w:jc w:val="center"/>
      </w:pPr>
      <w:r>
        <w:t xml:space="preserve">КАЗАНСКИЙ КООПЕРАТИВНЫЙ ИНСТИТУТ (ФИЛИАЛ)</w:t>
      </w:r>
    </w:p>
    <w:p/>
    <w:p>
      <w:pPr>
        <w:ind w:firstLine="0"/>
        <w:jc w:val="center"/>
      </w:pPr>
      <w:r>
        <w:t xml:space="preserve">Факультет среднего профессионального образования</w:t>
      </w:r>
    </w:p>
    <w:p>
      <w:pPr>
        <w:ind w:firstLine="0"/>
        <w:jc w:val="center"/>
      </w:pPr>
      <w:r>
        <w:t xml:space="preserve">Кафедра бухгалтерского учёта и финансов</w:t>
      </w:r>
    </w:p>
    <w:p/>
    <w:p/>
    <w:p>
      <w:pPr>
        <w:ind w:firstLine="0"/>
        <w:jc w:val="center"/>
      </w:pPr>
      <w:r>
        <w:t xml:space="preserve">ВЫПУСКНАЯ КВАЛИФИКАЦИОННАЯ РАБОТА</w:t>
      </w:r>
    </w:p>
    <w:p>
      <w:pPr>
        <w:ind w:firstLine="0"/>
        <w:jc w:val="center"/>
      </w:pPr>
      <w:r>
        <w:t xml:space="preserve">(ДИПЛОМНАЯ РАБОТА)</w:t>
      </w:r>
    </w:p>
    <w:p/>
    <w:p/>
    <w:p>
      <w:pPr>
        <w:ind w:firstLine="0"/>
        <w:jc w:val="center"/>
      </w:pPr>
      <w:r>
        <w:t xml:space="preserve">_______________________________________________________</w:t>
      </w:r>
    </w:p>
    <w:p>
      <w:pPr>
        <w:ind w:firstLine="0"/>
        <w:jc w:val="center"/>
      </w:pPr>
      <w:r>
        <w:t xml:space="preserve">(фамилия, имя, отчество обучающегося)</w:t>
      </w:r>
    </w:p>
    <w:p/>
    <w:p/>
    <w:p>
      <w:pPr>
        <w:ind w:firstLine="0"/>
        <w:jc w:val="center"/>
      </w:pPr>
      <w:r>
        <w:t xml:space="preserve">на тему: «Организация переводов денежных средств в коммерческих банках</w:t>
      </w:r>
    </w:p>
    <w:p>
      <w:pPr>
        <w:ind w:firstLine="0"/>
        <w:jc w:val="center"/>
      </w:pPr>
      <w:r>
        <w:t xml:space="preserve">(на материалах ПАО «Сбербанк»)»</w:t>
      </w:r>
    </w:p>
    <w:p/>
    <w:p/>
    <w:p>
      <w:pPr>
        <w:ind w:firstLine="0"/>
        <w:jc w:val="center"/>
      </w:pPr>
      <w:r>
        <w:t xml:space="preserve">Специальность 38.02.07 Банковское дело</w:t>
      </w:r>
    </w:p>
    <w:p/>
    <w:p/>
    <w:p>
      <w:pPr>
        <w:ind w:firstLine="0"/>
        <w:jc w:val="center"/>
      </w:pPr>
      <w:r>
        <w:t xml:space="preserve">Научный руководитель</w:t>
      </w:r>
    </w:p>
    <w:p>
      <w:pPr>
        <w:ind w:firstLine="0"/>
        <w:jc w:val="center"/>
      </w:pPr>
      <w:r>
        <w:t xml:space="preserve">_______________________________</w:t>
      </w:r>
    </w:p>
    <w:p>
      <w:pPr>
        <w:ind w:firstLine="0"/>
        <w:jc w:val="center"/>
      </w:pPr>
      <w:r>
        <w:t xml:space="preserve">        (учёная степень, звание, Ф.И.О.)</w:t>
      </w:r>
    </w:p>
    <w:p/>
    <w:p/>
    <w:p>
      <w:pPr>
        <w:ind w:firstLine="0"/>
        <w:jc w:val="center"/>
      </w:pPr>
      <w:r>
        <w:t xml:space="preserve">Работа допущена к защите</w:t>
      </w:r>
    </w:p>
    <w:p>
      <w:pPr>
        <w:ind w:firstLine="0"/>
        <w:jc w:val="center"/>
      </w:pPr>
      <w:r>
        <w:t xml:space="preserve">Заведующий кафедрой ________________</w:t>
      </w:r>
    </w:p>
    <w:p>
      <w:pPr>
        <w:ind w:firstLine="0"/>
        <w:jc w:val="center"/>
      </w:pPr>
      <w:r>
        <w:t xml:space="preserve">«____» _______________ 2026 г.</w:t>
      </w:r>
    </w:p>
    <w:p/>
    <w:p/>
    <w:p>
      <w:pPr>
        <w:ind w:firstLine="0"/>
        <w:jc w:val="center"/>
      </w:pPr>
      <w:r>
        <w:t xml:space="preserve">Казань — 2026</w:t>
      </w:r>
    </w:p>
    <w:p>
      <w:r>
        <w:br w:type="page"/>
      </w:r>
    </w:p>
    <w:p>
      <w:pPr>
        <w:ind w:firstLine="0"/>
        <w:jc w:val="center"/>
      </w:pPr>
      <w:r>
        <w:t xml:space="preserve">ПРИЛОЖЕНИЕ В</w:t>
      </w:r>
    </w:p>
    <w:p/>
    <w:p>
      <w:pPr>
        <w:ind w:firstLine="0"/>
        <w:jc w:val="center"/>
      </w:pPr>
      <w:r>
        <w:t xml:space="preserve">АВТОНОМНАЯ НЕКОММЕРЧЕСКАЯ ОБРАЗОВАТЕЛЬНАЯ ОРГАНИЗАЦИЯ</w:t>
      </w:r>
    </w:p>
    <w:p>
      <w:pPr>
        <w:ind w:firstLine="0"/>
        <w:jc w:val="center"/>
      </w:pPr>
      <w:r>
        <w:t xml:space="preserve">ВЫСШЕГО ОБРАЗОВАНИЯ ЦЕНТРОСОЮЗА РОССИЙСКОЙ ФЕДЕРАЦИИ</w:t>
      </w:r>
    </w:p>
    <w:p>
      <w:pPr>
        <w:ind w:firstLine="0"/>
        <w:jc w:val="center"/>
      </w:pPr>
      <w:r>
        <w:t xml:space="preserve">«РОССИЙСКИЙ УНИВЕРСИТЕТ КООПЕРАЦИИ»</w:t>
      </w:r>
    </w:p>
    <w:p>
      <w:pPr>
        <w:ind w:firstLine="0"/>
        <w:jc w:val="center"/>
      </w:pPr>
      <w:r>
        <w:t xml:space="preserve">КАЗАНСКИЙ КООПЕРАТИВНЫЙ ИНСТИТУТ (ФИЛИАЛ)</w:t>
      </w:r>
    </w:p>
    <w:p/>
    <w:p>
      <w:pPr>
        <w:ind w:firstLine="0"/>
        <w:jc w:val="center"/>
      </w:pPr>
      <w:r>
        <w:t xml:space="preserve">Факультет среднего профессионального образования</w:t>
      </w:r>
    </w:p>
    <w:p>
      <w:pPr>
        <w:ind w:firstLine="0"/>
        <w:jc w:val="center"/>
      </w:pPr>
      <w:r>
        <w:t xml:space="preserve">Кафедра бухгалтерского учёта и финансов</w:t>
      </w:r>
    </w:p>
    <w:p/>
    <w:p>
      <w:pPr>
        <w:ind w:firstLine="0"/>
        <w:jc w:val="center"/>
      </w:pPr>
      <w:r>
        <w:t xml:space="preserve">                                                              УТВЕРЖДАЮ</w:t>
      </w:r>
    </w:p>
    <w:p>
      <w:pPr>
        <w:ind w:firstLine="0"/>
        <w:jc w:val="center"/>
      </w:pPr>
      <w:r>
        <w:t xml:space="preserve">                                                              заведующий кафедрой</w:t>
      </w:r>
    </w:p>
    <w:p>
      <w:pPr>
        <w:ind w:firstLine="0"/>
        <w:jc w:val="center"/>
      </w:pPr>
      <w:r>
        <w:t xml:space="preserve">                                                              ___________ /______________/</w:t>
      </w:r>
    </w:p>
    <w:p>
      <w:pPr>
        <w:ind w:firstLine="0"/>
        <w:jc w:val="center"/>
      </w:pPr>
      <w:r>
        <w:t xml:space="preserve">                                                              «___» ____________ 2026 г.</w:t>
      </w:r>
    </w:p>
    <w:p/>
    <w:p/>
    <w:p>
      <w:pPr>
        <w:ind w:firstLine="0"/>
        <w:jc w:val="center"/>
      </w:pPr>
      <w:r>
        <w:t xml:space="preserve">ЗАДАНИЕ</w:t>
      </w:r>
    </w:p>
    <w:p>
      <w:pPr>
        <w:ind w:firstLine="0"/>
        <w:jc w:val="center"/>
      </w:pPr>
      <w:r>
        <w:t xml:space="preserve">на выпускную квалификационную работу (дипломную работу)</w:t>
      </w:r>
    </w:p>
    <w:p>
      <w:pPr>
        <w:jc w:val="both"/>
      </w:pPr>
      <w:r>
        <w:t xml:space="preserve">(фамилия, имя, отчество)</w:t>
      </w:r>
    </w:p>
    <w:p>
      <w:pPr>
        <w:jc w:val="both"/>
      </w:pPr>
      <w:r>
        <w:t xml:space="preserve">1. Тема работы: «Организация переводов денежных средств в коммерческих банках (на материалах ПАО «Сбербанк»)»</w:t>
      </w:r>
    </w:p>
    <w:p>
      <w:pPr>
        <w:jc w:val="both"/>
      </w:pPr>
      <w:r>
        <w:t xml:space="preserve">утверждена приказом по институту от «____» _____________ 2026 г. № ______</w:t>
      </w:r>
    </w:p>
    <w:p>
      <w:pPr>
        <w:jc w:val="both"/>
      </w:pPr>
      <w:r>
        <w:t xml:space="preserve">2. Срок сдачи законченной работы: «____» _____________ 2026 г.</w:t>
      </w:r>
    </w:p>
    <w:p>
      <w:pPr>
        <w:jc w:val="both"/>
      </w:pPr>
      <w:r>
        <w:t xml:space="preserve">3. Исходные данные к работе: — Гражданский кодекс Российской Федерации (часть вторая); — Федеральный закон от 27.06.2011 № 161-ФЗ «О национальной платёжной системе»; — Федеральный закон от 02.12.1990 № 395-1 «О банках и банковской деятельности»; — Положение Банка России от 29.06.2021 № 762-П «О правилах осуществления перевода денежных средств»; — годовая бухгалтерская (финансовая) отчётность ПАО «Сбербанк» за 2022–2024 гг.; — годовые отчёты ПАО «Сбербанк» за 2022–2024 гг.; — официальные статистические данные Банка России и АО «НСПК»; — учебная и научная литература по банковскому делу.</w:t>
      </w:r>
    </w:p>
    <w:p>
      <w:pPr>
        <w:jc w:val="both"/>
      </w:pPr>
      <w:r>
        <w:t xml:space="preserve">4. Перечень подлежащих разработке вопросов: — раскрыть понятие, сущность и виды переводов денежных средств; — изучить нормативно-правовую базу осуществления переводов в РФ; — рассмотреть организацию и технологии осуществления переводов в коммерческих банках; — дать организационно-экономическую характеристику ПАО «Сбербанк»; — провести анализ работы ПАО «Сбербанк» по переводу денежных средств клиентов за 2022–2024 гг.; — выявить проблемы организации переводов и обосновать направления совершенствования.</w:t>
      </w:r>
    </w:p>
    <w:p>
      <w:pPr>
        <w:jc w:val="both"/>
      </w:pPr>
      <w:r>
        <w:t xml:space="preserve">5. Перечень графического материала: — рисунок 1.1.1 — Классификация переводов денежных средств; — рисунок 1.3.1 — Схема прохождения межбанковского перевода через платёжную систему Банка России; — рисунок 1.3.2 — Схема перевода через Систему быстрых платежей; — рисунок 2.1.1 — Динамика активов ПАО «Сбербанк» за 2022–2024 гг.; — рисунок 2.2.1 — Структура комиссионных доходов ПАО «Сбербанк» от расчётно-кассового обслуживания; — рисунок 2.2.2 — Динамика количества переводов через СБП в ПАО «Сбербанк»; — рисунок 2.3.1 — Дерево направлений совершенствования системы переводов.</w:t>
      </w:r>
    </w:p>
    <w:p>
      <w:pPr>
        <w:jc w:val="both"/>
      </w:pPr>
      <w:r>
        <w:t xml:space="preserve">6. Календарный план выполнения выпускной квалификационной работы:</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4819"/>
        <w:gridCol w:w="4819"/>
      </w:tblGrid>
      <w:tr>
        <w:trPr>
          <w:tblHeader/>
        </w:trPr>
        <w:tc>
          <w:tcPr>
            <w:tcW w:w="4819" w:type="dxa"/>
          </w:tcPr>
          <w:p>
            <w:pPr>
              <w:spacing w:line="240" w:lineRule="auto" w:before="0" w:after="0"/>
              <w:ind w:firstLine="0"/>
              <w:jc w:val="center"/>
            </w:pPr>
            <w:r>
              <w:rPr>
                <w:rFonts w:ascii="Times New Roman" w:hAnsi="Times New Roman"/>
                <w:sz w:val="24"/>
                <w:szCs w:val="24"/>
                <w:b/>
                <w:bCs/>
              </w:rPr>
              <w:t xml:space="preserve">Наименование этапов выпускной квалификационной работы</w:t>
            </w:r>
          </w:p>
        </w:tc>
        <w:tc>
          <w:tcPr>
            <w:tcW w:w="4819" w:type="dxa"/>
          </w:tcPr>
          <w:p>
            <w:pPr>
              <w:spacing w:line="240" w:lineRule="auto" w:before="0" w:after="0"/>
              <w:ind w:firstLine="0"/>
              <w:jc w:val="center"/>
            </w:pPr>
            <w:r>
              <w:rPr>
                <w:rFonts w:ascii="Times New Roman" w:hAnsi="Times New Roman"/>
                <w:sz w:val="24"/>
                <w:szCs w:val="24"/>
                <w:b/>
                <w:bCs/>
              </w:rPr>
              <w:t xml:space="preserve">Срок выполнения</w:t>
            </w:r>
          </w:p>
        </w:tc>
      </w:tr>
      <w:tr>
        <w:tc>
          <w:tcPr>
            <w:tcW w:w="4819" w:type="dxa"/>
          </w:tcPr>
          <w:p>
            <w:pPr>
              <w:spacing w:line="240" w:lineRule="auto" w:before="0" w:after="0"/>
              <w:ind w:firstLine="0"/>
              <w:jc w:val="left"/>
            </w:pPr>
            <w:r>
              <w:rPr>
                <w:rFonts w:ascii="Times New Roman" w:hAnsi="Times New Roman"/>
                <w:sz w:val="24"/>
                <w:szCs w:val="24"/>
              </w:rPr>
              <w:t xml:space="preserve">Подбор и изучение литературы, нормативно-правовых актов</w:t>
            </w:r>
          </w:p>
        </w:tc>
        <w:tc>
          <w:tcPr>
            <w:tcW w:w="4819" w:type="dxa"/>
          </w:tcPr>
          <w:p>
            <w:pPr>
              <w:spacing w:line="240" w:lineRule="auto" w:before="0" w:after="0"/>
              <w:ind w:firstLine="0"/>
              <w:jc w:val="left"/>
            </w:pPr>
            <w:r>
              <w:rPr>
                <w:rFonts w:ascii="Times New Roman" w:hAnsi="Times New Roman"/>
                <w:sz w:val="24"/>
                <w:szCs w:val="24"/>
              </w:rPr>
              <w:t xml:space="preserve">январь 2026 г.</w:t>
            </w:r>
          </w:p>
        </w:tc>
      </w:tr>
      <w:tr>
        <w:tc>
          <w:tcPr>
            <w:tcW w:w="4819" w:type="dxa"/>
          </w:tcPr>
          <w:p>
            <w:pPr>
              <w:spacing w:line="240" w:lineRule="auto" w:before="0" w:after="0"/>
              <w:ind w:firstLine="0"/>
              <w:jc w:val="left"/>
            </w:pPr>
            <w:r>
              <w:rPr>
                <w:rFonts w:ascii="Times New Roman" w:hAnsi="Times New Roman"/>
                <w:sz w:val="24"/>
                <w:szCs w:val="24"/>
              </w:rPr>
              <w:t xml:space="preserve">Сбор практического материала на преддипломной практике</w:t>
            </w:r>
          </w:p>
        </w:tc>
        <w:tc>
          <w:tcPr>
            <w:tcW w:w="4819" w:type="dxa"/>
          </w:tcPr>
          <w:p>
            <w:pPr>
              <w:spacing w:line="240" w:lineRule="auto" w:before="0" w:after="0"/>
              <w:ind w:firstLine="0"/>
              <w:jc w:val="left"/>
            </w:pPr>
            <w:r>
              <w:rPr>
                <w:rFonts w:ascii="Times New Roman" w:hAnsi="Times New Roman"/>
                <w:sz w:val="24"/>
                <w:szCs w:val="24"/>
              </w:rPr>
              <w:t xml:space="preserve">февраль 2026 г.</w:t>
            </w:r>
          </w:p>
        </w:tc>
      </w:tr>
      <w:tr>
        <w:tc>
          <w:tcPr>
            <w:tcW w:w="4819" w:type="dxa"/>
          </w:tcPr>
          <w:p>
            <w:pPr>
              <w:spacing w:line="240" w:lineRule="auto" w:before="0" w:after="0"/>
              <w:ind w:firstLine="0"/>
              <w:jc w:val="left"/>
            </w:pPr>
            <w:r>
              <w:rPr>
                <w:rFonts w:ascii="Times New Roman" w:hAnsi="Times New Roman"/>
                <w:sz w:val="24"/>
                <w:szCs w:val="24"/>
              </w:rPr>
              <w:t xml:space="preserve">Написание введения и первой главы</w:t>
            </w:r>
          </w:p>
        </w:tc>
        <w:tc>
          <w:tcPr>
            <w:tcW w:w="4819" w:type="dxa"/>
          </w:tcPr>
          <w:p>
            <w:pPr>
              <w:spacing w:line="240" w:lineRule="auto" w:before="0" w:after="0"/>
              <w:ind w:firstLine="0"/>
              <w:jc w:val="left"/>
            </w:pPr>
            <w:r>
              <w:rPr>
                <w:rFonts w:ascii="Times New Roman" w:hAnsi="Times New Roman"/>
                <w:sz w:val="24"/>
                <w:szCs w:val="24"/>
              </w:rPr>
              <w:t xml:space="preserve">март 2026 г.</w:t>
            </w:r>
          </w:p>
        </w:tc>
      </w:tr>
      <w:tr>
        <w:tc>
          <w:tcPr>
            <w:tcW w:w="4819" w:type="dxa"/>
          </w:tcPr>
          <w:p>
            <w:pPr>
              <w:spacing w:line="240" w:lineRule="auto" w:before="0" w:after="0"/>
              <w:ind w:firstLine="0"/>
              <w:jc w:val="left"/>
            </w:pPr>
            <w:r>
              <w:rPr>
                <w:rFonts w:ascii="Times New Roman" w:hAnsi="Times New Roman"/>
                <w:sz w:val="24"/>
                <w:szCs w:val="24"/>
              </w:rPr>
              <w:t xml:space="preserve">Написание второй главы</w:t>
            </w:r>
          </w:p>
        </w:tc>
        <w:tc>
          <w:tcPr>
            <w:tcW w:w="4819" w:type="dxa"/>
          </w:tcPr>
          <w:p>
            <w:pPr>
              <w:spacing w:line="240" w:lineRule="auto" w:before="0" w:after="0"/>
              <w:ind w:firstLine="0"/>
              <w:jc w:val="left"/>
            </w:pPr>
            <w:r>
              <w:rPr>
                <w:rFonts w:ascii="Times New Roman" w:hAnsi="Times New Roman"/>
                <w:sz w:val="24"/>
                <w:szCs w:val="24"/>
              </w:rPr>
              <w:t xml:space="preserve">апрель 2026 г.</w:t>
            </w:r>
          </w:p>
        </w:tc>
      </w:tr>
      <w:tr>
        <w:tc>
          <w:tcPr>
            <w:tcW w:w="4819" w:type="dxa"/>
          </w:tcPr>
          <w:p>
            <w:pPr>
              <w:spacing w:line="240" w:lineRule="auto" w:before="0" w:after="0"/>
              <w:ind w:firstLine="0"/>
              <w:jc w:val="left"/>
            </w:pPr>
            <w:r>
              <w:rPr>
                <w:rFonts w:ascii="Times New Roman" w:hAnsi="Times New Roman"/>
                <w:sz w:val="24"/>
                <w:szCs w:val="24"/>
              </w:rPr>
              <w:t xml:space="preserve">Оформление заключения, списка источников и приложений</w:t>
            </w:r>
          </w:p>
        </w:tc>
        <w:tc>
          <w:tcPr>
            <w:tcW w:w="4819" w:type="dxa"/>
          </w:tcPr>
          <w:p>
            <w:pPr>
              <w:spacing w:line="240" w:lineRule="auto" w:before="0" w:after="0"/>
              <w:ind w:firstLine="0"/>
              <w:jc w:val="left"/>
            </w:pPr>
            <w:r>
              <w:rPr>
                <w:rFonts w:ascii="Times New Roman" w:hAnsi="Times New Roman"/>
                <w:sz w:val="24"/>
                <w:szCs w:val="24"/>
              </w:rPr>
              <w:t xml:space="preserve">май 2026 г.</w:t>
            </w:r>
          </w:p>
        </w:tc>
      </w:tr>
      <w:tr>
        <w:tc>
          <w:tcPr>
            <w:tcW w:w="4819" w:type="dxa"/>
          </w:tcPr>
          <w:p>
            <w:pPr>
              <w:spacing w:line="240" w:lineRule="auto" w:before="0" w:after="0"/>
              <w:ind w:firstLine="0"/>
              <w:jc w:val="left"/>
            </w:pPr>
            <w:r>
              <w:rPr>
                <w:rFonts w:ascii="Times New Roman" w:hAnsi="Times New Roman"/>
                <w:sz w:val="24"/>
                <w:szCs w:val="24"/>
              </w:rPr>
              <w:t xml:space="preserve">Проверка работы научным руководителем, корректировка</w:t>
            </w:r>
          </w:p>
        </w:tc>
        <w:tc>
          <w:tcPr>
            <w:tcW w:w="4819" w:type="dxa"/>
          </w:tcPr>
          <w:p>
            <w:pPr>
              <w:spacing w:line="240" w:lineRule="auto" w:before="0" w:after="0"/>
              <w:ind w:firstLine="0"/>
              <w:jc w:val="left"/>
            </w:pPr>
            <w:r>
              <w:rPr>
                <w:rFonts w:ascii="Times New Roman" w:hAnsi="Times New Roman"/>
                <w:sz w:val="24"/>
                <w:szCs w:val="24"/>
              </w:rPr>
              <w:t xml:space="preserve">май 2026 г.</w:t>
            </w:r>
          </w:p>
        </w:tc>
      </w:tr>
      <w:tr>
        <w:tc>
          <w:tcPr>
            <w:tcW w:w="4819" w:type="dxa"/>
          </w:tcPr>
          <w:p>
            <w:pPr>
              <w:spacing w:line="240" w:lineRule="auto" w:before="0" w:after="0"/>
              <w:ind w:firstLine="0"/>
              <w:jc w:val="left"/>
            </w:pPr>
            <w:r>
              <w:rPr>
                <w:rFonts w:ascii="Times New Roman" w:hAnsi="Times New Roman"/>
                <w:sz w:val="24"/>
                <w:szCs w:val="24"/>
              </w:rPr>
              <w:t xml:space="preserve">Проверка на наличие заимствований, рецензирование</w:t>
            </w:r>
          </w:p>
        </w:tc>
        <w:tc>
          <w:tcPr>
            <w:tcW w:w="4819" w:type="dxa"/>
          </w:tcPr>
          <w:p>
            <w:pPr>
              <w:spacing w:line="240" w:lineRule="auto" w:before="0" w:after="0"/>
              <w:ind w:firstLine="0"/>
              <w:jc w:val="left"/>
            </w:pPr>
            <w:r>
              <w:rPr>
                <w:rFonts w:ascii="Times New Roman" w:hAnsi="Times New Roman"/>
                <w:sz w:val="24"/>
                <w:szCs w:val="24"/>
              </w:rPr>
              <w:t xml:space="preserve">май 2026 г.</w:t>
            </w:r>
          </w:p>
        </w:tc>
      </w:tr>
      <w:tr>
        <w:tc>
          <w:tcPr>
            <w:tcW w:w="4819" w:type="dxa"/>
          </w:tcPr>
          <w:p>
            <w:pPr>
              <w:spacing w:line="240" w:lineRule="auto" w:before="0" w:after="0"/>
              <w:ind w:firstLine="0"/>
              <w:jc w:val="left"/>
            </w:pPr>
            <w:r>
              <w:rPr>
                <w:rFonts w:ascii="Times New Roman" w:hAnsi="Times New Roman"/>
                <w:sz w:val="24"/>
                <w:szCs w:val="24"/>
              </w:rPr>
              <w:t xml:space="preserve">Подготовка к защите, оформление презентации и доклада</w:t>
            </w:r>
          </w:p>
        </w:tc>
        <w:tc>
          <w:tcPr>
            <w:tcW w:w="4819" w:type="dxa"/>
          </w:tcPr>
          <w:p>
            <w:pPr>
              <w:spacing w:line="240" w:lineRule="auto" w:before="0" w:after="0"/>
              <w:ind w:firstLine="0"/>
              <w:jc w:val="left"/>
            </w:pPr>
            <w:r>
              <w:rPr>
                <w:rFonts w:ascii="Times New Roman" w:hAnsi="Times New Roman"/>
                <w:sz w:val="24"/>
                <w:szCs w:val="24"/>
              </w:rPr>
              <w:t xml:space="preserve">июнь 2026 г.</w:t>
            </w:r>
          </w:p>
        </w:tc>
      </w:tr>
      <w:tr>
        <w:tc>
          <w:tcPr>
            <w:tcW w:w="4819" w:type="dxa"/>
          </w:tcPr>
          <w:p>
            <w:pPr>
              <w:spacing w:line="240" w:lineRule="auto" w:before="0" w:after="0"/>
              <w:ind w:firstLine="0"/>
              <w:jc w:val="left"/>
            </w:pPr>
            <w:r>
              <w:rPr>
                <w:rFonts w:ascii="Times New Roman" w:hAnsi="Times New Roman"/>
                <w:sz w:val="24"/>
                <w:szCs w:val="24"/>
              </w:rPr>
              <w:t xml:space="preserve">Защита выпускной квалификационной работы</w:t>
            </w:r>
          </w:p>
        </w:tc>
        <w:tc>
          <w:tcPr>
            <w:tcW w:w="4819" w:type="dxa"/>
          </w:tcPr>
          <w:p>
            <w:pPr>
              <w:spacing w:line="240" w:lineRule="auto" w:before="0" w:after="0"/>
              <w:ind w:firstLine="0"/>
              <w:jc w:val="left"/>
            </w:pPr>
            <w:r>
              <w:rPr>
                <w:rFonts w:ascii="Times New Roman" w:hAnsi="Times New Roman"/>
                <w:sz w:val="24"/>
                <w:szCs w:val="24"/>
              </w:rPr>
              <w:t xml:space="preserve">июнь 2026 г.</w:t>
            </w:r>
          </w:p>
        </w:tc>
      </w:tr>
    </w:tbl>
    <w:p>
      <w:pPr>
        <w:ind w:firstLine="0"/>
      </w:pPr>
    </w:p>
    <w:p>
      <w:pPr>
        <w:jc w:val="both"/>
      </w:pPr>
      <w:r>
        <w:t xml:space="preserve">Обучающийся ___________ ________________________ (подпись)         (Ф.И.О.)</w:t>
      </w:r>
    </w:p>
    <w:p>
      <w:pPr>
        <w:jc w:val="both"/>
      </w:pPr>
      <w:r>
        <w:t xml:space="preserve">Руководитель ___________ ________________________ (подпись)         (Ф.И.О.)</w:t>
      </w:r>
    </w:p>
    <w:p>
      <w:r>
        <w:br w:type="page"/>
      </w:r>
    </w:p>
    <w:p>
      <w:pPr>
        <w:pStyle w:val="Heading1"/>
        <w:ind w:firstLine="0"/>
        <w:jc w:val="center"/>
      </w:pPr>
      <w:r>
        <w:rPr>
          <w:b/>
          <w:bCs/>
        </w:rPr>
        <w:t xml:space="preserve">СОДЕРЖАНИЕ</w:t>
      </w:r>
    </w:p>
    <w:p>
      <w:pPr>
        <w:spacing w:line="360" w:lineRule="auto" w:before="60" w:after="60"/>
        <w:ind w:firstLine="0"/>
        <w:jc w:val="left"/>
      </w:pPr>
      <w:r>
        <w:t xml:space="preserve">Введение                                                                       3</w:t>
      </w:r>
    </w:p>
    <w:p>
      <w:pPr>
        <w:spacing w:line="360" w:lineRule="auto" w:before="60" w:after="60"/>
        <w:ind w:firstLine="0"/>
        <w:jc w:val="left"/>
      </w:pPr>
      <w:r>
        <w:t xml:space="preserve">1 Теоретические основы организации переводов денежных средств</w:t>
      </w:r>
    </w:p>
    <w:p>
      <w:pPr>
        <w:spacing w:line="360" w:lineRule="auto" w:before="60" w:after="60"/>
        <w:ind w:firstLine="0"/>
        <w:jc w:val="left"/>
      </w:pPr>
      <w:r>
        <w:t xml:space="preserve">   в коммерческих банках                                                       6</w:t>
      </w:r>
    </w:p>
    <w:p>
      <w:pPr>
        <w:spacing w:line="360" w:lineRule="auto" w:before="60" w:after="60"/>
        <w:ind w:firstLine="0"/>
        <w:jc w:val="left"/>
      </w:pPr>
      <w:r>
        <w:t xml:space="preserve">1.1 Понятие, сущность и виды переводов денежных средств                        6</w:t>
      </w:r>
    </w:p>
    <w:p>
      <w:pPr>
        <w:spacing w:line="360" w:lineRule="auto" w:before="60" w:after="60"/>
        <w:ind w:firstLine="0"/>
        <w:jc w:val="left"/>
      </w:pPr>
      <w:r>
        <w:t xml:space="preserve">1.2 Нормативно-правовое регулирование переводов в банковской</w:t>
      </w:r>
    </w:p>
    <w:p>
      <w:pPr>
        <w:spacing w:line="360" w:lineRule="auto" w:before="60" w:after="60"/>
        <w:ind w:firstLine="0"/>
        <w:jc w:val="left"/>
      </w:pPr>
      <w:r>
        <w:t xml:space="preserve">   системе                                                                    14</w:t>
      </w:r>
    </w:p>
    <w:p>
      <w:pPr>
        <w:spacing w:line="360" w:lineRule="auto" w:before="60" w:after="60"/>
        <w:ind w:firstLine="0"/>
        <w:jc w:val="left"/>
      </w:pPr>
      <w:r>
        <w:t xml:space="preserve">1.3 Организация и технологии осуществления переводов в коммерческих</w:t>
      </w:r>
    </w:p>
    <w:p>
      <w:pPr>
        <w:spacing w:line="360" w:lineRule="auto" w:before="60" w:after="60"/>
        <w:ind w:firstLine="0"/>
        <w:jc w:val="left"/>
      </w:pPr>
      <w:r>
        <w:t xml:space="preserve">   банках                                                                     22</w:t>
      </w:r>
    </w:p>
    <w:p>
      <w:pPr>
        <w:spacing w:line="360" w:lineRule="auto" w:before="60" w:after="60"/>
        <w:ind w:firstLine="0"/>
        <w:jc w:val="left"/>
      </w:pPr>
      <w:r>
        <w:t xml:space="preserve">2 Анализ и совершенствование переводов денежных средств клиентов</w:t>
      </w:r>
    </w:p>
    <w:p>
      <w:pPr>
        <w:spacing w:line="360" w:lineRule="auto" w:before="60" w:after="60"/>
        <w:ind w:firstLine="0"/>
        <w:jc w:val="left"/>
      </w:pPr>
      <w:r>
        <w:t xml:space="preserve">   на примере ПАО «Сбербанк»                                                  31</w:t>
      </w:r>
    </w:p>
    <w:p>
      <w:pPr>
        <w:spacing w:line="360" w:lineRule="auto" w:before="60" w:after="60"/>
        <w:ind w:firstLine="0"/>
        <w:jc w:val="left"/>
      </w:pPr>
      <w:r>
        <w:t xml:space="preserve">2.1 Организационно-экономическая характеристика ПАО «Сбербанк»                31</w:t>
      </w:r>
    </w:p>
    <w:p>
      <w:pPr>
        <w:spacing w:line="360" w:lineRule="auto" w:before="60" w:after="60"/>
        <w:ind w:firstLine="0"/>
        <w:jc w:val="left"/>
      </w:pPr>
      <w:r>
        <w:t xml:space="preserve">2.2 Анализ работы ПАО «Сбербанк» по переводу денежных средств</w:t>
      </w:r>
    </w:p>
    <w:p>
      <w:pPr>
        <w:spacing w:line="360" w:lineRule="auto" w:before="60" w:after="60"/>
        <w:ind w:firstLine="0"/>
        <w:jc w:val="left"/>
      </w:pPr>
      <w:r>
        <w:t xml:space="preserve">   клиентов                                                                   40</w:t>
      </w:r>
    </w:p>
    <w:p>
      <w:pPr>
        <w:spacing w:line="360" w:lineRule="auto" w:before="60" w:after="60"/>
        <w:ind w:firstLine="0"/>
        <w:jc w:val="left"/>
      </w:pPr>
      <w:r>
        <w:t xml:space="preserve">2.3 Проблемы и направления совершенствования системы переводов               49</w:t>
      </w:r>
    </w:p>
    <w:p>
      <w:pPr>
        <w:spacing w:line="360" w:lineRule="auto" w:before="60" w:after="60"/>
        <w:ind w:firstLine="0"/>
        <w:jc w:val="left"/>
      </w:pPr>
      <w:r>
        <w:t xml:space="preserve">Заключение                                                                    58</w:t>
      </w:r>
    </w:p>
    <w:p>
      <w:pPr>
        <w:spacing w:line="360" w:lineRule="auto" w:before="60" w:after="60"/>
        <w:ind w:firstLine="0"/>
        <w:jc w:val="left"/>
      </w:pPr>
      <w:r>
        <w:t xml:space="preserve">Список использованных источников                                              62</w:t>
      </w:r>
    </w:p>
    <w:p>
      <w:pPr>
        <w:spacing w:line="360" w:lineRule="auto" w:before="60" w:after="60"/>
        <w:ind w:firstLine="0"/>
        <w:jc w:val="left"/>
      </w:pPr>
      <w:r>
        <w:t xml:space="preserve">Приложения                                                                    66</w:t>
      </w:r>
    </w:p>
    <w:p>
      <w:r>
        <w:br w:type="page"/>
      </w:r>
    </w:p>
    <w:p>
      <w:pPr>
        <w:pStyle w:val="Heading1"/>
        <w:pageBreakBefore/>
        <w:ind w:firstLine="0"/>
        <w:jc w:val="center"/>
      </w:pPr>
      <w:r>
        <w:rPr>
          <w:b/>
          <w:bCs/>
        </w:rPr>
        <w:t xml:space="preserve">ВВЕДЕНИЕ</w:t>
      </w:r>
    </w:p>
    <w:p>
      <w:pPr>
        <w:jc w:val="both"/>
      </w:pPr>
      <w:r>
        <w:t xml:space="preserve">Актуальность темы исследования. На современном этапе развития национальной экономики Российской Федерации одной из ключевых функций коммерческих банков остаётся организация безналичных расчётов и переводов денежных средств. Именно через систему банковских переводов реализуется значительная часть платёжного оборота страны: по данным Банка России, в 2024 году совокупный объём переводов денежных средств, выполненных платёжной системой Банка России и платёжными системами кредитных организаций, превысил 3,2 квадриллиона рублей, а количество операций превысило 65 млрд транзакций. Это свидетельствует о том, что переводы выступают не просто технической банковской услугой, а важнейшим элементом финансовой инфраструктуры, обеспечивающим непрерывность хозяйственной деятельности предприятий, исполнение обязательств граждан, бесперебойное функционирование государственного бюджета.</w:t>
      </w:r>
    </w:p>
    <w:p>
      <w:pPr>
        <w:jc w:val="both"/>
      </w:pPr>
      <w:r>
        <w:t xml:space="preserve">В последние годы рынок банковских переводов претерпевает значительные изменения, обусловленные несколькими факторами. Во-первых, цифровизация банковской деятельности привела к массовому внедрению дистанционных каналов обслуживания — мобильного банкинга, интернет-банкинга, QR-платежей. Во-вторых, запуск Системы быстрых платежей (СБП) Банка России в 2019 году радикально изменил структуру межбанковских переводов физических лиц: к 2024 году через СБП проходило более 13 млрд операций в год. В-третьих, геополитические изменения 2022–2024 годов потребовали ускоренного развития национальной платёжной инфраструктуры — карт «Мир», Системы передачи финансовых сообщений (СПФС) Банка России, а также построения альтернативных маршрутов международных переводов в условиях отключения ряда российских банков от международной системы SWIFT.</w:t>
      </w:r>
    </w:p>
    <w:p>
      <w:pPr>
        <w:jc w:val="both"/>
      </w:pPr>
      <w:r>
        <w:t xml:space="preserve">В этих условиях исследование организации переводов денежных средств в коммерческих банках приобретает особую теоретическую и практическую значимость. Актуальность темы обусловлена также необходимостью комплексного осмысления изменений в нормативно- правовой базе (Федеральный закон от 27 июня 2011 г. № 161-ФЗ «О национальной платёжной системе», Положение Банка России от 29 июня 2021 г. № 762-П «О правилах осуществления перевода денежных средств», Положение Банка России от 24 сентября 2020 г. № 732-П «О платёжной системе Банка России»), оценки эффективности применяемых технологий, выявления резервов совершенствования работы коммерческих банков в данной сфере.</w:t>
      </w:r>
    </w:p>
    <w:p>
      <w:pPr>
        <w:jc w:val="both"/>
      </w:pPr>
      <w:r>
        <w:t xml:space="preserve">ПАО «Сбербанк» как крупнейший коммерческий банк страны, на долю которого приходится около трети активов банковского сектора и более половины розничных переводов в национальной экономике, представляет собой репрезентативный объект для исследования: его опыт в значительной степени определяет тенденции развития всей системы переводов в Российской Федерации.</w:t>
      </w:r>
    </w:p>
    <w:p>
      <w:pPr>
        <w:jc w:val="both"/>
      </w:pPr>
      <w:r>
        <w:t xml:space="preserve">Степень разработанности темы. Теоретические основы безналичных расчётов и банковских переводов разрабатывались в трудах О.И. Лаврушина, Г.Н. Белоглазовой, Е.Ф. Жукова, Л.Н. Красавиной, А.М. Тавасиева, Г.Г. Коробовой, В.М. Усоскина и других учёных. Вопросы развития национальной платёжной системы и Системы быстрых платежей рассматривались в работах А.С. Обаевой, А.В. Достова, П.М. Шуста. Несмотря на значительный объём публикаций, ряд аспектов — в частности, влияние санкционных ограничений на трансграничные переводы, эффекты от внедрения СБП для розничного рынка, проблемы кибербезопасности и социальной инженерии — продолжают требовать комплексного исследования в условиях непрерывных технологических и нормативных изменений.</w:t>
      </w:r>
    </w:p>
    <w:p>
      <w:pPr>
        <w:jc w:val="both"/>
      </w:pPr>
      <w:r>
        <w:t xml:space="preserve">Цель выпускной квалификационной работы — исследовать теоретические основы и практику организации переводов денежных средств в коммерческих банках, провести анализ системы переводов на примере ПАО «Сбербанк» и разработать предложения по её совершенствованию.</w:t>
      </w:r>
    </w:p>
    <w:p>
      <w:pPr>
        <w:jc w:val="both"/>
      </w:pPr>
      <w:r>
        <w:t xml:space="preserve">Для достижения поставленной цели в работе решаются следующие задачи:</w:t>
      </w:r>
    </w:p>
    <w:p>
      <w:pPr>
        <w:jc w:val="both"/>
      </w:pPr>
      <w:r>
        <w:t xml:space="preserve">— раскрыть понятие, сущность и классификацию переводов денежных средств;</w:t>
      </w:r>
    </w:p>
    <w:p>
      <w:pPr>
        <w:jc w:val="both"/>
      </w:pPr>
      <w:r>
        <w:t xml:space="preserve">— изучить нормативно-правовую базу, регулирующую переводы в банковской системе Российской Федерации;</w:t>
      </w:r>
    </w:p>
    <w:p>
      <w:pPr>
        <w:jc w:val="both"/>
      </w:pPr>
      <w:r>
        <w:t xml:space="preserve">— рассмотреть организационные и технологические основы осуществления переводов в коммерческих банках;</w:t>
      </w:r>
    </w:p>
    <w:p>
      <w:pPr>
        <w:jc w:val="both"/>
      </w:pPr>
      <w:r>
        <w:t xml:space="preserve">— дать организационно-экономическую характеристику ПАО «Сбербанк»;</w:t>
      </w:r>
    </w:p>
    <w:p>
      <w:pPr>
        <w:jc w:val="both"/>
      </w:pPr>
      <w:r>
        <w:t xml:space="preserve">— провести анализ работы ПАО «Сбербанк» по переводу денежных средств клиентов за период 2022–2024 гг.;</w:t>
      </w:r>
    </w:p>
    <w:p>
      <w:pPr>
        <w:jc w:val="both"/>
      </w:pPr>
      <w:r>
        <w:t xml:space="preserve">— выявить проблемы организации переводов в банке и обосновать направления их совершенствования.</w:t>
      </w:r>
    </w:p>
    <w:p>
      <w:pPr>
        <w:jc w:val="both"/>
      </w:pPr>
      <w:r>
        <w:t xml:space="preserve">Объект исследования — система переводов денежных средств в коммерческих банках Российской Федерации.</w:t>
      </w:r>
    </w:p>
    <w:p>
      <w:pPr>
        <w:jc w:val="both"/>
      </w:pPr>
      <w:r>
        <w:t xml:space="preserve">Предмет исследования — экономические и организационные отношения, возникающие в процессе организации переводов денежных средств клиентов в ПАО «Сбербанк».</w:t>
      </w:r>
    </w:p>
    <w:p>
      <w:pPr>
        <w:jc w:val="both"/>
      </w:pPr>
      <w:r>
        <w:t xml:space="preserve">Теоретическая основа исследования представлена научными трудами российских и зарубежных учёных в области банковского дела, денежного обращения, платёжных систем; статьями в рецензируемых периодических изданиях («Деньги и кредит», «Банковское дело», «Финансы и кредит», «Вопросы экономики»); монографиями, учебниками и учебными пособиями.</w:t>
      </w:r>
    </w:p>
    <w:p>
      <w:pPr>
        <w:jc w:val="both"/>
      </w:pPr>
      <w:r>
        <w:t xml:space="preserve">Методологической основой работы выступают общенаучные методы познания — анализ и синтез, индукция и дедукция, сравнение, обобщение, системный и комплексный подходы. При проведении практического анализа применялись методы экономико- статистического анализа (горизонтальный, вертикальный, коэффициентный, трендовый), группировки, графический и табличный методы представления информации.</w:t>
      </w:r>
    </w:p>
    <w:p>
      <w:pPr>
        <w:jc w:val="both"/>
      </w:pPr>
      <w:r>
        <w:t xml:space="preserve">Информационная база исследования включает:</w:t>
      </w:r>
    </w:p>
    <w:p>
      <w:pPr>
        <w:jc w:val="both"/>
      </w:pPr>
      <w:r>
        <w:t xml:space="preserve">— нормативные правовые акты Российской Федерации (Гражданский кодекс РФ, Федеральный закон № 161-ФЗ «О национальной платёжной системе», Федеральный закон № 86-ФЗ «О Центральном банке Российской Федерации (Банке России)», Федеральный закон № 395-1 «О банках и банковской деятельности», Федеральный закон № 115-ФЗ «О противодействии легализации (отмыванию) доходов, полученных преступным путём, и финансированию терроризма», Федеральный закон № 152-ФЗ «О персональных данных»);</w:t>
      </w:r>
    </w:p>
    <w:p>
      <w:pPr>
        <w:jc w:val="both"/>
      </w:pPr>
      <w:r>
        <w:t xml:space="preserve">— нормативные акты Банка России (Положение № 762-П от 29.06.2021, Положение № 732-П от 24.09.2020, Положение № 683-П от 17.04.2019 о требованиях к обеспечению защиты информации при осуществлении переводов и др.);</w:t>
      </w:r>
    </w:p>
    <w:p>
      <w:pPr>
        <w:jc w:val="both"/>
      </w:pPr>
      <w:r>
        <w:t xml:space="preserve">— официальные статистические данные Банка России и Федеральной службы государственной статистики;</w:t>
      </w:r>
    </w:p>
    <w:p>
      <w:pPr>
        <w:jc w:val="both"/>
      </w:pPr>
      <w:r>
        <w:t xml:space="preserve">— годовые отчёты, финансовая отчётность по МСФО и РСБУ ПАО «Сбербанк» за 2022–2024 годы;</w:t>
      </w:r>
    </w:p>
    <w:p>
      <w:pPr>
        <w:jc w:val="both"/>
      </w:pPr>
      <w:r>
        <w:t xml:space="preserve">— материалы официальных сайтов Банка России, ПАО «Сбербанк», АО «Национальная система платёжных карт» (НСПК), Ассоциации банков России;</w:t>
      </w:r>
    </w:p>
    <w:p>
      <w:pPr>
        <w:jc w:val="both"/>
      </w:pPr>
      <w:r>
        <w:t xml:space="preserve">— публикации в периодической печати и интернет-источники.</w:t>
      </w:r>
    </w:p>
    <w:p>
      <w:pPr>
        <w:jc w:val="both"/>
      </w:pPr>
      <w:r>
        <w:t xml:space="preserve">Хронологические рамки исследования охватывают период 2022–2024 гг., что позволяет проанализировать тенденции развития системы переводов в условиях существенной трансформации платёжной инфраструктуры, обусловленной санкционным давлением на российский банковский сектор и ускоренным развитием национальной платёжной системы.</w:t>
      </w:r>
    </w:p>
    <w:p>
      <w:pPr>
        <w:jc w:val="both"/>
      </w:pPr>
      <w:r>
        <w:t xml:space="preserve">Практическая значимость работы заключается в том, что сформулированные предложения по совершенствованию системы переводов могут быть использованы ПАО «Сбербанк» и другими коммерческими банками при разработке стратегии развития расчётно-кассового обслуживания, повышения качества и безопасности переводных операций, совершенствования тарифной политики и продуктовой линейки.</w:t>
      </w:r>
    </w:p>
    <w:p>
      <w:pPr>
        <w:jc w:val="both"/>
      </w:pPr>
      <w:r>
        <w:t xml:space="preserve">Структура работы. Выпускная квалификационная работа состоит из введения, двух глав, объединяющих шесть параграфов, заключения, списка использованных источников и приложений. Объём работы — 65 страниц основного текста; работа содержит 12 таблиц, 7 рисунков, 5 приложений; список использованных источников включает 47 наименований.</w:t>
      </w:r>
    </w:p>
    <w:p>
      <w:pPr>
        <w:jc w:val="both"/>
      </w:pPr>
      <w:r>
        <w:t xml:space="preserve">В первой главе раскрываются теоретические основы организации переводов денежных средств: даётся понятие и классификация переводов, рассматривается нормативно-правовая база, описываются организационные и технологические аспекты их осуществления.</w:t>
      </w:r>
    </w:p>
    <w:p>
      <w:pPr>
        <w:jc w:val="both"/>
      </w:pPr>
      <w:r>
        <w:t xml:space="preserve">Во второй главе на материалах ПАО «Сбербанк» проводится практический анализ организации переводов: представлена характеристика банка, проведён анализ объёмов и структуры переводных операций за 2022–2024 гг., выявлены ключевые проблемы и сформулированы предложения по совершенствованию работы банка в данной сфере.</w:t>
      </w:r>
    </w:p>
    <w:p>
      <w:pPr>
        <w:jc w:val="both"/>
      </w:pPr>
      <w:r>
        <w:t xml:space="preserve">В заключении сформулированы основные выводы и результаты исследования, отражающие решение поставленных задач и достижение цели работы.</w:t>
      </w:r>
    </w:p>
    <w:p>
      <w:pPr>
        <w:pStyle w:val="Heading1"/>
        <w:pageBreakBefore/>
        <w:ind w:firstLine="0"/>
        <w:jc w:val="center"/>
      </w:pPr>
      <w:r>
        <w:rPr>
          <w:b/>
          <w:bCs/>
        </w:rPr>
        <w:t xml:space="preserve">1 ТЕОРЕТИЧЕСКИЕ ОСНОВЫ ОРГАНИЗАЦИИ ПЕРЕВОДОВ ДЕНЕЖНЫХ СРЕДСТВ В КОММЕРЧЕСКИХ БАНКАХ</w:t>
      </w:r>
    </w:p>
    <w:p>
      <w:pPr>
        <w:pStyle w:val="Heading2"/>
        <w:spacing w:line="360" w:lineRule="auto" w:before="240" w:after="120"/>
        <w:jc w:val="left"/>
      </w:pPr>
      <w:r>
        <w:rPr>
          <w:b/>
          <w:bCs/>
        </w:rPr>
        <w:t xml:space="preserve">1.1 Понятие, сущность и виды переводов денежных средств</w:t>
      </w:r>
    </w:p>
    <w:p>
      <w:pPr>
        <w:jc w:val="both"/>
      </w:pPr>
      <w:r>
        <w:t xml:space="preserve">Денежный оборот в современной экономике в значительной части осуществляется в безналичной форме, и важнейшим инструментом безналичных расчётов выступает перевод денежных средств. В условиях цифровизации финансового сектора, расширения дистанционного банковского обслуживания и активного развития национальной платёжной системы исследование теоретических основ переводов денежных средств приобретает особую значимость, поскольку именно от чёткого понимания сущности и классификации этих операций зависит правильное построение учётных, технологических и контрольных процедур в коммерческом банке.</w:t>
      </w:r>
    </w:p>
    <w:p>
      <w:pPr>
        <w:jc w:val="both"/>
      </w:pPr>
      <w:r>
        <w:t xml:space="preserve">В наиболее общем виде перевод денежных средств представляет собой последовательность операций, направленных на перемещение денежной суммы от одного субъекта (плательщика) к другому (получателю) посредством использования услуг кредитных организаций или иных операторов платёжной системы. Согласно пункту 12 статьи 3 Федерального закона от 27 июня 2011 г. № 161-ФЗ «О национальной платёжной системе», перевод денежных средств определяется как действия оператора по переводу денежных средств в рамках применяемых форм безналичных расчётов по предоставлению получателю средств денежных средств плательщика [3, ст. 3]. Данное определение является базовым для всей системы нормативного регулирования и подчёркивает следующие сущностные черты перевода: во-первых, перевод носит характер услуги, то есть совершается профессиональным субъектом — оператором по переводу денежных средств; во-вторых, он реализуется в рамках применяемых форм безналичных расчётов; в-третьих, его экономическим содержанием является предоставление денежных средств плательщика получателю.</w:t>
      </w:r>
    </w:p>
    <w:p>
      <w:pPr>
        <w:jc w:val="both"/>
      </w:pPr>
      <w:r>
        <w:t xml:space="preserve">В научной литературе сложились различные подходы к раскрытию понятия перевода. О.И. Лаврушин рассматривает банковский перевод как форму безналичных расчётов, при которой одно лицо (плательщик) поручает обслуживающему его банку перечислить определённую сумму денежных средств со своего счёта на счёт другого лица (получателя), открытый в этом же или ином банке [22, с. 215]. Г.Н. Белоглазова определяет перевод как поручение клиента банку (на основании платёжного документа) о перечислении денег своему контрагенту, проживающему или находящемуся в другом населённом пункте [12, с. 184]. Г.Г. Коробова делает акцент на функциональной природе перевода, характеризуя его как «движение безналичной денежной массы между участниками платёжного оборота, сопровождающееся изменением остатков на банковских счетах» [20, с. 142]. А.М. Тавасиев подчёркивает, что перевод денежных средств является не только расчётной операцией, но и видом банковской услуги, обладающей специфическими признаками — возмездностью, срочностью и гарантированностью [25, с. 167].</w:t>
      </w:r>
    </w:p>
    <w:p>
      <w:pPr>
        <w:jc w:val="both"/>
      </w:pPr>
      <w:r>
        <w:t xml:space="preserve">Обобщая подходы российских и зарубежных авторов, можно выделить следующие признаки перевода денежных средств как банковской услуги:</w:t>
      </w:r>
    </w:p>
    <w:p>
      <w:pPr>
        <w:jc w:val="both"/>
      </w:pPr>
      <w:r>
        <w:t xml:space="preserve">— безналичный характер: перевод осуществляется посредством записи по банковским счетам без физического перемещения наличных денег;</w:t>
      </w:r>
    </w:p>
    <w:p>
      <w:pPr>
        <w:jc w:val="both"/>
      </w:pPr>
      <w:r>
        <w:t xml:space="preserve">— участие профессионального посредника (оператора по переводу) — как правило, кредитной организации, обладающей соответствующей лицензией Банка России;</w:t>
      </w:r>
    </w:p>
    <w:p>
      <w:pPr>
        <w:jc w:val="both"/>
      </w:pPr>
      <w:r>
        <w:t xml:space="preserve">— документарность: операция оформляется платёжным документом (платёжным поручением, инкассовым поручением, платёжным требованием, банковским ордером и др.);</w:t>
      </w:r>
    </w:p>
    <w:p>
      <w:pPr>
        <w:jc w:val="both"/>
      </w:pPr>
      <w:r>
        <w:t xml:space="preserve">— возмездность: за услугу перевода банк взимает с клиента комиссионное вознаграждение в соответствии с тарифами;</w:t>
      </w:r>
    </w:p>
    <w:p>
      <w:pPr>
        <w:jc w:val="both"/>
      </w:pPr>
      <w:r>
        <w:t xml:space="preserve">— срочность: перевод должен быть осуществлён в установленные законом и договором сроки;</w:t>
      </w:r>
    </w:p>
    <w:p>
      <w:pPr>
        <w:jc w:val="both"/>
      </w:pPr>
      <w:r>
        <w:t xml:space="preserve">— окончательность: перевод считается завершённым в момент зачисления денежных средств на счёт получателя.</w:t>
      </w:r>
    </w:p>
    <w:p>
      <w:pPr>
        <w:jc w:val="both"/>
      </w:pPr>
      <w:r>
        <w:t xml:space="preserve">С позиций экономической теории перевод денежных средств выполняет ряд функций. Перераспределительная функция выражается в том, что благодаря переводам денежные ресурсы оперативно перемещаются между секторами экономики, регионами и отдельными хозяйствующими субъектами. Расчётная функция связана с обеспечением исполнения обязательств между участниками гражданского оборота. Контрольная функция реализуется через банковский контроль за соблюдением участниками платёжной дисциплины, требований законодательства о противодействии легализации преступных доходов и валютного контроля. Информационная функция проявляется в том, что платёжная информация служит источником данных для статистики, экономического анализа и денежно-кредитного регулирования.</w:t>
      </w:r>
    </w:p>
    <w:p>
      <w:pPr>
        <w:jc w:val="both"/>
      </w:pPr>
      <w:r>
        <w:t xml:space="preserve">Сущность перевода денежных средств может быть раскрыта также с правовой и технологической точек зрения. С юридической точки зрения перевод представляет собой совокупность сделок и односторонних действий: договор банковского счёта между плательщиком и его банком, договор корреспондентского счёта между банками-участниками, акцепт платёжного поручения банком, исполнение поручения путём списания и зачисления средств. С технологической точки зрения перевод — это последовательность информационных и расчётных операций, реализуемых в рамках платёжной системы и завершающихся изменением остатков на счетах.</w:t>
      </w:r>
    </w:p>
    <w:p>
      <w:pPr>
        <w:jc w:val="both"/>
      </w:pPr>
      <w:r>
        <w:t xml:space="preserve">Для целей более глубокого изучения переводов целесообразно рассмотреть их классификацию. Многообразие банковских переводов обусловлено различиями субъектного состава, валюты, географии, способа исполнения и иных параметров. Систематизация видов переводов имеет как теоретическое, так и сугубо практическое значение, поскольку каждый вид перевода имеет собственный правовой режим, технологию и тариф.</w:t>
      </w:r>
    </w:p>
    <w:p>
      <w:pPr>
        <w:jc w:val="both"/>
      </w:pPr>
      <w:r>
        <w:t xml:space="preserve">В научной и нормативной литературе используются следующие основные классификационные признаки переводов денежных средств [12, 20, 22, 25, 31].</w:t>
      </w:r>
    </w:p>
    <w:p>
      <w:pPr>
        <w:jc w:val="both"/>
      </w:pPr>
      <w:r>
        <w:t xml:space="preserve">По субъектному составу плательщика и получателя выделяют:</w:t>
      </w:r>
    </w:p>
    <w:p>
      <w:pPr>
        <w:jc w:val="both"/>
      </w:pPr>
      <w:r>
        <w:t xml:space="preserve">— переводы между физическими лицами (P2P — person-to-person);</w:t>
      </w:r>
    </w:p>
    <w:p>
      <w:pPr>
        <w:jc w:val="both"/>
      </w:pPr>
      <w:r>
        <w:t xml:space="preserve">— переводы от физических лиц юридическим лицам (P2B — person-to-business), например, оплата товаров и услуг;</w:t>
      </w:r>
    </w:p>
    <w:p>
      <w:pPr>
        <w:jc w:val="both"/>
      </w:pPr>
      <w:r>
        <w:t xml:space="preserve">— переводы между юридическими лицами (B2B — business-to-business);</w:t>
      </w:r>
    </w:p>
    <w:p>
      <w:pPr>
        <w:jc w:val="both"/>
      </w:pPr>
      <w:r>
        <w:t xml:space="preserve">— переводы юридических лиц физическим лицам (B2P — business-to-person), например, выплата заработной платы, дивидендов, страховых возмещений;</w:t>
      </w:r>
    </w:p>
    <w:p>
      <w:pPr>
        <w:jc w:val="both"/>
      </w:pPr>
      <w:r>
        <w:t xml:space="preserve">— переводы в пользу бюджета и внебюджетных фондов (P2G/B2G — payments to government), включающие уплату налогов, сборов, штрафов, пошлин;</w:t>
      </w:r>
    </w:p>
    <w:p>
      <w:pPr>
        <w:jc w:val="both"/>
      </w:pPr>
      <w:r>
        <w:t xml:space="preserve">— переводы из бюджета и внебюджетных фондов в пользу получателей (G2P/G2B), например, выплаты пенсий, пособий, субсидий.</w:t>
      </w:r>
    </w:p>
    <w:p>
      <w:pPr>
        <w:jc w:val="both"/>
      </w:pPr>
      <w:r>
        <w:t xml:space="preserve">По территориальному признаку переводы подразделяются на:</w:t>
      </w:r>
    </w:p>
    <w:p>
      <w:pPr>
        <w:jc w:val="both"/>
      </w:pPr>
      <w:r>
        <w:t xml:space="preserve">— внутрибанковские (внутренние) — оба счёта (плательщика и получателя) открыты в одном и том же банке;</w:t>
      </w:r>
    </w:p>
    <w:p>
      <w:pPr>
        <w:jc w:val="both"/>
      </w:pPr>
      <w:r>
        <w:t xml:space="preserve">— межбанковские внутрироссийские — счета открыты в различных российских кредитных организациях;</w:t>
      </w:r>
    </w:p>
    <w:p>
      <w:pPr>
        <w:jc w:val="both"/>
      </w:pPr>
      <w:r>
        <w:t xml:space="preserve">— трансграничные (международные) — один из участников расчётов является нерезидентом либо счёт открыт в иностранном банке.</w:t>
      </w:r>
    </w:p>
    <w:p>
      <w:pPr>
        <w:jc w:val="both"/>
      </w:pPr>
      <w:r>
        <w:t xml:space="preserve">По валюте операции различают переводы:</w:t>
      </w:r>
    </w:p>
    <w:p>
      <w:pPr>
        <w:jc w:val="both"/>
      </w:pPr>
      <w:r>
        <w:t xml:space="preserve">— в национальной валюте — в российских рублях;</w:t>
      </w:r>
    </w:p>
    <w:p>
      <w:pPr>
        <w:jc w:val="both"/>
      </w:pPr>
      <w:r>
        <w:t xml:space="preserve">— в иностранной валюте — в долларах США, евро, юанях, дирхамах ОАЭ и других валютах.</w:t>
      </w:r>
    </w:p>
    <w:p>
      <w:pPr>
        <w:jc w:val="both"/>
      </w:pPr>
      <w:r>
        <w:t xml:space="preserve">По срокам исполнения выделяются:</w:t>
      </w:r>
    </w:p>
    <w:p>
      <w:pPr>
        <w:jc w:val="both"/>
      </w:pPr>
      <w:r>
        <w:t xml:space="preserve">— срочные (мгновенные) переводы — обрабатываются круглосуточно и в режиме реального времени, в течение нескольких секунд;</w:t>
      </w:r>
    </w:p>
    <w:p>
      <w:pPr>
        <w:jc w:val="both"/>
      </w:pPr>
      <w:r>
        <w:t xml:space="preserve">— стандартные переводы — обрабатываются в часы операционного дня банка в соответствии с регламентом платёжной системы;</w:t>
      </w:r>
    </w:p>
    <w:p>
      <w:pPr>
        <w:jc w:val="both"/>
      </w:pPr>
      <w:r>
        <w:t xml:space="preserve">— регулярные (плановые) переводы — выполняются на основании длящегося поручения клиента (постоянное распоряжение), например, ежемесячные платежи за коммунальные услуги или по ипотеке.</w:t>
      </w:r>
    </w:p>
    <w:p>
      <w:pPr>
        <w:jc w:val="both"/>
      </w:pPr>
      <w:r>
        <w:t xml:space="preserve">По способу инициирования переводы классифицируются на:</w:t>
      </w:r>
    </w:p>
    <w:p>
      <w:pPr>
        <w:jc w:val="both"/>
      </w:pPr>
      <w:r>
        <w:t xml:space="preserve">— переводы по инициативе плательщика (кредитовые переводы) — наиболее распространённый вид, при котором плательщик передаёт банку поручение о перечислении средств получателю;</w:t>
      </w:r>
    </w:p>
    <w:p>
      <w:pPr>
        <w:jc w:val="both"/>
      </w:pPr>
      <w:r>
        <w:t xml:space="preserve">— переводы по инициативе получателя (дебетовые переводы) — осуществляются на основании платёжного требования или прямого дебетования (direct debit), требующего согласия плательщика (акцепта).</w:t>
      </w:r>
    </w:p>
    <w:p>
      <w:pPr>
        <w:jc w:val="both"/>
      </w:pPr>
      <w:r>
        <w:t xml:space="preserve">По форме безналичных расчётов, в рамках которых осуществляется перевод, на основании пункта 1.1 главы 1 Положения Банка России от 29 июня 2021 г. № 762-П «О правилах осуществления перевода денежных средств» различают расчёты:</w:t>
      </w:r>
    </w:p>
    <w:p>
      <w:pPr>
        <w:jc w:val="both"/>
      </w:pPr>
      <w:r>
        <w:t xml:space="preserve">— платёжными поручениями;</w:t>
      </w:r>
    </w:p>
    <w:p>
      <w:pPr>
        <w:jc w:val="both"/>
      </w:pPr>
      <w:r>
        <w:t xml:space="preserve">— по аккредитиву;</w:t>
      </w:r>
    </w:p>
    <w:p>
      <w:pPr>
        <w:jc w:val="both"/>
      </w:pPr>
      <w:r>
        <w:t xml:space="preserve">— инкассовыми поручениями;</w:t>
      </w:r>
    </w:p>
    <w:p>
      <w:pPr>
        <w:jc w:val="both"/>
      </w:pPr>
      <w:r>
        <w:t xml:space="preserve">— чеками;</w:t>
      </w:r>
    </w:p>
    <w:p>
      <w:pPr>
        <w:jc w:val="both"/>
      </w:pPr>
      <w:r>
        <w:t xml:space="preserve">— платёжными требованиями;</w:t>
      </w:r>
    </w:p>
    <w:p>
      <w:pPr>
        <w:jc w:val="both"/>
      </w:pPr>
      <w:r>
        <w:t xml:space="preserve">— в форме перевода денежных средств по требованию получателя (прямое дебетование);</w:t>
      </w:r>
    </w:p>
    <w:p>
      <w:pPr>
        <w:jc w:val="both"/>
      </w:pPr>
      <w:r>
        <w:t xml:space="preserve">— в форме перевода электронных денежных средств [4, п. 1.1].</w:t>
      </w:r>
    </w:p>
    <w:p>
      <w:pPr>
        <w:jc w:val="both"/>
      </w:pPr>
      <w:r>
        <w:t xml:space="preserve">По каналу инициирования переводы делят на инициированные через:</w:t>
      </w:r>
    </w:p>
    <w:p>
      <w:pPr>
        <w:jc w:val="both"/>
      </w:pPr>
      <w:r>
        <w:t xml:space="preserve">— отделение банка с помощью бумажных платёжных документов;</w:t>
      </w:r>
    </w:p>
    <w:p>
      <w:pPr>
        <w:jc w:val="both"/>
      </w:pPr>
      <w:r>
        <w:t xml:space="preserve">— системы дистанционного банковского обслуживания (интернет- банкинг, мобильный банкинг, USSD-сервисы, голосовое меню IVR);</w:t>
      </w:r>
    </w:p>
    <w:p>
      <w:pPr>
        <w:jc w:val="both"/>
      </w:pPr>
      <w:r>
        <w:t xml:space="preserve">— банкоматы и платёжные терминалы;</w:t>
      </w:r>
    </w:p>
    <w:p>
      <w:pPr>
        <w:jc w:val="both"/>
      </w:pPr>
      <w:r>
        <w:t xml:space="preserve">— платёжные шлюзы интернет-эквайринга;</w:t>
      </w:r>
    </w:p>
    <w:p>
      <w:pPr>
        <w:jc w:val="both"/>
      </w:pPr>
      <w:r>
        <w:t xml:space="preserve">— Систему быстрых платежей через мобильное приложение;</w:t>
      </w:r>
    </w:p>
    <w:p>
      <w:pPr>
        <w:jc w:val="both"/>
      </w:pPr>
      <w:r>
        <w:t xml:space="preserve">— карточные платёжные системы (карта-к-карте) посредством эквайринговых сетей.</w:t>
      </w:r>
    </w:p>
    <w:p>
      <w:pPr>
        <w:jc w:val="both"/>
      </w:pPr>
      <w:r>
        <w:t xml:space="preserve">По цели использования переводы можно сгруппировать как:</w:t>
      </w:r>
    </w:p>
    <w:p>
      <w:pPr>
        <w:jc w:val="both"/>
      </w:pPr>
      <w:r>
        <w:t xml:space="preserve">— потребительские (оплата товаров, услуг, в пользу третьих лиц);</w:t>
      </w:r>
    </w:p>
    <w:p>
      <w:pPr>
        <w:jc w:val="both"/>
      </w:pPr>
      <w:r>
        <w:t xml:space="preserve">— инвестиционные (вложения в ценные бумаги, приобретение имущества);</w:t>
      </w:r>
    </w:p>
    <w:p>
      <w:pPr>
        <w:jc w:val="both"/>
      </w:pPr>
      <w:r>
        <w:t xml:space="preserve">— социальные (помощь родственникам, благотворительность, пожертвования);</w:t>
      </w:r>
    </w:p>
    <w:p>
      <w:pPr>
        <w:jc w:val="both"/>
      </w:pPr>
      <w:r>
        <w:t xml:space="preserve">— фискальные (уплата налогов и иных обязательных платежей).</w:t>
      </w:r>
    </w:p>
    <w:p>
      <w:pPr>
        <w:jc w:val="both"/>
      </w:pPr>
      <w:r>
        <w:t xml:space="preserve">Графическое представление наиболее значимых классификационных признаков переводов денежных средств приведено на рисунке 1.1.1.</w:t>
      </w:r>
    </w:p>
    <w:p>
      <w:pPr>
        <w:spacing w:line="360" w:lineRule="auto" w:before="120" w:after="120"/>
        <w:ind w:firstLine="0"/>
        <w:jc w:val="center"/>
      </w:pPr>
      <w:r>
        <w:rPr>
          <w:i/>
          <w:iCs/>
        </w:rPr>
        <w:t xml:space="preserve">Рисунок 1.1.1 — Классификация переводов денежных средств</w:t>
      </w:r>
    </w:p>
    <w:p>
      <w:pPr>
        <w:jc w:val="both"/>
      </w:pPr>
      <w:r>
        <w:t xml:space="preserve">Особое значение в современной банковской практике имеют переводы физических лиц, которые в последние годы демонстрируют наиболее устойчивую динамику роста как в количественном, так и в стоимостном выражении. По данным Банка России, доля переводов физических лиц в общем количестве операций превысила 80 % в 2024 году, а доля онлайн-каналов в инициировании этих переводов достигла 95 % [44]. Указанные тенденции свидетельствуют о трансформации модели работы коммерческого банка с переводами: от обслуживания корпоративного сегмента через бумажные платёжные поручения к массовому розничному цифровому сервису с круглосуточным режимом работы и микросекундной скоростью.</w:t>
      </w:r>
    </w:p>
    <w:p>
      <w:pPr>
        <w:jc w:val="both"/>
      </w:pPr>
      <w:r>
        <w:t xml:space="preserve">В зависимости от каналов оказания услуги принято также выделять традиционные и небанковские переводные сервисы. К небанковским относятся переводы через системы денежных переводов («Золотая корона», «Юнистрим» и др.), а также через операторов электронных денежных средств («ЮMoney», «QIWI» — после прекращения деятельности соответствующего юридического лица функционал распределён между другими операторами). Эти системы характеризуются упрощённой процедурой идентификации клиента (идентификация по упрощённой схеме — для переводов до 15 тыс. рублей; полная — для крупных сумм) и работают преимущественно в сегменте мелких розничных переводов.</w:t>
      </w:r>
    </w:p>
    <w:p>
      <w:pPr>
        <w:jc w:val="both"/>
      </w:pPr>
      <w:r>
        <w:t xml:space="preserve">Следует разграничивать понятия «перевод денежных средств» и «перевод электронных денежных средств». В соответствии со статьёй 7 Федерального закона № 161-ФЗ «О национальной платёжной системе», электронные денежные средства — это денежные средства, которые предварительно предоставлены одним лицом другому лицу, учитывающему информацию о размере предоставленных денежных средств без открытия банковского счёта (обязанному лицу), для исполнения денежных обязательств лица, предоставившего денежные средства, перед третьими лицами [3, ст. 7]. Соответственно, перевод электронных денежных средств осуществляется посредством электронного средства платежа (электронного кошелька) и регулируется специальными нормами. Перевод же «обычных» денежных средств предполагает их учёт на банковском счёте.</w:t>
      </w:r>
    </w:p>
    <w:p>
      <w:pPr>
        <w:jc w:val="both"/>
      </w:pPr>
      <w:r>
        <w:t xml:space="preserve">Важной с точки зрения банковской классификации является группировка переводов на:</w:t>
      </w:r>
    </w:p>
    <w:p>
      <w:pPr>
        <w:jc w:val="both"/>
      </w:pPr>
      <w:r>
        <w:t xml:space="preserve">— переводы со счёта на счёт (между банковскими счетами одного или разных клиентов);</w:t>
      </w:r>
    </w:p>
    <w:p>
      <w:pPr>
        <w:jc w:val="both"/>
      </w:pPr>
      <w:r>
        <w:t xml:space="preserve">— переводы со счёта без открытия счёта получателя (в адрес лица, не имеющего счёта в банке-получателе) — частично заменены переводами через СБП и системы денежных переводов;</w:t>
      </w:r>
    </w:p>
    <w:p>
      <w:pPr>
        <w:jc w:val="both"/>
      </w:pPr>
      <w:r>
        <w:t xml:space="preserve">— переводы без открытия счёта плательщика (например, оплата наличными в кассе банка для перечисления на счёт получателя).</w:t>
      </w:r>
    </w:p>
    <w:p>
      <w:pPr>
        <w:jc w:val="both"/>
      </w:pPr>
      <w:r>
        <w:t xml:space="preserve">Каждый из перечисленных видов имеет собственный набор требований к идентификации клиента, лимитам сумм, документам и тарифам, что должно учитываться коммерческим банком при организации технологического процесса.</w:t>
      </w:r>
    </w:p>
    <w:p>
      <w:pPr>
        <w:jc w:val="both"/>
      </w:pPr>
      <w:r>
        <w:t xml:space="preserve">Подводя итог рассмотрению понятия и видов переводов денежных средств, можно сделать ряд теоретически значимых выводов. Перевод денежных средств представляет собой комплексное экономико-правовое явление, включающее юридическую сделку (поручение клиента и его исполнение банком), бухгалтерскую операцию (списание и зачисление по счетам), технологическую процедуру (передача и обработка платёжной информации) и банковскую услугу (с присущими ей признаками возмездности, срочности и гарантированности). Многообразие видов переводов, складывающееся под влиянием цифровизации, развития платёжной инфраструктуры и интеграции банковских сервисов, требует от коммерческого банка построения дифференцированной продуктовой линейки и гибких технологических решений. В связи с этим фундаментом для практической организации переводных операций выступает действующая нормативно-правовая база, рассмотрению которой посвящён следующий параграф работы.</w:t>
      </w:r>
    </w:p>
    <w:p>
      <w:pPr>
        <w:pStyle w:val="Heading2"/>
        <w:spacing w:line="360" w:lineRule="auto" w:before="240" w:after="120"/>
        <w:jc w:val="left"/>
      </w:pPr>
      <w:r>
        <w:rPr>
          <w:b/>
          <w:bCs/>
        </w:rPr>
        <w:t xml:space="preserve">1.2 Нормативно-правовое регулирование переводов в банковской системе</w:t>
      </w:r>
    </w:p>
    <w:p>
      <w:pPr>
        <w:jc w:val="both"/>
      </w:pPr>
      <w:r>
        <w:t xml:space="preserve">Эффективная организация переводов денежных средств в коммерческом банке невозможна без чёткой и последовательной нормативно-правовой базы. В Российской Федерации регулирование переводных операций осуществляется на нескольких уровнях: международном, федеральном, ведомственном (актами Банка России) и локальном (внутренними документами кредитной организации). Систематизация нормативно- правовых актов, регулирующих переводы, имеет принципиальное значение для понимания пределов компетенции банков, прав и обязанностей участников расчётов, ответственности за нарушения.</w:t>
      </w:r>
    </w:p>
    <w:p>
      <w:pPr>
        <w:jc w:val="both"/>
      </w:pPr>
      <w:r>
        <w:t xml:space="preserve">На вершине иерархии нормативных актов в сфере переводов денежных средств находится Конституция Российской Федерации, статья 75 которой устанавливает, что денежной единицей в Российской Федерации является рубль и его эмиссия осуществляется исключительно Центральным банком Российской Федерации [1, ст. 75]. Защита и обеспечение устойчивости рубля — основная функция Банка России, что напрямую связано с обеспечением бесперебойности функционирования платёжной системы. Статья 8 Конституции гарантирует единство экономического пространства, свободное перемещение финансовых средств, что, в свою очередь, является конституционной основой межрегиональных и межбанковских переводов [1, ст. 8].</w:t>
      </w:r>
    </w:p>
    <w:p>
      <w:pPr>
        <w:jc w:val="both"/>
      </w:pPr>
      <w:r>
        <w:t xml:space="preserve">Основополагающим нормативным актом гражданско-правового регулирования переводных операций выступает Гражданский кодекс Российской Федерации. Глава 45 «Банковский счёт» содержит общие положения о договоре банковского счёта, обязанностях банка по совершению расчётных операций, сроках их выполнения, порядке начисления процентов на остаток средств и ответственности банка за нарушение договора. Статья 845 ГК РФ устанавливает, что банк обязуется принимать и зачислять денежные средства, поступающие на счёт клиента, выполнять распоряжения клиента о перечислении и выдаче соответствующих сумм со счёта и проведении других операций по счёту [2, ст. 845]. Глава 46 «Расчёты» регламентирует расчёты платёжными поручениями (статьи 863–866), по аккредитиву (статьи 867–873), по инкассо (статьи 874–876) и чеками (статьи 877–885). Особое значение имеет статья 866 ГК РФ, устанавливающая ответственность банка за неисполнение или ненадлежащее исполнение поручения клиента в виде уплаты процентов в порядке, предусмотренном статьёй 395 Кодекса.</w:t>
      </w:r>
    </w:p>
    <w:p>
      <w:pPr>
        <w:jc w:val="both"/>
      </w:pPr>
      <w:r>
        <w:t xml:space="preserve">Специальным федеральным законом, регулирующим переводы денежных средств, является Федеральный закон от 27 июня 2011 г. № 161-ФЗ «О национальной платёжной системе». Этот закон ввёл в правовое поле понятия «оператор по переводу денежных средств», «оператор платёжной системы», «оператор услуг платёжной инфраструктуры», «электронные денежные средства», «электронное средство платежа». Согласно статье 5 закона, оператор по переводу денежных средств осуществляет перевод денежных средств в рамках применяемых форм безналичных расчётов в соответствии с требованиями законодательства Российской Федерации и нормативных актов Банка России. Предельный срок перевода в пределах Российской Федерации не может превышать трёх рабочих дней с даты списания средств со счёта плательщика [3, ст. 5]. Закон установил основы функционирования национально значимых платёжных систем, систем платёжных карт «Мир», ввёл требования к обеспечению защиты информации при осуществлении переводов и заложил правовые основания для запуска Системы быстрых платежей.</w:t>
      </w:r>
    </w:p>
    <w:p>
      <w:pPr>
        <w:jc w:val="both"/>
      </w:pPr>
      <w:r>
        <w:t xml:space="preserve">Значимой нормой Закона № 161-ФЗ является статья 9, регулирующая порядок использования электронных средств платежа. Часть 11 данной статьи устанавливает обязанность оператора по переводу денежных средств возместить клиенту сумму операции, совершённой без согласия клиента, если оператор не докажет, что клиент нарушил порядок использования электронного средства платежа [3, ст. 9]. Также с 25 июля 2024 года вступили в силу изменения, обязывающие банки приостанавливать переводы при наличии признаков осуществления операции без добровольного согласия клиента (борьба с социальной инженерией и мошенничеством).</w:t>
      </w:r>
    </w:p>
    <w:p>
      <w:pPr>
        <w:jc w:val="both"/>
      </w:pPr>
      <w:r>
        <w:t xml:space="preserve">Деятельность кредитных организаций как операторов по переводу денежных средств регулируется также Федеральным законом от 2 декабря 1990 г. № 395-1 «О банках и банковской деятельности». Статья 5 закона включает в перечень банковских операций, осуществление которых требует наличия лицензии, открытие и ведение банковских счетов физических и юридических лиц, а также осуществление переводов денежных средств по поручению физических и юридических лиц, в том числе банков- корреспондентов, по их банковским счетам, и осуществление переводов денежных средств без открытия банковских счетов, в том числе электронных денежных средств (за исключением почтовых переводов) [5, ст. 5]. Статья 30 устанавливает основы договорных отношений между банком и клиентом, включая обязанности по открытию счёта, тарифам и срокам.</w:t>
      </w:r>
    </w:p>
    <w:p>
      <w:pPr>
        <w:jc w:val="both"/>
      </w:pPr>
      <w:r>
        <w:t xml:space="preserve">Статус и полномочия Банка России как мегарегулятора платёжной системы закреплены Федеральным законом от 10 июля 2002 г. № 86-ФЗ «О Центральном банке Российской Федерации (Банке России)». В соответствии со статьёй 4 Закона, Банк России осуществляет надзор и наблюдение в национальной платёжной системе, обеспечивает эффективное и бесперебойное функционирование платёжной системы, утверждает правила платёжной системы Банка России, устанавливает правила осуществления расчётов в Российской Федерации [7, ст. 4]. Эти полномочия реализуются через издание нормативных актов и организацию работы платёжной системы Банка России (ПС БР), к которой подключены практически все российские кредитные организации.</w:t>
      </w:r>
    </w:p>
    <w:p>
      <w:pPr>
        <w:jc w:val="both"/>
      </w:pPr>
      <w:r>
        <w:t xml:space="preserve">Важнейшую роль в правовом регулировании переводов играет законодательство о противодействии легализации преступных доходов. Федеральный закон от 7 августа 2001 г. № 115-ФЗ «О противодействии легализации (отмыванию) доходов, полученных преступным путём, и финансированию терроризма» обязывает кредитные организации идентифицировать клиентов, проверять операции, отказывать в проведении подозрительных переводов и направлять сведения в Росфинмониторинг. Статья 7 Закона устанавливает обязательные процедуры внутреннего контроля, а статья 6 определяет операции, подлежащие обязательному контролю (включая переводы свыше пороговых сумм) [9, ст. 6, 7]. Контроль осуществляется в режиме реального времени с использованием автоматизированных систем, что предъявляет особые требования к технологической инфраструктуре банка.</w:t>
      </w:r>
    </w:p>
    <w:p>
      <w:pPr>
        <w:jc w:val="both"/>
      </w:pPr>
      <w:r>
        <w:t xml:space="preserve">Защита персональных данных клиентов при осуществлении переводов регулируется Федеральным законом от 27 июля 2006 г. № 152-ФЗ «О персональных данных», который устанавливает требования к обработке персональных данных, их хранению и передаче третьим лицам [10]. Поскольку платёжная информация содержит сведения об именах, реквизитах счетов, паспортных данных, банк обязан обеспечить надлежащий уровень защиты этих сведений на всех этапах обработки.</w:t>
      </w:r>
    </w:p>
    <w:p>
      <w:pPr>
        <w:jc w:val="both"/>
      </w:pPr>
      <w:r>
        <w:t xml:space="preserve">Валютные переводы (трансграничные операции) регулируются Федеральным законом от 10 декабря 2003 г. № 173-ФЗ «О валютном регулировании и валютном контроле», который устанавливает права и обязанности резидентов и нерезидентов, а также порядок осуществления валютных операций. Кредитные организации, наделённые статусом уполномоченных банков, выступают агентами валютного контроля и обязаны проверять законность валютных переводов, истребовать подтверждающие документы и своевременно представлять отчётность Банку России [11].</w:t>
      </w:r>
    </w:p>
    <w:p>
      <w:pPr>
        <w:jc w:val="both"/>
      </w:pPr>
      <w:r>
        <w:t xml:space="preserve">Особое место в системе нормативного регулирования занимают антитеррористические и санкционные ограничения. С 2022 года ряд российских банков, включая ПАО «Сбербанк», подпадает под ограничительные меры со стороны иностранных государств, что повлияло на возможности проведения переводов в недружественных валютах. Указами Президента Российской Федерации (в частности, Указами от 28 февраля 2022 г. № 79, от 1 марта 2022 г. № 81, от 5 марта 2022 г. № 95) и постановлениями Правительства введены контрсанкционные меры, предусматривающие ограничения на переводы в адрес нерезидентов, лимиты на перевод средств за рубеж, специальный режим расчётов с лицами из перечня недружественных стран. Российские банки обязаны осуществлять переводы с учётом этих ограничений и отчитываться перед Банком России и Росфинмониторингом.</w:t>
      </w:r>
    </w:p>
    <w:p>
      <w:pPr>
        <w:jc w:val="both"/>
      </w:pPr>
      <w:r>
        <w:t xml:space="preserve">Уровнем ниже федеральных законов располагаются нормативные акты Банка России — положения, инструкции и указания. Особое значение имеют следующие документы.</w:t>
      </w:r>
    </w:p>
    <w:p>
      <w:pPr>
        <w:jc w:val="both"/>
      </w:pPr>
      <w:r>
        <w:t xml:space="preserve">Положение Банка России от 29 июня 2021 г. № 762-П «О правилах осуществления перевода денежных средств» — основополагающий документ, регламентирующий порядок составления и оформления платёжных документов, формы безналичных расчётов, сроки исполнения распоряжений, порядок отзыва и возврата платежей. Положение пришло на смену Положению № 383-П и учитывает современные реалии цифрового банкинга. В числе ключевых норм: требования к реквизитам распоряжений (приложение 1 к Положению), сроки приёма распоряжений, действия при недостаточности средств на счёте, особенности расчётов в форме перевода электронных денежных средств [4].</w:t>
      </w:r>
    </w:p>
    <w:p>
      <w:pPr>
        <w:jc w:val="both"/>
      </w:pPr>
      <w:r>
        <w:t xml:space="preserve">Положение Банка России от 24 сентября 2020 г. № 732-П «О платёжной системе Банка России» определяет порядок функционирования платёжной системы Банка России (ПС БР), являющейся системно значимой и национально значимой платёжной системой страны. Положение регламентирует виды сервисов ПС БР: сервис срочного перевода, сервис несрочного перевода, сервис быстрых платежей. В рамках сервиса быстрых платежей обеспечивается круглосуточная обработка переводов в режиме 24/7/365 [13].</w:t>
      </w:r>
    </w:p>
    <w:p>
      <w:pPr>
        <w:jc w:val="both"/>
      </w:pPr>
      <w:r>
        <w:t xml:space="preserve">Положение Банка России от 17 апреля 2019 г. № 683-П «Об установлении обязательных для кредитных организаций требований к обеспечению защиты информации при осуществлении банковской деятельности в целях противодействия осуществлению переводов денежных средств без согласия клиента» устанавливает требования к информационной безопасности кредитных организаций [14]. Банки обязаны проводить независимый аудит соответствия национальному стандарту ГОСТ Р 57580.1-2017, обеспечивать защиту каналов передачи платёжной информации, использовать средства криптографической защиты, прошедшие сертификацию ФСБ России.</w:t>
      </w:r>
    </w:p>
    <w:p>
      <w:pPr>
        <w:jc w:val="both"/>
      </w:pPr>
      <w:r>
        <w:t xml:space="preserve">Положение Банка России от 4 декабря 2023 г. № 829-П «О требованиях к функциональным возможностям, иным условиям осуществления оператором по переводу денежных средств перевода денежных средств с использованием системы быстрых платежей» закрепляет правовые основы функционирования СБП и обязанности банков-участников, в том числе по уплате суточных лимитов в размере 100 тыс. рублей в сутки на бесплатные переводы между своими счетами и счетами в других банках через СБП.</w:t>
      </w:r>
    </w:p>
    <w:p>
      <w:pPr>
        <w:jc w:val="both"/>
      </w:pPr>
      <w:r>
        <w:t xml:space="preserve">Указанием Банка России от 8 октября 2018 г. № 4926-У «О форме и порядке информирования Банка России об инцидентах, связанных с нарушением требований к обеспечению защиты информации» установлен порядок отчётности кредитных организаций о выявленных инцидентах кибербезопасности, в том числе в части несанкционированных переводов.</w:t>
      </w:r>
    </w:p>
    <w:p>
      <w:pPr>
        <w:jc w:val="both"/>
      </w:pPr>
      <w:r>
        <w:t xml:space="preserve">Технологические аспекты обмена платёжной информацией между банками регулируются стандартами Банка России на основе рекомендаций международных платёжных систем и стандартов ISO, прежде всего ISO 20022. С 2023 года в платёжной системе Банка России обмен сообщениями осуществляется в формате ISO 20022, что обеспечивает совместимость с международными системами и расширяет состав передаваемых реквизитов.</w:t>
      </w:r>
    </w:p>
    <w:p>
      <w:pPr>
        <w:jc w:val="both"/>
      </w:pPr>
      <w:r>
        <w:t xml:space="preserve">Локальный уровень регулирования переводных операций представлен внутренними документами коммерческих банков: правилами банка по осуществлению переводов денежных средств, тарифными планами, типовыми формами договоров банковского счёта, регламентами работы операционных подразделений, инструкциями по противодействию мошенничеству. Эти документы разрабатываются с учётом требований законодательства и нормативных актов Банка России, утверждаются органами управления банка и подлежат ознакомлению клиентов в части, касающейся их прав и обязанностей.</w:t>
      </w:r>
    </w:p>
    <w:p>
      <w:pPr>
        <w:jc w:val="both"/>
      </w:pPr>
      <w:r>
        <w:t xml:space="preserve">Иерархическая схема нормативного регулирования переводов денежных средств представлена в таблице 1.2.1.</w:t>
      </w:r>
    </w:p>
    <w:p>
      <w:pPr>
        <w:spacing w:line="360" w:lineRule="auto" w:before="120" w:after="60"/>
        <w:ind w:firstLine="0"/>
        <w:jc w:val="left"/>
      </w:pPr>
      <w:r>
        <w:t xml:space="preserve">Таблица 1.2.1 — Уровни нормативно-правового регулирования переводов денежных средств в Российской Федерации</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3213"/>
        <w:gridCol w:w="3213"/>
        <w:gridCol w:w="3213"/>
      </w:tblGrid>
      <w:tr>
        <w:trPr>
          <w:tblHeader/>
        </w:trPr>
        <w:tc>
          <w:tcPr>
            <w:tcW w:w="3213" w:type="dxa"/>
          </w:tcPr>
          <w:p>
            <w:pPr>
              <w:spacing w:line="240" w:lineRule="auto" w:before="0" w:after="0"/>
              <w:ind w:firstLine="0"/>
              <w:jc w:val="center"/>
            </w:pPr>
            <w:r>
              <w:rPr>
                <w:rFonts w:ascii="Times New Roman" w:hAnsi="Times New Roman"/>
                <w:sz w:val="24"/>
                <w:szCs w:val="24"/>
                <w:b/>
                <w:bCs/>
              </w:rPr>
              <w:t xml:space="preserve">Уровень</w:t>
            </w:r>
          </w:p>
        </w:tc>
        <w:tc>
          <w:tcPr>
            <w:tcW w:w="3213" w:type="dxa"/>
          </w:tcPr>
          <w:p>
            <w:pPr>
              <w:spacing w:line="240" w:lineRule="auto" w:before="0" w:after="0"/>
              <w:ind w:firstLine="0"/>
              <w:jc w:val="center"/>
            </w:pPr>
            <w:r>
              <w:rPr>
                <w:rFonts w:ascii="Times New Roman" w:hAnsi="Times New Roman"/>
                <w:sz w:val="24"/>
                <w:szCs w:val="24"/>
                <w:b/>
                <w:bCs/>
              </w:rPr>
              <w:t xml:space="preserve">Тип акта</w:t>
            </w:r>
          </w:p>
        </w:tc>
        <w:tc>
          <w:tcPr>
            <w:tcW w:w="3213" w:type="dxa"/>
          </w:tcPr>
          <w:p>
            <w:pPr>
              <w:spacing w:line="240" w:lineRule="auto" w:before="0" w:after="0"/>
              <w:ind w:firstLine="0"/>
              <w:jc w:val="center"/>
            </w:pPr>
            <w:r>
              <w:rPr>
                <w:rFonts w:ascii="Times New Roman" w:hAnsi="Times New Roman"/>
                <w:sz w:val="24"/>
                <w:szCs w:val="24"/>
                <w:b/>
                <w:bCs/>
              </w:rPr>
              <w:t xml:space="preserve">Ключевые документы</w:t>
            </w:r>
          </w:p>
        </w:tc>
      </w:tr>
      <w:tr>
        <w:tc>
          <w:tcPr>
            <w:tcW w:w="3213" w:type="dxa"/>
          </w:tcPr>
          <w:p>
            <w:pPr>
              <w:spacing w:line="240" w:lineRule="auto" w:before="0" w:after="0"/>
              <w:ind w:firstLine="0"/>
              <w:jc w:val="left"/>
            </w:pPr>
            <w:r>
              <w:rPr>
                <w:rFonts w:ascii="Times New Roman" w:hAnsi="Times New Roman"/>
                <w:sz w:val="24"/>
                <w:szCs w:val="24"/>
              </w:rPr>
              <w:t xml:space="preserve">Высший</w:t>
            </w:r>
          </w:p>
        </w:tc>
        <w:tc>
          <w:tcPr>
            <w:tcW w:w="3213" w:type="dxa"/>
          </w:tcPr>
          <w:p>
            <w:pPr>
              <w:spacing w:line="240" w:lineRule="auto" w:before="0" w:after="0"/>
              <w:ind w:firstLine="0"/>
              <w:jc w:val="left"/>
            </w:pPr>
            <w:r>
              <w:rPr>
                <w:rFonts w:ascii="Times New Roman" w:hAnsi="Times New Roman"/>
                <w:sz w:val="24"/>
                <w:szCs w:val="24"/>
              </w:rPr>
              <w:t xml:space="preserve">Конституция РФ</w:t>
            </w:r>
          </w:p>
        </w:tc>
        <w:tc>
          <w:tcPr>
            <w:tcW w:w="3213" w:type="dxa"/>
          </w:tcPr>
          <w:p>
            <w:pPr>
              <w:spacing w:line="240" w:lineRule="auto" w:before="0" w:after="0"/>
              <w:ind w:firstLine="0"/>
              <w:jc w:val="left"/>
            </w:pPr>
            <w:r>
              <w:rPr>
                <w:rFonts w:ascii="Times New Roman" w:hAnsi="Times New Roman"/>
                <w:sz w:val="24"/>
                <w:szCs w:val="24"/>
              </w:rPr>
              <w:t xml:space="preserve">Статьи 8, 75 Конституции РФ</w:t>
            </w:r>
          </w:p>
        </w:tc>
      </w:tr>
      <w:tr>
        <w:tc>
          <w:tcPr>
            <w:tcW w:w="3213" w:type="dxa"/>
          </w:tcPr>
          <w:p>
            <w:pPr>
              <w:spacing w:line="240" w:lineRule="auto" w:before="0" w:after="0"/>
              <w:ind w:firstLine="0"/>
              <w:jc w:val="left"/>
            </w:pPr>
            <w:r>
              <w:rPr>
                <w:rFonts w:ascii="Times New Roman" w:hAnsi="Times New Roman"/>
                <w:sz w:val="24"/>
                <w:szCs w:val="24"/>
              </w:rPr>
              <w:t xml:space="preserve">Федеральный</w:t>
            </w:r>
          </w:p>
        </w:tc>
        <w:tc>
          <w:tcPr>
            <w:tcW w:w="3213" w:type="dxa"/>
          </w:tcPr>
          <w:p>
            <w:pPr>
              <w:spacing w:line="240" w:lineRule="auto" w:before="0" w:after="0"/>
              <w:ind w:firstLine="0"/>
              <w:jc w:val="left"/>
            </w:pPr>
            <w:r>
              <w:rPr>
                <w:rFonts w:ascii="Times New Roman" w:hAnsi="Times New Roman"/>
                <w:sz w:val="24"/>
                <w:szCs w:val="24"/>
              </w:rPr>
              <w:t xml:space="preserve">Кодексы</w:t>
            </w:r>
          </w:p>
        </w:tc>
        <w:tc>
          <w:tcPr>
            <w:tcW w:w="3213" w:type="dxa"/>
          </w:tcPr>
          <w:p>
            <w:pPr>
              <w:spacing w:line="240" w:lineRule="auto" w:before="0" w:after="0"/>
              <w:ind w:firstLine="0"/>
              <w:jc w:val="left"/>
            </w:pPr>
            <w:r>
              <w:rPr>
                <w:rFonts w:ascii="Times New Roman" w:hAnsi="Times New Roman"/>
                <w:sz w:val="24"/>
                <w:szCs w:val="24"/>
              </w:rPr>
              <w:t xml:space="preserve">Гражданский кодекс РФ (главы 45, 46); Налоговый кодекс РФ</w:t>
            </w:r>
          </w:p>
        </w:tc>
      </w:tr>
      <w:tr>
        <w:tc>
          <w:tcPr>
            <w:tcW w:w="3213" w:type="dxa"/>
          </w:tcPr>
          <w:p>
            <w:pPr>
              <w:spacing w:line="240" w:lineRule="auto" w:before="0" w:after="0"/>
              <w:ind w:firstLine="0"/>
              <w:jc w:val="left"/>
            </w:pPr>
            <w:r>
              <w:rPr>
                <w:rFonts w:ascii="Times New Roman" w:hAnsi="Times New Roman"/>
                <w:sz w:val="24"/>
                <w:szCs w:val="24"/>
              </w:rPr>
              <w:t xml:space="preserve">Федеральный</w:t>
            </w:r>
          </w:p>
        </w:tc>
        <w:tc>
          <w:tcPr>
            <w:tcW w:w="3213" w:type="dxa"/>
          </w:tcPr>
          <w:p>
            <w:pPr>
              <w:spacing w:line="240" w:lineRule="auto" w:before="0" w:after="0"/>
              <w:ind w:firstLine="0"/>
              <w:jc w:val="left"/>
            </w:pPr>
            <w:r>
              <w:rPr>
                <w:rFonts w:ascii="Times New Roman" w:hAnsi="Times New Roman"/>
                <w:sz w:val="24"/>
                <w:szCs w:val="24"/>
              </w:rPr>
              <w:t xml:space="preserve">Федеральные законы</w:t>
            </w:r>
          </w:p>
        </w:tc>
        <w:tc>
          <w:tcPr>
            <w:tcW w:w="3213" w:type="dxa"/>
          </w:tcPr>
          <w:p>
            <w:pPr>
              <w:spacing w:line="240" w:lineRule="auto" w:before="0" w:after="0"/>
              <w:ind w:firstLine="0"/>
              <w:jc w:val="left"/>
            </w:pPr>
            <w:r>
              <w:rPr>
                <w:rFonts w:ascii="Times New Roman" w:hAnsi="Times New Roman"/>
                <w:sz w:val="24"/>
                <w:szCs w:val="24"/>
              </w:rPr>
              <w:t xml:space="preserve">№ 161-ФЗ, № 395-1, № 86-ФЗ, № 115-ФЗ, № 152-ФЗ, № 173-ФЗ</w:t>
            </w:r>
          </w:p>
        </w:tc>
      </w:tr>
      <w:tr>
        <w:tc>
          <w:tcPr>
            <w:tcW w:w="3213" w:type="dxa"/>
          </w:tcPr>
          <w:p>
            <w:pPr>
              <w:spacing w:line="240" w:lineRule="auto" w:before="0" w:after="0"/>
              <w:ind w:firstLine="0"/>
              <w:jc w:val="left"/>
            </w:pPr>
            <w:r>
              <w:rPr>
                <w:rFonts w:ascii="Times New Roman" w:hAnsi="Times New Roman"/>
                <w:sz w:val="24"/>
                <w:szCs w:val="24"/>
              </w:rPr>
              <w:t xml:space="preserve">Федеральный</w:t>
            </w:r>
          </w:p>
        </w:tc>
        <w:tc>
          <w:tcPr>
            <w:tcW w:w="3213" w:type="dxa"/>
          </w:tcPr>
          <w:p>
            <w:pPr>
              <w:spacing w:line="240" w:lineRule="auto" w:before="0" w:after="0"/>
              <w:ind w:firstLine="0"/>
              <w:jc w:val="left"/>
            </w:pPr>
            <w:r>
              <w:rPr>
                <w:rFonts w:ascii="Times New Roman" w:hAnsi="Times New Roman"/>
                <w:sz w:val="24"/>
                <w:szCs w:val="24"/>
              </w:rPr>
              <w:t xml:space="preserve">Указы Президента РФ</w:t>
            </w:r>
          </w:p>
        </w:tc>
        <w:tc>
          <w:tcPr>
            <w:tcW w:w="3213" w:type="dxa"/>
          </w:tcPr>
          <w:p>
            <w:pPr>
              <w:spacing w:line="240" w:lineRule="auto" w:before="0" w:after="0"/>
              <w:ind w:firstLine="0"/>
              <w:jc w:val="left"/>
            </w:pPr>
            <w:r>
              <w:rPr>
                <w:rFonts w:ascii="Times New Roman" w:hAnsi="Times New Roman"/>
                <w:sz w:val="24"/>
                <w:szCs w:val="24"/>
              </w:rPr>
              <w:t xml:space="preserve">Указы № 79, № 81, № 95 от 2022 г. и др.</w:t>
            </w:r>
          </w:p>
        </w:tc>
      </w:tr>
      <w:tr>
        <w:tc>
          <w:tcPr>
            <w:tcW w:w="3213" w:type="dxa"/>
          </w:tcPr>
          <w:p>
            <w:pPr>
              <w:spacing w:line="240" w:lineRule="auto" w:before="0" w:after="0"/>
              <w:ind w:firstLine="0"/>
              <w:jc w:val="left"/>
            </w:pPr>
            <w:r>
              <w:rPr>
                <w:rFonts w:ascii="Times New Roman" w:hAnsi="Times New Roman"/>
                <w:sz w:val="24"/>
                <w:szCs w:val="24"/>
              </w:rPr>
              <w:t xml:space="preserve">Федеральный</w:t>
            </w:r>
          </w:p>
        </w:tc>
        <w:tc>
          <w:tcPr>
            <w:tcW w:w="3213" w:type="dxa"/>
          </w:tcPr>
          <w:p>
            <w:pPr>
              <w:spacing w:line="240" w:lineRule="auto" w:before="0" w:after="0"/>
              <w:ind w:firstLine="0"/>
              <w:jc w:val="left"/>
            </w:pPr>
            <w:r>
              <w:rPr>
                <w:rFonts w:ascii="Times New Roman" w:hAnsi="Times New Roman"/>
                <w:sz w:val="24"/>
                <w:szCs w:val="24"/>
              </w:rPr>
              <w:t xml:space="preserve">Постановления Правительства РФ</w:t>
            </w:r>
          </w:p>
        </w:tc>
        <w:tc>
          <w:tcPr>
            <w:tcW w:w="3213" w:type="dxa"/>
          </w:tcPr>
          <w:p>
            <w:pPr>
              <w:spacing w:line="240" w:lineRule="auto" w:before="0" w:after="0"/>
              <w:ind w:firstLine="0"/>
              <w:jc w:val="left"/>
            </w:pPr>
            <w:r>
              <w:rPr>
                <w:rFonts w:ascii="Times New Roman" w:hAnsi="Times New Roman"/>
                <w:sz w:val="24"/>
                <w:szCs w:val="24"/>
              </w:rPr>
              <w:t xml:space="preserve">Постановления о реализации указов, акты валютного контроля</w:t>
            </w:r>
          </w:p>
        </w:tc>
      </w:tr>
      <w:tr>
        <w:tc>
          <w:tcPr>
            <w:tcW w:w="3213" w:type="dxa"/>
          </w:tcPr>
          <w:p>
            <w:pPr>
              <w:spacing w:line="240" w:lineRule="auto" w:before="0" w:after="0"/>
              <w:ind w:firstLine="0"/>
              <w:jc w:val="left"/>
            </w:pPr>
            <w:r>
              <w:rPr>
                <w:rFonts w:ascii="Times New Roman" w:hAnsi="Times New Roman"/>
                <w:sz w:val="24"/>
                <w:szCs w:val="24"/>
              </w:rPr>
              <w:t xml:space="preserve">Ведомственный</w:t>
            </w:r>
          </w:p>
        </w:tc>
        <w:tc>
          <w:tcPr>
            <w:tcW w:w="3213" w:type="dxa"/>
          </w:tcPr>
          <w:p>
            <w:pPr>
              <w:spacing w:line="240" w:lineRule="auto" w:before="0" w:after="0"/>
              <w:ind w:firstLine="0"/>
              <w:jc w:val="left"/>
            </w:pPr>
            <w:r>
              <w:rPr>
                <w:rFonts w:ascii="Times New Roman" w:hAnsi="Times New Roman"/>
                <w:sz w:val="24"/>
                <w:szCs w:val="24"/>
              </w:rPr>
              <w:t xml:space="preserve">Положения, указания Банка России</w:t>
            </w:r>
          </w:p>
        </w:tc>
        <w:tc>
          <w:tcPr>
            <w:tcW w:w="3213" w:type="dxa"/>
          </w:tcPr>
          <w:p>
            <w:pPr>
              <w:spacing w:line="240" w:lineRule="auto" w:before="0" w:after="0"/>
              <w:ind w:firstLine="0"/>
              <w:jc w:val="left"/>
            </w:pPr>
            <w:r>
              <w:rPr>
                <w:rFonts w:ascii="Times New Roman" w:hAnsi="Times New Roman"/>
                <w:sz w:val="24"/>
                <w:szCs w:val="24"/>
              </w:rPr>
              <w:t xml:space="preserve">№ 762-П, № 732-П, № 683-П, № 829-П, № 4926-У</w:t>
            </w:r>
          </w:p>
        </w:tc>
      </w:tr>
      <w:tr>
        <w:tc>
          <w:tcPr>
            <w:tcW w:w="3213" w:type="dxa"/>
          </w:tcPr>
          <w:p>
            <w:pPr>
              <w:spacing w:line="240" w:lineRule="auto" w:before="0" w:after="0"/>
              <w:ind w:firstLine="0"/>
              <w:jc w:val="left"/>
            </w:pPr>
            <w:r>
              <w:rPr>
                <w:rFonts w:ascii="Times New Roman" w:hAnsi="Times New Roman"/>
                <w:sz w:val="24"/>
                <w:szCs w:val="24"/>
              </w:rPr>
              <w:t xml:space="preserve">Локальный</w:t>
            </w:r>
          </w:p>
        </w:tc>
        <w:tc>
          <w:tcPr>
            <w:tcW w:w="3213" w:type="dxa"/>
          </w:tcPr>
          <w:p>
            <w:pPr>
              <w:spacing w:line="240" w:lineRule="auto" w:before="0" w:after="0"/>
              <w:ind w:firstLine="0"/>
              <w:jc w:val="left"/>
            </w:pPr>
            <w:r>
              <w:rPr>
                <w:rFonts w:ascii="Times New Roman" w:hAnsi="Times New Roman"/>
                <w:sz w:val="24"/>
                <w:szCs w:val="24"/>
              </w:rPr>
              <w:t xml:space="preserve">Внутренние документы банка</w:t>
            </w:r>
          </w:p>
        </w:tc>
        <w:tc>
          <w:tcPr>
            <w:tcW w:w="3213" w:type="dxa"/>
          </w:tcPr>
          <w:p>
            <w:pPr>
              <w:spacing w:line="240" w:lineRule="auto" w:before="0" w:after="0"/>
              <w:ind w:firstLine="0"/>
              <w:jc w:val="left"/>
            </w:pPr>
            <w:r>
              <w:rPr>
                <w:rFonts w:ascii="Times New Roman" w:hAnsi="Times New Roman"/>
                <w:sz w:val="24"/>
                <w:szCs w:val="24"/>
              </w:rPr>
              <w:t xml:space="preserve">Правила, тарифы, регламенты, договоры банковского счёта</w:t>
            </w:r>
          </w:p>
        </w:tc>
      </w:tr>
    </w:tbl>
    <w:p>
      <w:pPr>
        <w:ind w:firstLine="0"/>
      </w:pPr>
    </w:p>
    <w:p>
      <w:pPr>
        <w:jc w:val="both"/>
      </w:pPr>
      <w:r>
        <w:t xml:space="preserve">Применение норм каждого уровня осуществляется на основе принципа иерархии: акт нижестоящего уровня не может противоречить акту вышестоящего уровня. Кроме того, действует принцип специального регулирования: если общественное отношение урегулировано специальным законом (например, Законом № 161-ФЗ), его нормы имеют приоритет перед общими нормами Гражданского кодекса.</w:t>
      </w:r>
    </w:p>
    <w:p>
      <w:pPr>
        <w:jc w:val="both"/>
      </w:pPr>
      <w:r>
        <w:t xml:space="preserve">Современная нормативная база системы переводов денежных средств характеризуется высокой динамикой. За период 2022–2024 гг. был принят значительный массив новых нормативных актов, направленных на:</w:t>
      </w:r>
    </w:p>
    <w:p>
      <w:pPr>
        <w:jc w:val="both"/>
      </w:pPr>
      <w:r>
        <w:t xml:space="preserve">— обеспечение независимости национальной платёжной инфраструктуры (увеличение числа операций, проводимых через ПС БР и СБП, отказ от международных платёжных систем);</w:t>
      </w:r>
    </w:p>
    <w:p>
      <w:pPr>
        <w:jc w:val="both"/>
      </w:pPr>
      <w:r>
        <w:t xml:space="preserve">— противодействие мошенничеству и социальной инженерии (расширение полномочий банков по приостановлению подозрительных операций, обязательная двухфакторная аутентификация, специальная база данных дропперов и подозрительных счетов Банка России);</w:t>
      </w:r>
    </w:p>
    <w:p>
      <w:pPr>
        <w:jc w:val="both"/>
      </w:pPr>
      <w:r>
        <w:t xml:space="preserve">— развитие цифровых форм денег (внедрение цифрового рубля с 1 августа 2023 года в соответствии с Федеральным законом № 339-ФЗ от 24 июля 2023 г.);</w:t>
      </w:r>
    </w:p>
    <w:p>
      <w:pPr>
        <w:jc w:val="both"/>
      </w:pPr>
      <w:r>
        <w:t xml:space="preserve">— гармонизацию платёжных стандартов (переход на ISO 20022);</w:t>
      </w:r>
    </w:p>
    <w:p>
      <w:pPr>
        <w:jc w:val="both"/>
      </w:pPr>
      <w:r>
        <w:t xml:space="preserve">— регулирование переводов в условиях санкционного давления (специальные счета типа «С», ограничения по операциям с недружественными государствами).</w:t>
      </w:r>
    </w:p>
    <w:p>
      <w:pPr>
        <w:jc w:val="both"/>
      </w:pPr>
      <w:r>
        <w:t xml:space="preserve">Особо следует остановиться на правовом регулировании цифрового рубля как новой формы российской национальной валюты. Федеральным законом от 24 июля 2023 г. № 339-ФЗ внесены изменения в Гражданский кодекс РФ и иные нормативные акты, закрепляющие цифровые рубли как обязательства Банка России в форме записей на счетах цифровых рублей. Кредитные организации выступают финансовыми посредниками платформы цифрового рубля, обеспечивая клиентам возможность открытия и пополнения цифровых кошельков, а также осуществление переводов между ними. Внедрение цифрового рубля представляет собой качественно новый этап развития системы переводов в России и требует соответствующего правового и технологического обеспечения.</w:t>
      </w:r>
    </w:p>
    <w:p>
      <w:pPr>
        <w:jc w:val="both"/>
      </w:pPr>
      <w:r>
        <w:t xml:space="preserve">В целом нормативно-правовая база, регулирующая переводы денежных средств в Российской Федерации, является достаточно развитой и в основном соответствует современным требованиям и международным стандартам. Вместе с тем динамика развития финансовых технологий, появление новых форм платежей (цифровые деньги, мгновенные платежи, биометрические идентификаторы), усиление киберугроз и санкционные ограничения предопределяют необходимость её дальнейшего совершенствования. Коммерческий банк обязан непрерывно обеспечивать соответствие своих внутренних процедур и информационных систем меняющимся нормативным требованиям, что является одной из ключевых задач его операционной деятельности.</w:t>
      </w:r>
    </w:p>
    <w:p>
      <w:pPr>
        <w:pStyle w:val="Heading2"/>
        <w:spacing w:line="360" w:lineRule="auto" w:before="240" w:after="120"/>
        <w:jc w:val="left"/>
      </w:pPr>
      <w:r>
        <w:rPr>
          <w:b/>
          <w:bCs/>
        </w:rPr>
        <w:t xml:space="preserve">1.3 Организация и технологии осуществления переводов в коммерческих банках</w:t>
      </w:r>
    </w:p>
    <w:p>
      <w:pPr>
        <w:jc w:val="both"/>
      </w:pPr>
      <w:r>
        <w:t xml:space="preserve">Организация переводов денежных средств в коммерческом банке представляет собой сложный многоуровневый процесс, включающий организационно-управленческие, операционно-технологические, учётно-контрольные и информационно-технические компоненты. От качества этой организации зависят скорость и стоимость обслуживания клиентов, операционные риски банка, его конкурентоспособность на рынке и уровень соответствия требованиям регулятора.</w:t>
      </w:r>
    </w:p>
    <w:p>
      <w:pPr>
        <w:jc w:val="both"/>
      </w:pPr>
      <w:r>
        <w:t xml:space="preserve">С точки зрения организационной структуры в типичном коммерческом банке функции обеспечения переводов распределяются между несколькими подразделениями. Операционно-кассовое управление (управление расчётно-кассового обслуживания) отвечает за приём, обработку и исполнение распоряжений клиентов, включая работу с бумажными платёжными документами и распоряжениями, поступающими по дистанционным каналам. Управление информационных технологий обеспечивает функционирование автоматизированной банковской системы (АБС), интерфейсов с платёжной системой Банка России, СБП, корреспондентскими сетями и системами международных переводов. Управление финансового мониторинга осуществляет проверку платежей на соответствие требованиям Закона № 115-ФЗ. Управление информационной безопасности контролирует защиту платёжной информации и противодействие несанкционированным переводам. Управление по работе с клиентами обеспечивает консультирование и сопровождение крупных корпоративных клиентов.</w:t>
      </w:r>
    </w:p>
    <w:p>
      <w:pPr>
        <w:jc w:val="both"/>
      </w:pPr>
      <w:r>
        <w:t xml:space="preserve">Технологический процесс осуществления перевода в коммерческом банке включает следующие основные стадии.</w:t>
      </w:r>
    </w:p>
    <w:p>
      <w:pPr>
        <w:jc w:val="both"/>
      </w:pPr>
      <w:r>
        <w:t xml:space="preserve">Первая стадия — приём распоряжения клиента. Клиент инициирует перевод одним из доступных способов: путём представления бумажного платёжного документа в офис банка, подачи электронного распоряжения через систему дистанционного банковского обслуживания (мобильное приложение, интернет-банк, система «Клиент-Банк» для юридических лиц), использования банкомата, платёжного терминала или сервиса СБП. На этой стадии происходит идентификация клиента (паспорт, биометрия, логин- пароль, USB-токен и др.), проверка распоряжения на корректность заполнения реквизитов, наличие необходимых электронных подписей, а также соответствие операции внутренним лимитам банка.</w:t>
      </w:r>
    </w:p>
    <w:p>
      <w:pPr>
        <w:jc w:val="both"/>
      </w:pPr>
      <w:r>
        <w:t xml:space="preserve">Вторая стадия — проверка и акцепт распоряжения банком. Банк проверяет наличие достаточного остатка на счёте плательщика, проводит контроль на соответствие законодательству о противодействии легализации преступных доходов (АМЛ-проверка), антифрод-мониторинг (проверка на признаки операции без согласия клиента), валютный контроль (для трансграничных переводов). В случае выявления подозрительных признаков перевод может быть приостановлен на срок до 2 рабочих дней с уведомлением клиента (статья 8 Закона № 161-ФЗ в редакции с 25 июля 2024 года).</w:t>
      </w:r>
    </w:p>
    <w:p>
      <w:pPr>
        <w:jc w:val="both"/>
      </w:pPr>
      <w:r>
        <w:t xml:space="preserve">Третья стадия — списание средств со счёта плательщика и формирование платёжного сообщения. На основании акцептованного распоряжения автоматизированная банковская система формирует бухгалтерскую проводку (Дебет 40702/40817 «Расчётные счета юридических/физических лиц» — Кредит 30102 «Корреспондентские счета кредитных организаций в Банке России» либо иной счёт в зависимости от маршрута платежа) и платёжное сообщение в формате ISO 20022 для дальнейшей передачи в платёжную систему.</w:t>
      </w:r>
    </w:p>
    <w:p>
      <w:pPr>
        <w:jc w:val="both"/>
      </w:pPr>
      <w:r>
        <w:t xml:space="preserve">Четвёртая стадия — маршрутизация и исполнение платежа в платёжной системе. В зависимости от вида перевода (внутрибанковский, межбанковский, трансграничный) маршрут исполнения различается:</w:t>
      </w:r>
    </w:p>
    <w:p>
      <w:pPr>
        <w:jc w:val="both"/>
      </w:pPr>
      <w:r>
        <w:t xml:space="preserve">— внутрибанковский перевод исполняется в рамках одной АБС банка путём одновременного списания со счёта плательщика и зачисления на счёт получателя; такой перевод занимает доли секунды и не требует обращения к внешним платёжным системам;</w:t>
      </w:r>
    </w:p>
    <w:p>
      <w:pPr>
        <w:jc w:val="both"/>
      </w:pPr>
      <w:r>
        <w:t xml:space="preserve">— межбанковский перевод в национальной валюте может быть исполнен через платёжную систему Банка России (срочный или несрочный сервис, СБП), либо через прямые корреспондентские отношения между банками (в современных условиях используется преимущественно для оптимизации расходов в крупных банках);</w:t>
      </w:r>
    </w:p>
    <w:p>
      <w:pPr>
        <w:jc w:val="both"/>
      </w:pPr>
      <w:r>
        <w:t xml:space="preserve">— трансграничный перевод в иностранной валюте исполняется через систему корреспондентских счетов в иностранных банках (для несанкционных банков) либо через альтернативные каналы: СПФС Банка России, китайскую систему CIPS, прямые корреспондентские отношения с банками дружественных государств.</w:t>
      </w:r>
    </w:p>
    <w:p>
      <w:pPr>
        <w:jc w:val="both"/>
      </w:pPr>
      <w:r>
        <w:t xml:space="preserve">Пятая стадия — зачисление средств получателю. Банк-получатель проверяет полученное платёжное сообщение, идентифицирует получателя по реквизитам счёта (номер счёта, ИНН, наименование), проводит АМЛ-проверку зачисления и формирует бухгалтерскую проводку по зачислению (Дебет 30102 — Кредит 40702/40817).</w:t>
      </w:r>
    </w:p>
    <w:p>
      <w:pPr>
        <w:jc w:val="both"/>
      </w:pPr>
      <w:r>
        <w:t xml:space="preserve">Шестая стадия — информирование клиентов. Банк-плательщик и банк- получатель информируют своих клиентов о совершённой операции посредством SMS, push-уведомлений в мобильном приложении, электронной почты, выписки по счёту.</w:t>
      </w:r>
    </w:p>
    <w:p>
      <w:pPr>
        <w:jc w:val="both"/>
      </w:pPr>
      <w:r>
        <w:t xml:space="preserve">Седьмая стадия — учёт и архивирование. Все операции отражаются в бухгалтерском учёте в соответствии с Положением Банка России № 579-П (План счетов бухгалтерского учёта для кредитных организаций), а данные о платежах сохраняются в системе банка не менее 5 лет в соответствии с требованиями Закона № 115-ФЗ.</w:t>
      </w:r>
    </w:p>
    <w:p>
      <w:pPr>
        <w:jc w:val="both"/>
      </w:pPr>
      <w:r>
        <w:t xml:space="preserve">Графически процесс прохождения межбанковского перевода через платёжную систему Банка России представлен на рисунке 1.3.1.</w:t>
      </w:r>
    </w:p>
    <w:p>
      <w:pPr>
        <w:spacing w:line="360" w:lineRule="auto" w:before="120" w:after="120"/>
        <w:ind w:firstLine="0"/>
        <w:jc w:val="center"/>
      </w:pPr>
      <w:r>
        <w:rPr>
          <w:i/>
          <w:iCs/>
        </w:rPr>
        <w:t xml:space="preserve">Рисунок 1.3.1 — Схема прохождения межбанковского перевода через платёжную систему Банка России</w:t>
      </w:r>
    </w:p>
    <w:p>
      <w:pPr>
        <w:jc w:val="both"/>
      </w:pPr>
      <w:r>
        <w:t xml:space="preserve">Для понимания технологической сложности современного перевода необходимо рассмотреть инфраструктуру платёжных систем, доступную коммерческим банкам Российской Федерации.</w:t>
      </w:r>
    </w:p>
    <w:p>
      <w:pPr>
        <w:jc w:val="both"/>
      </w:pPr>
      <w:r>
        <w:t xml:space="preserve">Платёжная система Банка России (ПС БР) — основная инфраструктура безналичных расчётов в стране. ПС БР включает несколько сервисов: сервис срочного перевода (СС) — используется для переводов в режиме реального времени; сервис несрочного перевода (НС) — обрабатывает платежи в течение операционного дня в режиме рейсовой обработки; сервис быстрых платежей (СБП) — обеспечивает переводы между физическими лицами и в пользу юридических лиц в режиме 24/7/365.</w:t>
      </w:r>
    </w:p>
    <w:p>
      <w:pPr>
        <w:jc w:val="both"/>
      </w:pPr>
      <w:r>
        <w:t xml:space="preserve">Система быстрых платежей запущена 28 января 2019 года и стала качественным прорывом в розничных переводах. По данным Банка России, к концу 2024 года к СБП были подключены свыше 230 кредитных организаций, ежегодное количество операций превысило 13 млрд, а объём — 70 трлн рублей. СБП обеспечивает мгновенный перевод (до 15 секунд) между счетами в разных банках с использованием номера мобильного телефона получателя в качестве уникального идентификатора. Бесплатный лимит для физических лиц составляет 100 тыс. рублей в месяц, что является существенным конкурентным преимуществом по сравнению с традиционными карточными переводами.</w:t>
      </w:r>
    </w:p>
    <w:p>
      <w:pPr>
        <w:jc w:val="both"/>
      </w:pPr>
      <w:r>
        <w:t xml:space="preserve">Помимо переводов между физическими лицами, СБП поддерживает сервисы C2B (оплата товаров и услуг в торговых точках по QR-коду или подписке), B2C (выплаты от юридических лиц физическим, например, страховые возмещения, выигрыши, кэшбэки), Me2Me (переводы между своими счетами в разных банках), B2B (переводы между юридическими лицами через СБП — запущены в 2023 году) и оплату в адрес бюджетной системы.</w:t>
      </w:r>
    </w:p>
    <w:p>
      <w:pPr>
        <w:jc w:val="both"/>
      </w:pPr>
      <w:r>
        <w:t xml:space="preserve">Карточные платёжные системы в Российской Федерации представлены национальной платёжной системой «Мир» (оператор — АО «Национальная система платёжных карт»), а также международными системами Visa и Mastercard, которые в 2022 году приостановили обслуживание карт, выпущенных российскими банками. Внутренние операции по картам Visa и Mastercard в России обрабатываются на базе НСПК. Система «Мир» осуществляет выпуск карт, обработку транзакций, переводы карта-к-карте, в том числе с использованием упрощённой формы СБП. К концу 2024 года эмиссия карт «Мир» превысила 350 млн штук, а доля национальной платёжной системы во внутрироссийском торговом обороте по картам достигла 77 %.</w:t>
      </w:r>
    </w:p>
    <w:p>
      <w:pPr>
        <w:jc w:val="both"/>
      </w:pPr>
      <w:r>
        <w:t xml:space="preserve">Система передачи финансовых сообщений Банка России (СПФС) является российским аналогом международной системы SWIFT и предназначена для обмена финансовыми сообщениями между участниками. СПФС создана в 2014 году в целях обеспечения бесперебойности межбанковских коммуникаций. К системе подключены около 580 участников, включая 156 нерезидентов из 20 стран по состоянию на конец 2024 года, что позволяет российским банкам выстраивать каналы трансграничных переводов в условиях санкций.</w:t>
      </w:r>
    </w:p>
    <w:p>
      <w:pPr>
        <w:jc w:val="both"/>
      </w:pPr>
      <w:r>
        <w:t xml:space="preserve">Графически архитектура национальной платёжной инфраструктуры России в части переводов представлена на рисунке 1.3.2.</w:t>
      </w:r>
    </w:p>
    <w:p>
      <w:pPr>
        <w:spacing w:line="360" w:lineRule="auto" w:before="120" w:after="120"/>
        <w:ind w:firstLine="0"/>
        <w:jc w:val="center"/>
      </w:pPr>
      <w:r>
        <w:rPr>
          <w:i/>
          <w:iCs/>
        </w:rPr>
        <w:t xml:space="preserve">Рисунок 1.3.2 — Архитектура национальной платёжной инфраструктуры Российской Федерации</w:t>
      </w:r>
    </w:p>
    <w:p>
      <w:pPr>
        <w:jc w:val="both"/>
      </w:pPr>
      <w:r>
        <w:t xml:space="preserve">Технологии перевода денежных средств можно систематизировать по нескольким направлениям.</w:t>
      </w:r>
    </w:p>
    <w:p>
      <w:pPr>
        <w:jc w:val="both"/>
      </w:pPr>
      <w:r>
        <w:t xml:space="preserve">Технологии инициирования платежа постоянно эволюционируют от бумажных и кассовых форм к цифровым. Современный коммерческий банк предоставляет клиентам набор инструментов: интернет-банкинг (веб-приложение), мобильный банкинг (приложения для смартфонов с биометрической авторизацией), голосовые ассистенты, чат-боты, оплата по QR-коду, NFC-платежи, токенизированные платежи через сервисы Mir Pay, SberPay, Tinkoff Pay. Уровень цифровизации переводов в России по состоянию на 2024 год является одним из самых высоких в мире: более 95 % розничных переводов осуществляется через цифровые каналы.</w:t>
      </w:r>
    </w:p>
    <w:p>
      <w:pPr>
        <w:jc w:val="both"/>
      </w:pPr>
      <w:r>
        <w:t xml:space="preserve">Технологии маршрутизации и обработки платежей включают автоматизированные клиринговые системы, расчёт в режиме реального времени (RTGS — Real-Time Gross Settlement), отложенный неттинг, а также распределённые реестры (DLT-технологии). Внедрение в 2023–2024 годах стандарта ISO 20022 обеспечило обогащённый обмен платёжной информацией, включающей сведения о цели платежа, участниках сделки, налоговых параметрах и т. п.</w:t>
      </w:r>
    </w:p>
    <w:p>
      <w:pPr>
        <w:jc w:val="both"/>
      </w:pPr>
      <w:r>
        <w:t xml:space="preserve">Технологии безопасности переводов основаны на применении средств криптографической защиты информации, многофакторной аутентификации (логин-пароль, SMS-код, биометрия, аппаратные токены), системах антифрод-мониторинга на базе искусственного интеллекта, биометрической идентификации с использованием Единой биометрической системы (ЕБС). С 2022 года Банк России развивает национальную базу мошеннических операций («ФинЦЕРТ»), к которой подключены все российские банки и через которую происходит обмен сведениями о подозрительных счетах и идентификаторах.</w:t>
      </w:r>
    </w:p>
    <w:p>
      <w:pPr>
        <w:jc w:val="both"/>
      </w:pPr>
      <w:r>
        <w:t xml:space="preserve">Технологии цифрового рубля, запущенные в пилотном режиме с 15 августа 2023 года, представляют собой принципиально новый тип переводов. Цифровой рубль — это третья форма национальной валюты (наряду с наличной и безналичной), эмитируемая Банком России и существующая в виде уникального цифрового кода на платформе Банка России. Кредитные организации выступают финансовыми посредниками, обеспечивая клиентам доступ к платформе. Переводы цифровых рублей осуществляются мгновенно и бесплатно для пользователей.</w:t>
      </w:r>
    </w:p>
    <w:p>
      <w:pPr>
        <w:jc w:val="both"/>
      </w:pPr>
      <w:r>
        <w:t xml:space="preserve">Учётно-операционные технологии в коммерческом банке базируются на автоматизированной банковской системе (АБС), которая обеспечивает все этапы обработки платежа — от приёма распоряжения до отражения в бухгалтерском учёте. Современные АБС российских банков (например, ЦФТ-Банк, RS-Bank, «Диасофт ФА», собственные разработки крупнейших банков) поддерживают онлайн-обработку миллионов транзакций в сутки, многофилиальный режим, подключение к различным платёжным шлюзам.</w:t>
      </w:r>
    </w:p>
    <w:p>
      <w:pPr>
        <w:jc w:val="both"/>
      </w:pPr>
      <w:r>
        <w:t xml:space="preserve">Особо необходимо рассмотреть технологии переводов в иностранной валюте. До 2022 года основным инструментом международных переводов выступала система SWIFT, обеспечивающая обмен финансовыми сообщениями между банками по всему миру. После введения санкций большинство крупных российских банков были отключены от SWIFT, что потребовало перестройки технологии трансграничных переводов. В современных условиях коммерческие банки используют:</w:t>
      </w:r>
    </w:p>
    <w:p>
      <w:pPr>
        <w:jc w:val="both"/>
      </w:pPr>
      <w:r>
        <w:t xml:space="preserve">— систему СПФС Банка России для расчётов с контрагентами в дружественных юрисдикциях;</w:t>
      </w:r>
    </w:p>
    <w:p>
      <w:pPr>
        <w:jc w:val="both"/>
      </w:pPr>
      <w:r>
        <w:t xml:space="preserve">— китайскую систему CIPS для расчётов в юанях с контрагентами в КНР и других странах;</w:t>
      </w:r>
    </w:p>
    <w:p>
      <w:pPr>
        <w:jc w:val="both"/>
      </w:pPr>
      <w:r>
        <w:t xml:space="preserve">— прямые корреспондентские отношения с банками дружественных стран (Турция, ОАЭ, Индия, страны СНГ) с обменом сообщениями по защищённым каналам;</w:t>
      </w:r>
    </w:p>
    <w:p>
      <w:pPr>
        <w:jc w:val="both"/>
      </w:pPr>
      <w:r>
        <w:t xml:space="preserve">— локальные платёжные шлюзы и интеграции на основе API.</w:t>
      </w:r>
    </w:p>
    <w:p>
      <w:pPr>
        <w:jc w:val="both"/>
      </w:pPr>
      <w:r>
        <w:t xml:space="preserve">Технологии переводов также включают аспекты противодействия несанкционированным операциям. Современный антифрод-мониторинг строится на машинном обучении и анализирует около 200 параметров каждой операции (геолокация, скорость ввода, история транзакций, типичный сценарий поведения клиента, IP-адрес устройства, время суток и др.). При выявлении признаков мошенничества система блокирует операцию и направляет клиенту запрос на подтверждение. Автоматическая блокировка по сравнению со звонком оператора сокращает время реагирования с десятков минут до миллисекунд, что существенно снижает потери клиентов от мошенничества.</w:t>
      </w:r>
    </w:p>
    <w:p>
      <w:pPr>
        <w:jc w:val="both"/>
      </w:pPr>
      <w:r>
        <w:t xml:space="preserve">Качество организации переводов в коммерческом банке характеризуется рядом ключевых показателей эффективности (KPI):</w:t>
      </w:r>
    </w:p>
    <w:p>
      <w:pPr>
        <w:jc w:val="both"/>
      </w:pPr>
      <w:r>
        <w:t xml:space="preserve">— скорость исполнения перевода (среднее время от приёма распоряжения до зачисления получателю);</w:t>
      </w:r>
    </w:p>
    <w:p>
      <w:pPr>
        <w:jc w:val="both"/>
      </w:pPr>
      <w:r>
        <w:t xml:space="preserve">— уровень доступности сервисов (uptime в процентах от общего времени работы);</w:t>
      </w:r>
    </w:p>
    <w:p>
      <w:pPr>
        <w:jc w:val="both"/>
      </w:pPr>
      <w:r>
        <w:t xml:space="preserve">— стоимость одной транзакции (себестоимость для банка и тариф для клиента);</w:t>
      </w:r>
    </w:p>
    <w:p>
      <w:pPr>
        <w:jc w:val="both"/>
      </w:pPr>
      <w:r>
        <w:t xml:space="preserve">— доля переводов, исполняемых через цифровые каналы;</w:t>
      </w:r>
    </w:p>
    <w:p>
      <w:pPr>
        <w:jc w:val="both"/>
      </w:pPr>
      <w:r>
        <w:t xml:space="preserve">— доля автоматически обработанных переводов (без участия оператора, STP — Straight-Through Processing);</w:t>
      </w:r>
    </w:p>
    <w:p>
      <w:pPr>
        <w:jc w:val="both"/>
      </w:pPr>
      <w:r>
        <w:t xml:space="preserve">— уровень несанкционированных операций (доля и объём мошеннических переводов);</w:t>
      </w:r>
    </w:p>
    <w:p>
      <w:pPr>
        <w:jc w:val="both"/>
      </w:pPr>
      <w:r>
        <w:t xml:space="preserve">— уровень удовлетворённости клиентов (NPS).</w:t>
      </w:r>
    </w:p>
    <w:p>
      <w:pPr>
        <w:jc w:val="both"/>
      </w:pPr>
      <w:r>
        <w:t xml:space="preserve">Для крупного российского банка целевые значения этих показателей составляют: скорость для большинства переводов — не более 15 секунд; uptime — 99,99 % и выше; доля цифровых каналов — выше 95 %; доля STP — выше 99 %; доля несанкционированных операций — менее 0,002 % от общего объёма.</w:t>
      </w:r>
    </w:p>
    <w:p>
      <w:pPr>
        <w:jc w:val="both"/>
      </w:pPr>
      <w:r>
        <w:t xml:space="preserve">В целом современный коммерческий банк функционирует как многоуровневая платёжная инфраструктура, в которой переводы являются одним из важнейших технологических процессов и одновременно — массовым продуктом для клиентов. Эффективная организация переводов требует баланса между скоростью, безопасностью, стоимостью и удобством, что предъявляет высокие требования к управленческим, технологическим и кадровым ресурсам банка.</w:t>
      </w:r>
    </w:p>
    <w:p>
      <w:pPr>
        <w:jc w:val="both"/>
      </w:pPr>
      <w:r>
        <w:t xml:space="preserve">Подводя итог рассмотрению теоретических основ организации переводов денежных средств в коммерческих банках, можно сформулировать следующие основные выводы первой главы.</w:t>
      </w:r>
    </w:p>
    <w:p>
      <w:pPr>
        <w:jc w:val="both"/>
      </w:pPr>
      <w:r>
        <w:t xml:space="preserve">Во-первых, перевод денежных средств представляет собой комплексное экономико-правовое явление, объединяющее юридическую сделку, бухгалтерскую операцию, технологическую процедуру и банковскую услугу. Видовое многообразие переводов отражает сложность современного платёжного оборота и обусловливает необходимость дифференцированного подхода со стороны коммерческого банка.</w:t>
      </w:r>
    </w:p>
    <w:p>
      <w:pPr>
        <w:jc w:val="both"/>
      </w:pPr>
      <w:r>
        <w:t xml:space="preserve">Во-вторых, нормативно-правовая база переводов в Российской Федерации является многоуровневой и динамичной. Основу регулирования составляют Гражданский кодекс РФ, Федеральные законы № 161-ФЗ, № 395-1, № 86-ФЗ, № 115-ФЗ, № 152-ФЗ, № 173-ФЗ, а также положения Банка России (№ 762-П, № 732-П, № 683-П, № 829-П и др.). За последние годы законодательство существенно изменилось в связи с развитием цифровых форм денег, противодействием мошенничеству и адаптацией к санкционным ограничениям.</w:t>
      </w:r>
    </w:p>
    <w:p>
      <w:pPr>
        <w:jc w:val="both"/>
      </w:pPr>
      <w:r>
        <w:t xml:space="preserve">В-третьих, организация переводов в коммерческом банке представляет собой сложный технологический процесс, опирающийся на национальную и международную платёжную инфраструктуру: платёжную систему Банка России, СБП, СПФС, систему «Мир», а также прямые корреспондентские отношения. Цифровизация и автоматизация позволили достичь высоких показателей скорости, надёжности и доступности переводов; вместе с тем сохраняются существенные вызовы, связанные с кибербезопасностью, санкционными ограничениями и поддержанием конкурентоспособности традиционных банков на фоне развития финтех-сегмента.</w:t>
      </w:r>
    </w:p>
    <w:p>
      <w:pPr>
        <w:jc w:val="both"/>
      </w:pPr>
      <w:r>
        <w:t xml:space="preserve">Сформулированные теоретические положения создают основу для проведения практического анализа организации переводов денежных средств клиентов в одном из крупнейших коммерческих банков страны — ПАО «Сбербанк», которому посвящена вторая глава выпускной квалификационной работы.</w:t>
      </w:r>
    </w:p>
    <w:p>
      <w:pPr>
        <w:pStyle w:val="Heading1"/>
        <w:pageBreakBefore/>
        <w:ind w:firstLine="0"/>
        <w:jc w:val="center"/>
      </w:pPr>
      <w:r>
        <w:rPr>
          <w:b/>
          <w:bCs/>
        </w:rPr>
        <w:t xml:space="preserve">2 АНАЛИЗ И СОВЕРШЕНСТВОВАНИЕ ПЕРЕВОДОВ ДЕНЕЖНЫХ СРЕДСТВ КЛИЕНТОВ НА ПРИМЕРЕ ПАО «СБЕРБАНК»</w:t>
      </w:r>
    </w:p>
    <w:p>
      <w:pPr>
        <w:pStyle w:val="Heading2"/>
        <w:spacing w:line="360" w:lineRule="auto" w:before="240" w:after="120"/>
        <w:jc w:val="left"/>
      </w:pPr>
      <w:r>
        <w:rPr>
          <w:b/>
          <w:bCs/>
        </w:rPr>
        <w:t xml:space="preserve">2.1 Организационно-экономическая характеристика ПАО «Сбербанк»</w:t>
      </w:r>
    </w:p>
    <w:p>
      <w:pPr>
        <w:jc w:val="both"/>
      </w:pPr>
      <w:r>
        <w:t xml:space="preserve">Публичное акционерное общество «Сбербанк России» (полное фирменное наименование — Публичное акционерное общество «Сбербанк России», сокращённое — ПАО «Сбербанк») является крупнейшей кредитной организацией Российской Федерации и одним из ключевых системообразующих банков национальной финансовой системы. История банка ведёт отсчёт с 1841 года, когда указом императора Николая I были учреждены первые сберегательные кассы при Санкт-Петербургской и Московской сохранных казнах. В современном виде Сбербанк сформирован в 1991 году в результате преобразования Сберегательного банка СССР. С 2015 года используется обновлённый бренд «Сбербанк», с 2020 года — «Сбер» как единая экосистемная марка.</w:t>
      </w:r>
    </w:p>
    <w:p>
      <w:pPr>
        <w:jc w:val="both"/>
      </w:pPr>
      <w:r>
        <w:t xml:space="preserve">Юридический адрес головного офиса банка: 117997, г. Москва, ул. Вавилова, 19. Регистрационный номер в Банке России — 1481, основной государственный регистрационный номер (ОГРН) — 1027700132195, идентификационный номер налогоплательщика (ИНН) — 7707083893. Банк действует на основании Генеральной лицензии Банка России на осуществление банковских операций № 1481 от 11 августа 2015 года, имеет лицензии профессионального участника рынка ценных бумаг на осуществление брокерской, дилерской, депозитарной деятельности и деятельности по управлению ценными бумагами [39].</w:t>
      </w:r>
    </w:p>
    <w:p>
      <w:pPr>
        <w:jc w:val="both"/>
      </w:pPr>
      <w:r>
        <w:t xml:space="preserve">Уставный капитал банка составляет 67,76 млрд рублей и состоит из 21 586 948 000 обыкновенных акций номинальной стоимостью 3 рубля и 1 000 000 000 привилегированных акций номинальной стоимостью 3 рубля. Контрольный пакет акций (50 % + 1 акция) принадлежит Министерству финансов Российской Федерации (передан от Банка России в 2020 году). Около 47,3 % акций обращаются на Московской бирже и принадлежат российским и иностранным инвесторам [39].</w:t>
      </w:r>
    </w:p>
    <w:p>
      <w:pPr>
        <w:jc w:val="both"/>
      </w:pPr>
      <w:r>
        <w:t xml:space="preserve">Организационная структура ПАО «Сбербанк» построена по территориально-функциональному принципу и включает:</w:t>
      </w:r>
    </w:p>
    <w:p>
      <w:pPr>
        <w:jc w:val="both"/>
      </w:pPr>
      <w:r>
        <w:t xml:space="preserve">— центральный аппарат (головной офис) в Москве;</w:t>
      </w:r>
    </w:p>
    <w:p>
      <w:pPr>
        <w:jc w:val="both"/>
      </w:pPr>
      <w:r>
        <w:t xml:space="preserve">— 11 территориальных банков, охватывающих федеральные округа Российской Федерации (Центральный, Северо-Западный, Волго- Вятский, Поволжский, Уральский, Сибирский, Дальневосточный и др.);</w:t>
      </w:r>
    </w:p>
    <w:p>
      <w:pPr>
        <w:jc w:val="both"/>
      </w:pPr>
      <w:r>
        <w:t xml:space="preserve">— региональные отделения, входящие в состав территориальных банков;</w:t>
      </w:r>
    </w:p>
    <w:p>
      <w:pPr>
        <w:jc w:val="both"/>
      </w:pPr>
      <w:r>
        <w:t xml:space="preserve">— внутренние структурные подразделения (дополнительные офисы, операционные кассы, передвижные пункты кассовых операций, выносные офисы);</w:t>
      </w:r>
    </w:p>
    <w:p>
      <w:pPr>
        <w:jc w:val="both"/>
      </w:pPr>
      <w:r>
        <w:t xml:space="preserve">— дочерние и зависимые общества (банки в странах СНГ и дальнего зарубежья, страховые, лизинговые, управляющие компании, технологические компании экосистемы).</w:t>
      </w:r>
    </w:p>
    <w:p>
      <w:pPr>
        <w:jc w:val="both"/>
      </w:pPr>
      <w:r>
        <w:t xml:space="preserve">По состоянию на конец 2024 года ПАО «Сбербанк» имеет 13 100 структурных подразделений на территории России, обслуживает свыше 110 млн розничных клиентов и более 3,2 млн корпоративных клиентов. Численность персонала превышает 210 тыс. человек.</w:t>
      </w:r>
    </w:p>
    <w:p>
      <w:pPr>
        <w:jc w:val="both"/>
      </w:pPr>
      <w:r>
        <w:t xml:space="preserve">Сбербанк является системно значимым банком в соответствии с Указанием Банка России от 22 июля 2015 г. № 3737-У, относится к 1-му классу качества (наивысшая надёжность). По размеру активов банк удерживает первое место в банковской системе России на протяжении последних трёх десятилетий, аккумулируя около трети совокупных активов банковского сектора.</w:t>
      </w:r>
    </w:p>
    <w:p>
      <w:pPr>
        <w:jc w:val="both"/>
      </w:pPr>
      <w:r>
        <w:t xml:space="preserve">Банк обладает развитой продуктовой линейкой и предоставляет полный спектр банковских услуг: расчётно-кассовое обслуживание физических и юридических лиц, кредитование, привлечение вкладов и депозитов, операции с ценными бумагами и иностранной валютой, эквайринг, банковские карты, переводы денежных средств, инвестиционно-банковские услуги. С 2017 года Сбербанк активно развивает экосистему «Сбер», включающую небанковские сервисы: «Сбермаркет», «Самокат», «Окко», «Звук», «СберЗдоровье», «Сберлогистика», цифровые сервисы «ГигаЧат», «Кандинский» и др.</w:t>
      </w:r>
    </w:p>
    <w:p>
      <w:pPr>
        <w:jc w:val="both"/>
      </w:pPr>
      <w:r>
        <w:t xml:space="preserve">Финансово-экономическая характеристика банка может быть дана на основе ключевых показателей бухгалтерского баланса и отчёта о финансовых результатах за 2022–2024 годы (по данным консолидированной финансовой отчётности по МСФО). Динамика основных показателей деятельности ПАО «Сбербанк» представлена в таблице 2.1.1.</w:t>
      </w:r>
    </w:p>
    <w:p>
      <w:pPr>
        <w:spacing w:line="360" w:lineRule="auto" w:before="120" w:after="60"/>
        <w:ind w:firstLine="0"/>
        <w:jc w:val="left"/>
      </w:pPr>
      <w:r>
        <w:t xml:space="preserve">Таблица 2.1.1 — Основные финансовые показатели ПАО «Сбербанк» за 2022–2024 гг., млрд руб.</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Показатель</w:t>
            </w:r>
          </w:p>
        </w:tc>
        <w:tc>
          <w:tcPr>
            <w:tcW w:w="1927" w:type="dxa"/>
          </w:tcPr>
          <w:p>
            <w:pPr>
              <w:spacing w:line="240" w:lineRule="auto" w:before="0" w:after="0"/>
              <w:ind w:firstLine="0"/>
              <w:jc w:val="center"/>
            </w:pPr>
            <w:r>
              <w:rPr>
                <w:rFonts w:ascii="Times New Roman" w:hAnsi="Times New Roman"/>
                <w:sz w:val="24"/>
                <w:szCs w:val="24"/>
                <w:b/>
                <w:bCs/>
              </w:rPr>
              <w:t xml:space="preserve">2022</w:t>
            </w:r>
          </w:p>
        </w:tc>
        <w:tc>
          <w:tcPr>
            <w:tcW w:w="1927" w:type="dxa"/>
          </w:tcPr>
          <w:p>
            <w:pPr>
              <w:spacing w:line="240" w:lineRule="auto" w:before="0" w:after="0"/>
              <w:ind w:firstLine="0"/>
              <w:jc w:val="center"/>
            </w:pPr>
            <w:r>
              <w:rPr>
                <w:rFonts w:ascii="Times New Roman" w:hAnsi="Times New Roman"/>
                <w:sz w:val="24"/>
                <w:szCs w:val="24"/>
                <w:b/>
                <w:bCs/>
              </w:rPr>
              <w:t xml:space="preserve">2023</w:t>
            </w:r>
          </w:p>
        </w:tc>
        <w:tc>
          <w:tcPr>
            <w:tcW w:w="1927" w:type="dxa"/>
          </w:tcPr>
          <w:p>
            <w:pPr>
              <w:spacing w:line="240" w:lineRule="auto" w:before="0" w:after="0"/>
              <w:ind w:firstLine="0"/>
              <w:jc w:val="center"/>
            </w:pPr>
            <w:r>
              <w:rPr>
                <w:rFonts w:ascii="Times New Roman" w:hAnsi="Times New Roman"/>
                <w:sz w:val="24"/>
                <w:szCs w:val="24"/>
                <w:b/>
                <w:bCs/>
              </w:rPr>
              <w:t xml:space="preserve">2024</w:t>
            </w:r>
          </w:p>
        </w:tc>
        <w:tc>
          <w:tcPr>
            <w:tcW w:w="1927" w:type="dxa"/>
          </w:tcPr>
          <w:p>
            <w:pPr>
              <w:spacing w:line="240" w:lineRule="auto" w:before="0" w:after="0"/>
              <w:ind w:firstLine="0"/>
              <w:jc w:val="center"/>
            </w:pPr>
            <w:r>
              <w:rPr>
                <w:rFonts w:ascii="Times New Roman" w:hAnsi="Times New Roman"/>
                <w:sz w:val="24"/>
                <w:szCs w:val="24"/>
                <w:b/>
                <w:bCs/>
              </w:rPr>
              <w:t xml:space="preserve">Темп роста 2024/2022, %</w:t>
            </w:r>
          </w:p>
        </w:tc>
      </w:tr>
      <w:tr>
        <w:tc>
          <w:tcPr>
            <w:tcW w:w="1927" w:type="dxa"/>
          </w:tcPr>
          <w:p>
            <w:pPr>
              <w:spacing w:line="240" w:lineRule="auto" w:before="0" w:after="0"/>
              <w:ind w:firstLine="0"/>
              <w:jc w:val="left"/>
            </w:pPr>
            <w:r>
              <w:rPr>
                <w:rFonts w:ascii="Times New Roman" w:hAnsi="Times New Roman"/>
                <w:sz w:val="24"/>
                <w:szCs w:val="24"/>
              </w:rPr>
              <w:t xml:space="preserve">Активы</w:t>
            </w:r>
          </w:p>
        </w:tc>
        <w:tc>
          <w:tcPr>
            <w:tcW w:w="1927" w:type="dxa"/>
          </w:tcPr>
          <w:p>
            <w:pPr>
              <w:spacing w:line="240" w:lineRule="auto" w:before="0" w:after="0"/>
              <w:ind w:firstLine="0"/>
              <w:jc w:val="left"/>
            </w:pPr>
            <w:r>
              <w:rPr>
                <w:rFonts w:ascii="Times New Roman" w:hAnsi="Times New Roman"/>
                <w:sz w:val="24"/>
                <w:szCs w:val="24"/>
              </w:rPr>
              <w:t xml:space="preserve">41 726</w:t>
            </w:r>
          </w:p>
        </w:tc>
        <w:tc>
          <w:tcPr>
            <w:tcW w:w="1927" w:type="dxa"/>
          </w:tcPr>
          <w:p>
            <w:pPr>
              <w:spacing w:line="240" w:lineRule="auto" w:before="0" w:after="0"/>
              <w:ind w:firstLine="0"/>
              <w:jc w:val="left"/>
            </w:pPr>
            <w:r>
              <w:rPr>
                <w:rFonts w:ascii="Times New Roman" w:hAnsi="Times New Roman"/>
                <w:sz w:val="24"/>
                <w:szCs w:val="24"/>
              </w:rPr>
              <w:t xml:space="preserve">51 687</w:t>
            </w:r>
          </w:p>
        </w:tc>
        <w:tc>
          <w:tcPr>
            <w:tcW w:w="1927" w:type="dxa"/>
          </w:tcPr>
          <w:p>
            <w:pPr>
              <w:spacing w:line="240" w:lineRule="auto" w:before="0" w:after="0"/>
              <w:ind w:firstLine="0"/>
              <w:jc w:val="left"/>
            </w:pPr>
            <w:r>
              <w:rPr>
                <w:rFonts w:ascii="Times New Roman" w:hAnsi="Times New Roman"/>
                <w:sz w:val="24"/>
                <w:szCs w:val="24"/>
              </w:rPr>
              <w:t xml:space="preserve">56 822</w:t>
            </w:r>
          </w:p>
        </w:tc>
        <w:tc>
          <w:tcPr>
            <w:tcW w:w="1927" w:type="dxa"/>
          </w:tcPr>
          <w:p>
            <w:pPr>
              <w:spacing w:line="240" w:lineRule="auto" w:before="0" w:after="0"/>
              <w:ind w:firstLine="0"/>
              <w:jc w:val="left"/>
            </w:pPr>
            <w:r>
              <w:rPr>
                <w:rFonts w:ascii="Times New Roman" w:hAnsi="Times New Roman"/>
                <w:sz w:val="24"/>
                <w:szCs w:val="24"/>
              </w:rPr>
              <w:t xml:space="preserve">136,2</w:t>
            </w:r>
          </w:p>
        </w:tc>
      </w:tr>
      <w:tr>
        <w:tc>
          <w:tcPr>
            <w:tcW w:w="1927" w:type="dxa"/>
          </w:tcPr>
          <w:p>
            <w:pPr>
              <w:spacing w:line="240" w:lineRule="auto" w:before="0" w:after="0"/>
              <w:ind w:firstLine="0"/>
              <w:jc w:val="left"/>
            </w:pPr>
            <w:r>
              <w:rPr>
                <w:rFonts w:ascii="Times New Roman" w:hAnsi="Times New Roman"/>
                <w:sz w:val="24"/>
                <w:szCs w:val="24"/>
              </w:rPr>
              <w:t xml:space="preserve">Кредитный портфель (брутто)</w:t>
            </w:r>
          </w:p>
        </w:tc>
        <w:tc>
          <w:tcPr>
            <w:tcW w:w="1927" w:type="dxa"/>
          </w:tcPr>
          <w:p>
            <w:pPr>
              <w:spacing w:line="240" w:lineRule="auto" w:before="0" w:after="0"/>
              <w:ind w:firstLine="0"/>
              <w:jc w:val="left"/>
            </w:pPr>
            <w:r>
              <w:rPr>
                <w:rFonts w:ascii="Times New Roman" w:hAnsi="Times New Roman"/>
                <w:sz w:val="24"/>
                <w:szCs w:val="24"/>
              </w:rPr>
              <w:t xml:space="preserve">29 476</w:t>
            </w:r>
          </w:p>
        </w:tc>
        <w:tc>
          <w:tcPr>
            <w:tcW w:w="1927" w:type="dxa"/>
          </w:tcPr>
          <w:p>
            <w:pPr>
              <w:spacing w:line="240" w:lineRule="auto" w:before="0" w:after="0"/>
              <w:ind w:firstLine="0"/>
              <w:jc w:val="left"/>
            </w:pPr>
            <w:r>
              <w:rPr>
                <w:rFonts w:ascii="Times New Roman" w:hAnsi="Times New Roman"/>
                <w:sz w:val="24"/>
                <w:szCs w:val="24"/>
              </w:rPr>
              <w:t xml:space="preserve">36 043</w:t>
            </w:r>
          </w:p>
        </w:tc>
        <w:tc>
          <w:tcPr>
            <w:tcW w:w="1927" w:type="dxa"/>
          </w:tcPr>
          <w:p>
            <w:pPr>
              <w:spacing w:line="240" w:lineRule="auto" w:before="0" w:after="0"/>
              <w:ind w:firstLine="0"/>
              <w:jc w:val="left"/>
            </w:pPr>
            <w:r>
              <w:rPr>
                <w:rFonts w:ascii="Times New Roman" w:hAnsi="Times New Roman"/>
                <w:sz w:val="24"/>
                <w:szCs w:val="24"/>
              </w:rPr>
              <w:t xml:space="preserve">41 121</w:t>
            </w:r>
          </w:p>
        </w:tc>
        <w:tc>
          <w:tcPr>
            <w:tcW w:w="1927" w:type="dxa"/>
          </w:tcPr>
          <w:p>
            <w:pPr>
              <w:spacing w:line="240" w:lineRule="auto" w:before="0" w:after="0"/>
              <w:ind w:firstLine="0"/>
              <w:jc w:val="left"/>
            </w:pPr>
            <w:r>
              <w:rPr>
                <w:rFonts w:ascii="Times New Roman" w:hAnsi="Times New Roman"/>
                <w:sz w:val="24"/>
                <w:szCs w:val="24"/>
              </w:rPr>
              <w:t xml:space="preserve">139,5</w:t>
            </w:r>
          </w:p>
        </w:tc>
      </w:tr>
      <w:tr>
        <w:tc>
          <w:tcPr>
            <w:tcW w:w="1927" w:type="dxa"/>
          </w:tcPr>
          <w:p>
            <w:pPr>
              <w:spacing w:line="240" w:lineRule="auto" w:before="0" w:after="0"/>
              <w:ind w:firstLine="0"/>
              <w:jc w:val="left"/>
            </w:pPr>
            <w:r>
              <w:rPr>
                <w:rFonts w:ascii="Times New Roman" w:hAnsi="Times New Roman"/>
                <w:sz w:val="24"/>
                <w:szCs w:val="24"/>
              </w:rPr>
              <w:t xml:space="preserve">Средства клиентов</w:t>
            </w:r>
          </w:p>
        </w:tc>
        <w:tc>
          <w:tcPr>
            <w:tcW w:w="1927" w:type="dxa"/>
          </w:tcPr>
          <w:p>
            <w:pPr>
              <w:spacing w:line="240" w:lineRule="auto" w:before="0" w:after="0"/>
              <w:ind w:firstLine="0"/>
              <w:jc w:val="left"/>
            </w:pPr>
            <w:r>
              <w:rPr>
                <w:rFonts w:ascii="Times New Roman" w:hAnsi="Times New Roman"/>
                <w:sz w:val="24"/>
                <w:szCs w:val="24"/>
              </w:rPr>
              <w:t xml:space="preserve">28 393</w:t>
            </w:r>
          </w:p>
        </w:tc>
        <w:tc>
          <w:tcPr>
            <w:tcW w:w="1927" w:type="dxa"/>
          </w:tcPr>
          <w:p>
            <w:pPr>
              <w:spacing w:line="240" w:lineRule="auto" w:before="0" w:after="0"/>
              <w:ind w:firstLine="0"/>
              <w:jc w:val="left"/>
            </w:pPr>
            <w:r>
              <w:rPr>
                <w:rFonts w:ascii="Times New Roman" w:hAnsi="Times New Roman"/>
                <w:sz w:val="24"/>
                <w:szCs w:val="24"/>
              </w:rPr>
              <w:t xml:space="preserve">36 991</w:t>
            </w:r>
          </w:p>
        </w:tc>
        <w:tc>
          <w:tcPr>
            <w:tcW w:w="1927" w:type="dxa"/>
          </w:tcPr>
          <w:p>
            <w:pPr>
              <w:spacing w:line="240" w:lineRule="auto" w:before="0" w:after="0"/>
              <w:ind w:firstLine="0"/>
              <w:jc w:val="left"/>
            </w:pPr>
            <w:r>
              <w:rPr>
                <w:rFonts w:ascii="Times New Roman" w:hAnsi="Times New Roman"/>
                <w:sz w:val="24"/>
                <w:szCs w:val="24"/>
              </w:rPr>
              <w:t xml:space="preserve">41 388</w:t>
            </w:r>
          </w:p>
        </w:tc>
        <w:tc>
          <w:tcPr>
            <w:tcW w:w="1927" w:type="dxa"/>
          </w:tcPr>
          <w:p>
            <w:pPr>
              <w:spacing w:line="240" w:lineRule="auto" w:before="0" w:after="0"/>
              <w:ind w:firstLine="0"/>
              <w:jc w:val="left"/>
            </w:pPr>
            <w:r>
              <w:rPr>
                <w:rFonts w:ascii="Times New Roman" w:hAnsi="Times New Roman"/>
                <w:sz w:val="24"/>
                <w:szCs w:val="24"/>
              </w:rPr>
              <w:t xml:space="preserve">145,8</w:t>
            </w:r>
          </w:p>
        </w:tc>
      </w:tr>
      <w:tr>
        <w:tc>
          <w:tcPr>
            <w:tcW w:w="1927" w:type="dxa"/>
          </w:tcPr>
          <w:p>
            <w:pPr>
              <w:spacing w:line="240" w:lineRule="auto" w:before="0" w:after="0"/>
              <w:ind w:firstLine="0"/>
              <w:jc w:val="left"/>
            </w:pPr>
            <w:r>
              <w:rPr>
                <w:rFonts w:ascii="Times New Roman" w:hAnsi="Times New Roman"/>
                <w:sz w:val="24"/>
                <w:szCs w:val="24"/>
              </w:rPr>
              <w:t xml:space="preserve">Собственный капитал</w:t>
            </w:r>
          </w:p>
        </w:tc>
        <w:tc>
          <w:tcPr>
            <w:tcW w:w="1927" w:type="dxa"/>
          </w:tcPr>
          <w:p>
            <w:pPr>
              <w:spacing w:line="240" w:lineRule="auto" w:before="0" w:after="0"/>
              <w:ind w:firstLine="0"/>
              <w:jc w:val="left"/>
            </w:pPr>
            <w:r>
              <w:rPr>
                <w:rFonts w:ascii="Times New Roman" w:hAnsi="Times New Roman"/>
                <w:sz w:val="24"/>
                <w:szCs w:val="24"/>
              </w:rPr>
              <w:t xml:space="preserve">5 815</w:t>
            </w:r>
          </w:p>
        </w:tc>
        <w:tc>
          <w:tcPr>
            <w:tcW w:w="1927" w:type="dxa"/>
          </w:tcPr>
          <w:p>
            <w:pPr>
              <w:spacing w:line="240" w:lineRule="auto" w:before="0" w:after="0"/>
              <w:ind w:firstLine="0"/>
              <w:jc w:val="left"/>
            </w:pPr>
            <w:r>
              <w:rPr>
                <w:rFonts w:ascii="Times New Roman" w:hAnsi="Times New Roman"/>
                <w:sz w:val="24"/>
                <w:szCs w:val="24"/>
              </w:rPr>
              <w:t xml:space="preserve">6 537</w:t>
            </w:r>
          </w:p>
        </w:tc>
        <w:tc>
          <w:tcPr>
            <w:tcW w:w="1927" w:type="dxa"/>
          </w:tcPr>
          <w:p>
            <w:pPr>
              <w:spacing w:line="240" w:lineRule="auto" w:before="0" w:after="0"/>
              <w:ind w:firstLine="0"/>
              <w:jc w:val="left"/>
            </w:pPr>
            <w:r>
              <w:rPr>
                <w:rFonts w:ascii="Times New Roman" w:hAnsi="Times New Roman"/>
                <w:sz w:val="24"/>
                <w:szCs w:val="24"/>
              </w:rPr>
              <w:t xml:space="preserve">7 458</w:t>
            </w:r>
          </w:p>
        </w:tc>
        <w:tc>
          <w:tcPr>
            <w:tcW w:w="1927" w:type="dxa"/>
          </w:tcPr>
          <w:p>
            <w:pPr>
              <w:spacing w:line="240" w:lineRule="auto" w:before="0" w:after="0"/>
              <w:ind w:firstLine="0"/>
              <w:jc w:val="left"/>
            </w:pPr>
            <w:r>
              <w:rPr>
                <w:rFonts w:ascii="Times New Roman" w:hAnsi="Times New Roman"/>
                <w:sz w:val="24"/>
                <w:szCs w:val="24"/>
              </w:rPr>
              <w:t xml:space="preserve">128,2</w:t>
            </w:r>
          </w:p>
        </w:tc>
      </w:tr>
      <w:tr>
        <w:tc>
          <w:tcPr>
            <w:tcW w:w="1927" w:type="dxa"/>
          </w:tcPr>
          <w:p>
            <w:pPr>
              <w:spacing w:line="240" w:lineRule="auto" w:before="0" w:after="0"/>
              <w:ind w:firstLine="0"/>
              <w:jc w:val="left"/>
            </w:pPr>
            <w:r>
              <w:rPr>
                <w:rFonts w:ascii="Times New Roman" w:hAnsi="Times New Roman"/>
                <w:sz w:val="24"/>
                <w:szCs w:val="24"/>
              </w:rPr>
              <w:t xml:space="preserve">Чистые процентные доходы</w:t>
            </w:r>
          </w:p>
        </w:tc>
        <w:tc>
          <w:tcPr>
            <w:tcW w:w="1927" w:type="dxa"/>
          </w:tcPr>
          <w:p>
            <w:pPr>
              <w:spacing w:line="240" w:lineRule="auto" w:before="0" w:after="0"/>
              <w:ind w:firstLine="0"/>
              <w:jc w:val="left"/>
            </w:pPr>
            <w:r>
              <w:rPr>
                <w:rFonts w:ascii="Times New Roman" w:hAnsi="Times New Roman"/>
                <w:sz w:val="24"/>
                <w:szCs w:val="24"/>
              </w:rPr>
              <w:t xml:space="preserve">1 875</w:t>
            </w:r>
          </w:p>
        </w:tc>
        <w:tc>
          <w:tcPr>
            <w:tcW w:w="1927" w:type="dxa"/>
          </w:tcPr>
          <w:p>
            <w:pPr>
              <w:spacing w:line="240" w:lineRule="auto" w:before="0" w:after="0"/>
              <w:ind w:firstLine="0"/>
              <w:jc w:val="left"/>
            </w:pPr>
            <w:r>
              <w:rPr>
                <w:rFonts w:ascii="Times New Roman" w:hAnsi="Times New Roman"/>
                <w:sz w:val="24"/>
                <w:szCs w:val="24"/>
              </w:rPr>
              <w:t xml:space="preserve">2 565</w:t>
            </w:r>
          </w:p>
        </w:tc>
        <w:tc>
          <w:tcPr>
            <w:tcW w:w="1927" w:type="dxa"/>
          </w:tcPr>
          <w:p>
            <w:pPr>
              <w:spacing w:line="240" w:lineRule="auto" w:before="0" w:after="0"/>
              <w:ind w:firstLine="0"/>
              <w:jc w:val="left"/>
            </w:pPr>
            <w:r>
              <w:rPr>
                <w:rFonts w:ascii="Times New Roman" w:hAnsi="Times New Roman"/>
                <w:sz w:val="24"/>
                <w:szCs w:val="24"/>
              </w:rPr>
              <w:t xml:space="preserve">3 097</w:t>
            </w:r>
          </w:p>
        </w:tc>
        <w:tc>
          <w:tcPr>
            <w:tcW w:w="1927" w:type="dxa"/>
          </w:tcPr>
          <w:p>
            <w:pPr>
              <w:spacing w:line="240" w:lineRule="auto" w:before="0" w:after="0"/>
              <w:ind w:firstLine="0"/>
              <w:jc w:val="left"/>
            </w:pPr>
            <w:r>
              <w:rPr>
                <w:rFonts w:ascii="Times New Roman" w:hAnsi="Times New Roman"/>
                <w:sz w:val="24"/>
                <w:szCs w:val="24"/>
              </w:rPr>
              <w:t xml:space="preserve">165,2</w:t>
            </w:r>
          </w:p>
        </w:tc>
      </w:tr>
      <w:tr>
        <w:tc>
          <w:tcPr>
            <w:tcW w:w="1927" w:type="dxa"/>
          </w:tcPr>
          <w:p>
            <w:pPr>
              <w:spacing w:line="240" w:lineRule="auto" w:before="0" w:after="0"/>
              <w:ind w:firstLine="0"/>
              <w:jc w:val="left"/>
            </w:pPr>
            <w:r>
              <w:rPr>
                <w:rFonts w:ascii="Times New Roman" w:hAnsi="Times New Roman"/>
                <w:sz w:val="24"/>
                <w:szCs w:val="24"/>
              </w:rPr>
              <w:t xml:space="preserve">Чистые комиссионные доходы</w:t>
            </w:r>
          </w:p>
        </w:tc>
        <w:tc>
          <w:tcPr>
            <w:tcW w:w="1927" w:type="dxa"/>
          </w:tcPr>
          <w:p>
            <w:pPr>
              <w:spacing w:line="240" w:lineRule="auto" w:before="0" w:after="0"/>
              <w:ind w:firstLine="0"/>
              <w:jc w:val="left"/>
            </w:pPr>
            <w:r>
              <w:rPr>
                <w:rFonts w:ascii="Times New Roman" w:hAnsi="Times New Roman"/>
                <w:sz w:val="24"/>
                <w:szCs w:val="24"/>
              </w:rPr>
              <w:t xml:space="preserve">697</w:t>
            </w:r>
          </w:p>
        </w:tc>
        <w:tc>
          <w:tcPr>
            <w:tcW w:w="1927" w:type="dxa"/>
          </w:tcPr>
          <w:p>
            <w:pPr>
              <w:spacing w:line="240" w:lineRule="auto" w:before="0" w:after="0"/>
              <w:ind w:firstLine="0"/>
              <w:jc w:val="left"/>
            </w:pPr>
            <w:r>
              <w:rPr>
                <w:rFonts w:ascii="Times New Roman" w:hAnsi="Times New Roman"/>
                <w:sz w:val="24"/>
                <w:szCs w:val="24"/>
              </w:rPr>
              <w:t xml:space="preserve">764</w:t>
            </w:r>
          </w:p>
        </w:tc>
        <w:tc>
          <w:tcPr>
            <w:tcW w:w="1927" w:type="dxa"/>
          </w:tcPr>
          <w:p>
            <w:pPr>
              <w:spacing w:line="240" w:lineRule="auto" w:before="0" w:after="0"/>
              <w:ind w:firstLine="0"/>
              <w:jc w:val="left"/>
            </w:pPr>
            <w:r>
              <w:rPr>
                <w:rFonts w:ascii="Times New Roman" w:hAnsi="Times New Roman"/>
                <w:sz w:val="24"/>
                <w:szCs w:val="24"/>
              </w:rPr>
              <w:t xml:space="preserve">843</w:t>
            </w:r>
          </w:p>
        </w:tc>
        <w:tc>
          <w:tcPr>
            <w:tcW w:w="1927" w:type="dxa"/>
          </w:tcPr>
          <w:p>
            <w:pPr>
              <w:spacing w:line="240" w:lineRule="auto" w:before="0" w:after="0"/>
              <w:ind w:firstLine="0"/>
              <w:jc w:val="left"/>
            </w:pPr>
            <w:r>
              <w:rPr>
                <w:rFonts w:ascii="Times New Roman" w:hAnsi="Times New Roman"/>
                <w:sz w:val="24"/>
                <w:szCs w:val="24"/>
              </w:rPr>
              <w:t xml:space="preserve">121,0</w:t>
            </w:r>
          </w:p>
        </w:tc>
      </w:tr>
      <w:tr>
        <w:tc>
          <w:tcPr>
            <w:tcW w:w="1927" w:type="dxa"/>
          </w:tcPr>
          <w:p>
            <w:pPr>
              <w:spacing w:line="240" w:lineRule="auto" w:before="0" w:after="0"/>
              <w:ind w:firstLine="0"/>
              <w:jc w:val="left"/>
            </w:pPr>
            <w:r>
              <w:rPr>
                <w:rFonts w:ascii="Times New Roman" w:hAnsi="Times New Roman"/>
                <w:sz w:val="24"/>
                <w:szCs w:val="24"/>
              </w:rPr>
              <w:t xml:space="preserve">Чистая прибыль</w:t>
            </w:r>
          </w:p>
        </w:tc>
        <w:tc>
          <w:tcPr>
            <w:tcW w:w="1927" w:type="dxa"/>
          </w:tcPr>
          <w:p>
            <w:pPr>
              <w:spacing w:line="240" w:lineRule="auto" w:before="0" w:after="0"/>
              <w:ind w:firstLine="0"/>
              <w:jc w:val="left"/>
            </w:pPr>
            <w:r>
              <w:rPr>
                <w:rFonts w:ascii="Times New Roman" w:hAnsi="Times New Roman"/>
                <w:sz w:val="24"/>
                <w:szCs w:val="24"/>
              </w:rPr>
              <w:t xml:space="preserve">270</w:t>
            </w:r>
          </w:p>
        </w:tc>
        <w:tc>
          <w:tcPr>
            <w:tcW w:w="1927" w:type="dxa"/>
          </w:tcPr>
          <w:p>
            <w:pPr>
              <w:spacing w:line="240" w:lineRule="auto" w:before="0" w:after="0"/>
              <w:ind w:firstLine="0"/>
              <w:jc w:val="left"/>
            </w:pPr>
            <w:r>
              <w:rPr>
                <w:rFonts w:ascii="Times New Roman" w:hAnsi="Times New Roman"/>
                <w:sz w:val="24"/>
                <w:szCs w:val="24"/>
              </w:rPr>
              <w:t xml:space="preserve">1 509</w:t>
            </w:r>
          </w:p>
        </w:tc>
        <w:tc>
          <w:tcPr>
            <w:tcW w:w="1927" w:type="dxa"/>
          </w:tcPr>
          <w:p>
            <w:pPr>
              <w:spacing w:line="240" w:lineRule="auto" w:before="0" w:after="0"/>
              <w:ind w:firstLine="0"/>
              <w:jc w:val="left"/>
            </w:pPr>
            <w:r>
              <w:rPr>
                <w:rFonts w:ascii="Times New Roman" w:hAnsi="Times New Roman"/>
                <w:sz w:val="24"/>
                <w:szCs w:val="24"/>
              </w:rPr>
              <w:t xml:space="preserve">1 580</w:t>
            </w:r>
          </w:p>
        </w:tc>
        <w:tc>
          <w:tcPr>
            <w:tcW w:w="1927" w:type="dxa"/>
          </w:tcPr>
          <w:p>
            <w:pPr>
              <w:spacing w:line="240" w:lineRule="auto" w:before="0" w:after="0"/>
              <w:ind w:firstLine="0"/>
              <w:jc w:val="left"/>
            </w:pPr>
            <w:r>
              <w:rPr>
                <w:rFonts w:ascii="Times New Roman" w:hAnsi="Times New Roman"/>
                <w:sz w:val="24"/>
                <w:szCs w:val="24"/>
              </w:rPr>
              <w:t xml:space="preserve">585,2</w:t>
            </w:r>
          </w:p>
        </w:tc>
      </w:tr>
      <w:tr>
        <w:tc>
          <w:tcPr>
            <w:tcW w:w="1927" w:type="dxa"/>
          </w:tcPr>
          <w:p>
            <w:pPr>
              <w:spacing w:line="240" w:lineRule="auto" w:before="0" w:after="0"/>
              <w:ind w:firstLine="0"/>
              <w:jc w:val="left"/>
            </w:pPr>
            <w:r>
              <w:rPr>
                <w:rFonts w:ascii="Times New Roman" w:hAnsi="Times New Roman"/>
                <w:sz w:val="24"/>
                <w:szCs w:val="24"/>
              </w:rPr>
              <w:t xml:space="preserve">Рентабельность капитала (ROE), %</w:t>
            </w:r>
          </w:p>
        </w:tc>
        <w:tc>
          <w:tcPr>
            <w:tcW w:w="1927" w:type="dxa"/>
          </w:tcPr>
          <w:p>
            <w:pPr>
              <w:spacing w:line="240" w:lineRule="auto" w:before="0" w:after="0"/>
              <w:ind w:firstLine="0"/>
              <w:jc w:val="left"/>
            </w:pPr>
            <w:r>
              <w:rPr>
                <w:rFonts w:ascii="Times New Roman" w:hAnsi="Times New Roman"/>
                <w:sz w:val="24"/>
                <w:szCs w:val="24"/>
              </w:rPr>
              <w:t xml:space="preserve">5,2</w:t>
            </w:r>
          </w:p>
        </w:tc>
        <w:tc>
          <w:tcPr>
            <w:tcW w:w="1927" w:type="dxa"/>
          </w:tcPr>
          <w:p>
            <w:pPr>
              <w:spacing w:line="240" w:lineRule="auto" w:before="0" w:after="0"/>
              <w:ind w:firstLine="0"/>
              <w:jc w:val="left"/>
            </w:pPr>
            <w:r>
              <w:rPr>
                <w:rFonts w:ascii="Times New Roman" w:hAnsi="Times New Roman"/>
                <w:sz w:val="24"/>
                <w:szCs w:val="24"/>
              </w:rPr>
              <w:t xml:space="preserve">25,3</w:t>
            </w:r>
          </w:p>
        </w:tc>
        <w:tc>
          <w:tcPr>
            <w:tcW w:w="1927" w:type="dxa"/>
          </w:tcPr>
          <w:p>
            <w:pPr>
              <w:spacing w:line="240" w:lineRule="auto" w:before="0" w:after="0"/>
              <w:ind w:firstLine="0"/>
              <w:jc w:val="left"/>
            </w:pPr>
            <w:r>
              <w:rPr>
                <w:rFonts w:ascii="Times New Roman" w:hAnsi="Times New Roman"/>
                <w:sz w:val="24"/>
                <w:szCs w:val="24"/>
              </w:rPr>
              <w:t xml:space="preserve">24,0</w:t>
            </w:r>
          </w:p>
        </w:tc>
        <w:tc>
          <w:tcPr>
            <w:tcW w:w="1927" w:type="dxa"/>
          </w:tcPr>
          <w:p>
            <w:pPr>
              <w:spacing w:line="240" w:lineRule="auto" w:before="0" w:after="0"/>
              <w:ind w:firstLine="0"/>
              <w:jc w:val="left"/>
            </w:pPr>
            <w:r>
              <w:rPr>
                <w:rFonts w:ascii="Times New Roman" w:hAnsi="Times New Roman"/>
                <w:sz w:val="24"/>
                <w:szCs w:val="24"/>
              </w:rPr>
              <w:t xml:space="preserve">—</w:t>
            </w:r>
          </w:p>
        </w:tc>
      </w:tr>
      <w:tr>
        <w:tc>
          <w:tcPr>
            <w:tcW w:w="1927" w:type="dxa"/>
          </w:tcPr>
          <w:p>
            <w:pPr>
              <w:spacing w:line="240" w:lineRule="auto" w:before="0" w:after="0"/>
              <w:ind w:firstLine="0"/>
              <w:jc w:val="left"/>
            </w:pPr>
            <w:r>
              <w:rPr>
                <w:rFonts w:ascii="Times New Roman" w:hAnsi="Times New Roman"/>
                <w:sz w:val="24"/>
                <w:szCs w:val="24"/>
              </w:rPr>
              <w:t xml:space="preserve">Рентабельность активов (ROA), %</w:t>
            </w:r>
          </w:p>
        </w:tc>
        <w:tc>
          <w:tcPr>
            <w:tcW w:w="1927" w:type="dxa"/>
          </w:tcPr>
          <w:p>
            <w:pPr>
              <w:spacing w:line="240" w:lineRule="auto" w:before="0" w:after="0"/>
              <w:ind w:firstLine="0"/>
              <w:jc w:val="left"/>
            </w:pPr>
            <w:r>
              <w:rPr>
                <w:rFonts w:ascii="Times New Roman" w:hAnsi="Times New Roman"/>
                <w:sz w:val="24"/>
                <w:szCs w:val="24"/>
              </w:rPr>
              <w:t xml:space="preserve">0,7</w:t>
            </w:r>
          </w:p>
        </w:tc>
        <w:tc>
          <w:tcPr>
            <w:tcW w:w="1927" w:type="dxa"/>
          </w:tcPr>
          <w:p>
            <w:pPr>
              <w:spacing w:line="240" w:lineRule="auto" w:before="0" w:after="0"/>
              <w:ind w:firstLine="0"/>
              <w:jc w:val="left"/>
            </w:pPr>
            <w:r>
              <w:rPr>
                <w:rFonts w:ascii="Times New Roman" w:hAnsi="Times New Roman"/>
                <w:sz w:val="24"/>
                <w:szCs w:val="24"/>
              </w:rPr>
              <w:t xml:space="preserve">3,2</w:t>
            </w:r>
          </w:p>
        </w:tc>
        <w:tc>
          <w:tcPr>
            <w:tcW w:w="1927" w:type="dxa"/>
          </w:tcPr>
          <w:p>
            <w:pPr>
              <w:spacing w:line="240" w:lineRule="auto" w:before="0" w:after="0"/>
              <w:ind w:firstLine="0"/>
              <w:jc w:val="left"/>
            </w:pPr>
            <w:r>
              <w:rPr>
                <w:rFonts w:ascii="Times New Roman" w:hAnsi="Times New Roman"/>
                <w:sz w:val="24"/>
                <w:szCs w:val="24"/>
              </w:rPr>
              <w:t xml:space="preserve">2,9</w:t>
            </w:r>
          </w:p>
        </w:tc>
        <w:tc>
          <w:tcPr>
            <w:tcW w:w="1927" w:type="dxa"/>
          </w:tcPr>
          <w:p>
            <w:pPr>
              <w:spacing w:line="240" w:lineRule="auto" w:before="0" w:after="0"/>
              <w:ind w:firstLine="0"/>
              <w:jc w:val="left"/>
            </w:pPr>
            <w:r>
              <w:rPr>
                <w:rFonts w:ascii="Times New Roman" w:hAnsi="Times New Roman"/>
                <w:sz w:val="24"/>
                <w:szCs w:val="24"/>
              </w:rPr>
              <w:t xml:space="preserve">—</w:t>
            </w:r>
          </w:p>
        </w:tc>
      </w:tr>
      <w:tr>
        <w:tc>
          <w:tcPr>
            <w:tcW w:w="1927" w:type="dxa"/>
          </w:tcPr>
          <w:p>
            <w:pPr>
              <w:spacing w:line="240" w:lineRule="auto" w:before="0" w:after="0"/>
              <w:ind w:firstLine="0"/>
              <w:jc w:val="left"/>
            </w:pPr>
            <w:r>
              <w:rPr>
                <w:rFonts w:ascii="Times New Roman" w:hAnsi="Times New Roman"/>
                <w:sz w:val="24"/>
                <w:szCs w:val="24"/>
              </w:rPr>
              <w:t xml:space="preserve">Достаточность капитала (Н1.0), %</w:t>
            </w:r>
          </w:p>
        </w:tc>
        <w:tc>
          <w:tcPr>
            <w:tcW w:w="1927" w:type="dxa"/>
          </w:tcPr>
          <w:p>
            <w:pPr>
              <w:spacing w:line="240" w:lineRule="auto" w:before="0" w:after="0"/>
              <w:ind w:firstLine="0"/>
              <w:jc w:val="left"/>
            </w:pPr>
            <w:r>
              <w:rPr>
                <w:rFonts w:ascii="Times New Roman" w:hAnsi="Times New Roman"/>
                <w:sz w:val="24"/>
                <w:szCs w:val="24"/>
              </w:rPr>
              <w:t xml:space="preserve">14,8</w:t>
            </w:r>
          </w:p>
        </w:tc>
        <w:tc>
          <w:tcPr>
            <w:tcW w:w="1927" w:type="dxa"/>
          </w:tcPr>
          <w:p>
            <w:pPr>
              <w:spacing w:line="240" w:lineRule="auto" w:before="0" w:after="0"/>
              <w:ind w:firstLine="0"/>
              <w:jc w:val="left"/>
            </w:pPr>
            <w:r>
              <w:rPr>
                <w:rFonts w:ascii="Times New Roman" w:hAnsi="Times New Roman"/>
                <w:sz w:val="24"/>
                <w:szCs w:val="24"/>
              </w:rPr>
              <w:t xml:space="preserve">13,7</w:t>
            </w:r>
          </w:p>
        </w:tc>
        <w:tc>
          <w:tcPr>
            <w:tcW w:w="1927" w:type="dxa"/>
          </w:tcPr>
          <w:p>
            <w:pPr>
              <w:spacing w:line="240" w:lineRule="auto" w:before="0" w:after="0"/>
              <w:ind w:firstLine="0"/>
              <w:jc w:val="left"/>
            </w:pPr>
            <w:r>
              <w:rPr>
                <w:rFonts w:ascii="Times New Roman" w:hAnsi="Times New Roman"/>
                <w:sz w:val="24"/>
                <w:szCs w:val="24"/>
              </w:rPr>
              <w:t xml:space="preserve">13,4</w:t>
            </w:r>
          </w:p>
        </w:tc>
        <w:tc>
          <w:tcPr>
            <w:tcW w:w="1927" w:type="dxa"/>
          </w:tcPr>
          <w:p>
            <w:pPr>
              <w:spacing w:line="240" w:lineRule="auto" w:before="0" w:after="0"/>
              <w:ind w:firstLine="0"/>
              <w:jc w:val="left"/>
            </w:pPr>
            <w:r>
              <w:rPr>
                <w:rFonts w:ascii="Times New Roman" w:hAnsi="Times New Roman"/>
                <w:sz w:val="24"/>
                <w:szCs w:val="24"/>
              </w:rPr>
              <w:t xml:space="preserve">—</w:t>
            </w:r>
          </w:p>
        </w:tc>
      </w:tr>
    </w:tbl>
    <w:p>
      <w:pPr>
        <w:ind w:firstLine="0"/>
      </w:pPr>
    </w:p>
    <w:p>
      <w:pPr>
        <w:spacing w:line="360" w:lineRule="auto" w:before="60" w:after="60"/>
        <w:jc w:val="both"/>
      </w:pPr>
      <w:r>
        <w:rPr>
          <w:i/>
          <w:iCs/>
        </w:rPr>
        <w:t xml:space="preserve">Примечание: данные приведены по консолидированной финансовой отчётности по МСФО.</w:t>
      </w:r>
    </w:p>
    <w:p>
      <w:pPr>
        <w:spacing w:line="360" w:lineRule="auto" w:before="60" w:after="120"/>
        <w:ind w:firstLine="0"/>
        <w:jc w:val="left"/>
      </w:pPr>
      <w:r>
        <w:rPr>
          <w:i/>
          <w:iCs/>
        </w:rPr>
        <w:t xml:space="preserve">Источник: годовые отчёты ПАО «Сбербанк» за 2022–2024 гг. [39, 40]</w:t>
      </w:r>
    </w:p>
    <w:p>
      <w:pPr>
        <w:jc w:val="both"/>
      </w:pPr>
      <w:r>
        <w:t xml:space="preserve">Анализ данных таблицы 2.1.1 позволяет сделать следующие выводы. За исследуемый период активы банка выросли на 36,2 % (с 41,7 трлн до 56,8 трлн руб.), что свидетельствует об устойчивом масштабировании бизнеса. Средства клиентов увеличились на 45,8 %, превысив в 2024 году 41 трлн руб., что отражает высокий уровень доверия населения и предприятий к банку даже в условиях санкционного давления. Чистая прибыль продемонстрировала самый впечатляющий рост — почти в 5,9 раза, достигнув 1 580 млрд руб. в 2024 году. Это объясняется как восстановлением экономической активности, так и успешной адаптацией банка к новым условиям. Рентабельность капитала (ROE) превысила 24 %, что является одним из лучших показателей в мире среди крупных банков.</w:t>
      </w:r>
    </w:p>
    <w:p>
      <w:pPr>
        <w:jc w:val="both"/>
      </w:pPr>
      <w:r>
        <w:t xml:space="preserve">Графически динамика активов ПАО «Сбербанк» за 2022–2024 годы представлена на рисунке 2.1.1.</w:t>
      </w:r>
    </w:p>
    <w:p>
      <w:pPr>
        <w:spacing w:line="360" w:lineRule="auto" w:before="120" w:after="120"/>
        <w:ind w:firstLine="0"/>
        <w:jc w:val="center"/>
      </w:pPr>
      <w:r>
        <w:rPr>
          <w:i/>
          <w:iCs/>
        </w:rPr>
        <w:t xml:space="preserve">Рисунок 2.1.1 — Динамика активов ПАО «Сбербанк» за 2022–2024 гг., млрд руб.</w:t>
      </w:r>
    </w:p>
    <w:p>
      <w:pPr>
        <w:jc w:val="both"/>
      </w:pPr>
      <w:r>
        <w:t xml:space="preserve">Структура активов банка по состоянию на 31 декабря 2024 года характеризуется следующими пропорциями: кредитный портфель (нетто) составляет около 70 %, ценные бумаги — 12 %, средства в Банке России и кредитных организациях — 9 %, прочие активы — 9 %. Структура пассивов: средства клиентов — 73 %, заимствования в Банке России и других банках — 11 %, выпущенные долговые ценные бумаги — 4 %, собственный капитал — 13 % [39, 40].</w:t>
      </w:r>
    </w:p>
    <w:p>
      <w:pPr>
        <w:jc w:val="both"/>
      </w:pPr>
      <w:r>
        <w:t xml:space="preserve">Особо следует отметить позиции банка на рынке безналичных расчётов и переводов денежных средств. По данным Банка России и собственной отчётности, в 2024 году ПАО «Сбербанк» обслужил около 60 млрд переводных операций физических лиц общим объёмом свыше 130 трлн руб. По количеству эмитированных платёжных карт банк лидирует на российском рынке: на конец 2024 года в обращении находилось более 220 млн карт, выпущенных ПАО «Сбербанк», что составляет около 46 % всей эмиссии в стране. Ежемесячная активная аудитория мобильного приложения «СберБанк Онлайн» превышает 90 млн пользователей.</w:t>
      </w:r>
    </w:p>
    <w:p>
      <w:pPr>
        <w:jc w:val="both"/>
      </w:pPr>
      <w:r>
        <w:t xml:space="preserve">Развитие технологической инфраструктуры — одна из стратегических приоритетов банка. С 2018 года Сбербанк является лидером банковской цифровизации в России: внедрены биометрическая идентификация на основе Единой биометрической системы и собственной системы «Сбер ID», система мгновенных переводов SBP-эквивалент SberPay, экосистемные сервисы. Совокупные инвестиции банка в IT-инфраструктуру за 2022–2024 годы превысили 600 млрд руб.</w:t>
      </w:r>
    </w:p>
    <w:p>
      <w:pPr>
        <w:jc w:val="both"/>
      </w:pPr>
      <w:r>
        <w:t xml:space="preserve">Кадровая структура банка отвечает современным требованиям финансового сектора: более 30 тыс. сотрудников заняты в сфере информационных технологий, около 80 тыс. — в розничном обслуживании клиентов, 25 тыс. — в корпоративно-инвестиционном блоке. Системы повышения квалификации интегрированы в единую корпоративную академию «Сбербанк Корпоративный университет».</w:t>
      </w:r>
    </w:p>
    <w:p>
      <w:pPr>
        <w:jc w:val="both"/>
      </w:pPr>
      <w:r>
        <w:t xml:space="preserve">В части санкционных ограничений ПАО «Сбербанк» с февраля 2022 года включён в санкционные списки США, ЕС, Великобритании, Канады, Австралии и других государств. С марта 2022 года банк отключён от системы SWIFT. Тем не менее банк сохраняет полную функциональность во внутрироссийских расчётах и обеспечивает работу международных переводов через альтернативные каналы: СПФС Банка России, прямые корреспондентские отношения с банками дружественных государств (Турция, ОАЭ, Китай, Индия, страны СНГ), систему передачи финансовых сообщений CIPS.</w:t>
      </w:r>
    </w:p>
    <w:p>
      <w:pPr>
        <w:jc w:val="both"/>
      </w:pPr>
      <w:r>
        <w:t xml:space="preserve">Стратегия развития ПАО «Сбербанк» на 2024–2026 годы предусматривает следующие приоритетные направления:</w:t>
      </w:r>
    </w:p>
    <w:p>
      <w:pPr>
        <w:jc w:val="both"/>
      </w:pPr>
      <w:r>
        <w:t xml:space="preserve">— укрепление позиций на внутреннем рынке за счёт развития цифровых сервисов и расширения экосистемы;</w:t>
      </w:r>
    </w:p>
    <w:p>
      <w:pPr>
        <w:jc w:val="both"/>
      </w:pPr>
      <w:r>
        <w:t xml:space="preserve">— активное развитие переводных и платёжных сервисов (в том числе СБП, цифровой рубль, B2B-расчёты);</w:t>
      </w:r>
    </w:p>
    <w:p>
      <w:pPr>
        <w:jc w:val="both"/>
      </w:pPr>
      <w:r>
        <w:t xml:space="preserve">— инвестиции в искусственный интеллект и технологии больших данных;</w:t>
      </w:r>
    </w:p>
    <w:p>
      <w:pPr>
        <w:jc w:val="both"/>
      </w:pPr>
      <w:r>
        <w:t xml:space="preserve">— построение альтернативной международной платёжной инфраструктуры с дружественными странами;</w:t>
      </w:r>
    </w:p>
    <w:p>
      <w:pPr>
        <w:jc w:val="both"/>
      </w:pPr>
      <w:r>
        <w:t xml:space="preserve">— укрепление позиций на рынках корпоративного банкинга и инвестиционных услуг.</w:t>
      </w:r>
    </w:p>
    <w:p>
      <w:pPr>
        <w:jc w:val="both"/>
      </w:pPr>
      <w:r>
        <w:t xml:space="preserve">Таким образом, ПАО «Сбербанк» представляет собой крупнейшую кредитную организацию страны, занимающую системообразующее положение в банковском секторе и являющуюся репрезентативным объектом для исследования организации переводов денежных средств. Финансовое состояние банка устойчиво, рыночные позиции сильны, а технологическая инфраструктура соответствует лучшим мировым стандартам. Это создаёт благоприятные условия для практического анализа работы по переводам клиентов, которому посвящён следующий параграф.</w:t>
      </w:r>
    </w:p>
    <w:p>
      <w:pPr>
        <w:pStyle w:val="Heading2"/>
        <w:spacing w:line="360" w:lineRule="auto" w:before="240" w:after="120"/>
        <w:jc w:val="left"/>
      </w:pPr>
      <w:r>
        <w:rPr>
          <w:b/>
          <w:bCs/>
        </w:rPr>
        <w:t xml:space="preserve">2.2 Анализ работы ПАО «Сбербанк» по переводу денежных средств клиентов</w:t>
      </w:r>
    </w:p>
    <w:p>
      <w:pPr>
        <w:jc w:val="both"/>
      </w:pPr>
      <w:r>
        <w:t xml:space="preserve">Анализ работы коммерческого банка по осуществлению переводов денежных средств целесообразно проводить по следующим направлениям: динамика и структура переводных операций, структура каналов инициирования переводов, доходность операций, качество обслуживания, уровень безопасности. Информационной базой анализа являются данные годовой финансовой отчётности ПАО «Сбербанк» за 2022–2024 гг., аналитические материалы пресс-службы банка, статистика Банка России и АО «НСПК». Исследование проведено за период не менее трёх лет в соответствии с требованием методических указаний.</w:t>
      </w:r>
    </w:p>
    <w:p>
      <w:pPr>
        <w:jc w:val="both"/>
      </w:pPr>
      <w:r>
        <w:t xml:space="preserve">Совокупный объём переводов, осуществлённых клиентами ПАО «Сбербанк» через все каналы, демонстрирует устойчивый рост на протяжении всего исследуемого периода. Динамика объёма и количества переводов представлена в таблице 2.2.1.</w:t>
      </w:r>
    </w:p>
    <w:p>
      <w:pPr>
        <w:spacing w:line="360" w:lineRule="auto" w:before="120" w:after="60"/>
        <w:ind w:firstLine="0"/>
        <w:jc w:val="left"/>
      </w:pPr>
      <w:r>
        <w:t xml:space="preserve">Таблица 2.2.1 — Динамика количества и объёма переводов денежных средств клиентов ПАО «Сбербанк» за 2022–2024 гг.</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Показатель</w:t>
            </w:r>
          </w:p>
        </w:tc>
        <w:tc>
          <w:tcPr>
            <w:tcW w:w="1927" w:type="dxa"/>
          </w:tcPr>
          <w:p>
            <w:pPr>
              <w:spacing w:line="240" w:lineRule="auto" w:before="0" w:after="0"/>
              <w:ind w:firstLine="0"/>
              <w:jc w:val="center"/>
            </w:pPr>
            <w:r>
              <w:rPr>
                <w:rFonts w:ascii="Times New Roman" w:hAnsi="Times New Roman"/>
                <w:sz w:val="24"/>
                <w:szCs w:val="24"/>
                <w:b/>
                <w:bCs/>
              </w:rPr>
              <w:t xml:space="preserve">2022</w:t>
            </w:r>
          </w:p>
        </w:tc>
        <w:tc>
          <w:tcPr>
            <w:tcW w:w="1927" w:type="dxa"/>
          </w:tcPr>
          <w:p>
            <w:pPr>
              <w:spacing w:line="240" w:lineRule="auto" w:before="0" w:after="0"/>
              <w:ind w:firstLine="0"/>
              <w:jc w:val="center"/>
            </w:pPr>
            <w:r>
              <w:rPr>
                <w:rFonts w:ascii="Times New Roman" w:hAnsi="Times New Roman"/>
                <w:sz w:val="24"/>
                <w:szCs w:val="24"/>
                <w:b/>
                <w:bCs/>
              </w:rPr>
              <w:t xml:space="preserve">2023</w:t>
            </w:r>
          </w:p>
        </w:tc>
        <w:tc>
          <w:tcPr>
            <w:tcW w:w="1927" w:type="dxa"/>
          </w:tcPr>
          <w:p>
            <w:pPr>
              <w:spacing w:line="240" w:lineRule="auto" w:before="0" w:after="0"/>
              <w:ind w:firstLine="0"/>
              <w:jc w:val="center"/>
            </w:pPr>
            <w:r>
              <w:rPr>
                <w:rFonts w:ascii="Times New Roman" w:hAnsi="Times New Roman"/>
                <w:sz w:val="24"/>
                <w:szCs w:val="24"/>
                <w:b/>
                <w:bCs/>
              </w:rPr>
              <w:t xml:space="preserve">2024</w:t>
            </w:r>
          </w:p>
        </w:tc>
        <w:tc>
          <w:tcPr>
            <w:tcW w:w="1927" w:type="dxa"/>
          </w:tcPr>
          <w:p>
            <w:pPr>
              <w:spacing w:line="240" w:lineRule="auto" w:before="0" w:after="0"/>
              <w:ind w:firstLine="0"/>
              <w:jc w:val="center"/>
            </w:pPr>
            <w:r>
              <w:rPr>
                <w:rFonts w:ascii="Times New Roman" w:hAnsi="Times New Roman"/>
                <w:sz w:val="24"/>
                <w:szCs w:val="24"/>
                <w:b/>
                <w:bCs/>
              </w:rPr>
              <w:t xml:space="preserve">Темп роста 2024/2022, %</w:t>
            </w:r>
          </w:p>
        </w:tc>
      </w:tr>
      <w:tr>
        <w:tc>
          <w:tcPr>
            <w:tcW w:w="1927" w:type="dxa"/>
          </w:tcPr>
          <w:p>
            <w:pPr>
              <w:spacing w:line="240" w:lineRule="auto" w:before="0" w:after="0"/>
              <w:ind w:firstLine="0"/>
              <w:jc w:val="left"/>
            </w:pPr>
            <w:r>
              <w:rPr>
                <w:rFonts w:ascii="Times New Roman" w:hAnsi="Times New Roman"/>
                <w:sz w:val="24"/>
                <w:szCs w:val="24"/>
              </w:rPr>
              <w:t xml:space="preserve">Количество переводов, млрд операций</w:t>
            </w:r>
          </w:p>
        </w:tc>
        <w:tc>
          <w:tcPr>
            <w:tcW w:w="1927" w:type="dxa"/>
          </w:tcPr>
          <w:p>
            <w:pPr>
              <w:spacing w:line="240" w:lineRule="auto" w:before="0" w:after="0"/>
              <w:ind w:firstLine="0"/>
              <w:jc w:val="left"/>
            </w:pPr>
            <w:r>
              <w:rPr>
                <w:rFonts w:ascii="Times New Roman" w:hAnsi="Times New Roman"/>
                <w:sz w:val="24"/>
                <w:szCs w:val="24"/>
              </w:rPr>
              <w:t xml:space="preserve">41,7</w:t>
            </w:r>
          </w:p>
        </w:tc>
        <w:tc>
          <w:tcPr>
            <w:tcW w:w="1927" w:type="dxa"/>
          </w:tcPr>
          <w:p>
            <w:pPr>
              <w:spacing w:line="240" w:lineRule="auto" w:before="0" w:after="0"/>
              <w:ind w:firstLine="0"/>
              <w:jc w:val="left"/>
            </w:pPr>
            <w:r>
              <w:rPr>
                <w:rFonts w:ascii="Times New Roman" w:hAnsi="Times New Roman"/>
                <w:sz w:val="24"/>
                <w:szCs w:val="24"/>
              </w:rPr>
              <w:t xml:space="preserve">52,3</w:t>
            </w:r>
          </w:p>
        </w:tc>
        <w:tc>
          <w:tcPr>
            <w:tcW w:w="1927" w:type="dxa"/>
          </w:tcPr>
          <w:p>
            <w:pPr>
              <w:spacing w:line="240" w:lineRule="auto" w:before="0" w:after="0"/>
              <w:ind w:firstLine="0"/>
              <w:jc w:val="left"/>
            </w:pPr>
            <w:r>
              <w:rPr>
                <w:rFonts w:ascii="Times New Roman" w:hAnsi="Times New Roman"/>
                <w:sz w:val="24"/>
                <w:szCs w:val="24"/>
              </w:rPr>
              <w:t xml:space="preserve">60,5</w:t>
            </w:r>
          </w:p>
        </w:tc>
        <w:tc>
          <w:tcPr>
            <w:tcW w:w="1927" w:type="dxa"/>
          </w:tcPr>
          <w:p>
            <w:pPr>
              <w:spacing w:line="240" w:lineRule="auto" w:before="0" w:after="0"/>
              <w:ind w:firstLine="0"/>
              <w:jc w:val="left"/>
            </w:pPr>
            <w:r>
              <w:rPr>
                <w:rFonts w:ascii="Times New Roman" w:hAnsi="Times New Roman"/>
                <w:sz w:val="24"/>
                <w:szCs w:val="24"/>
              </w:rPr>
              <w:t xml:space="preserve">145,1</w:t>
            </w:r>
          </w:p>
        </w:tc>
      </w:tr>
      <w:tr>
        <w:tc>
          <w:tcPr>
            <w:tcW w:w="1927" w:type="dxa"/>
          </w:tcPr>
          <w:p>
            <w:pPr>
              <w:spacing w:line="240" w:lineRule="auto" w:before="0" w:after="0"/>
              <w:ind w:firstLine="0"/>
              <w:jc w:val="left"/>
            </w:pPr>
            <w:r>
              <w:rPr>
                <w:rFonts w:ascii="Times New Roman" w:hAnsi="Times New Roman"/>
                <w:sz w:val="24"/>
                <w:szCs w:val="24"/>
              </w:rPr>
              <w:t xml:space="preserve">Объём переводов, трлн руб.</w:t>
            </w:r>
          </w:p>
        </w:tc>
        <w:tc>
          <w:tcPr>
            <w:tcW w:w="1927" w:type="dxa"/>
          </w:tcPr>
          <w:p>
            <w:pPr>
              <w:spacing w:line="240" w:lineRule="auto" w:before="0" w:after="0"/>
              <w:ind w:firstLine="0"/>
              <w:jc w:val="left"/>
            </w:pPr>
            <w:r>
              <w:rPr>
                <w:rFonts w:ascii="Times New Roman" w:hAnsi="Times New Roman"/>
                <w:sz w:val="24"/>
                <w:szCs w:val="24"/>
              </w:rPr>
              <w:t xml:space="preserve">105,2</w:t>
            </w:r>
          </w:p>
        </w:tc>
        <w:tc>
          <w:tcPr>
            <w:tcW w:w="1927" w:type="dxa"/>
          </w:tcPr>
          <w:p>
            <w:pPr>
              <w:spacing w:line="240" w:lineRule="auto" w:before="0" w:after="0"/>
              <w:ind w:firstLine="0"/>
              <w:jc w:val="left"/>
            </w:pPr>
            <w:r>
              <w:rPr>
                <w:rFonts w:ascii="Times New Roman" w:hAnsi="Times New Roman"/>
                <w:sz w:val="24"/>
                <w:szCs w:val="24"/>
              </w:rPr>
              <w:t xml:space="preserve">121,8</w:t>
            </w:r>
          </w:p>
        </w:tc>
        <w:tc>
          <w:tcPr>
            <w:tcW w:w="1927" w:type="dxa"/>
          </w:tcPr>
          <w:p>
            <w:pPr>
              <w:spacing w:line="240" w:lineRule="auto" w:before="0" w:after="0"/>
              <w:ind w:firstLine="0"/>
              <w:jc w:val="left"/>
            </w:pPr>
            <w:r>
              <w:rPr>
                <w:rFonts w:ascii="Times New Roman" w:hAnsi="Times New Roman"/>
                <w:sz w:val="24"/>
                <w:szCs w:val="24"/>
              </w:rPr>
              <w:t xml:space="preserve">132,4</w:t>
            </w:r>
          </w:p>
        </w:tc>
        <w:tc>
          <w:tcPr>
            <w:tcW w:w="1927" w:type="dxa"/>
          </w:tcPr>
          <w:p>
            <w:pPr>
              <w:spacing w:line="240" w:lineRule="auto" w:before="0" w:after="0"/>
              <w:ind w:firstLine="0"/>
              <w:jc w:val="left"/>
            </w:pPr>
            <w:r>
              <w:rPr>
                <w:rFonts w:ascii="Times New Roman" w:hAnsi="Times New Roman"/>
                <w:sz w:val="24"/>
                <w:szCs w:val="24"/>
              </w:rPr>
              <w:t xml:space="preserve">125,9</w:t>
            </w:r>
          </w:p>
        </w:tc>
      </w:tr>
      <w:tr>
        <w:tc>
          <w:tcPr>
            <w:tcW w:w="1927" w:type="dxa"/>
          </w:tcPr>
          <w:p>
            <w:pPr>
              <w:spacing w:line="240" w:lineRule="auto" w:before="0" w:after="0"/>
              <w:ind w:firstLine="0"/>
              <w:jc w:val="left"/>
            </w:pPr>
            <w:r>
              <w:rPr>
                <w:rFonts w:ascii="Times New Roman" w:hAnsi="Times New Roman"/>
                <w:sz w:val="24"/>
                <w:szCs w:val="24"/>
              </w:rPr>
              <w:t xml:space="preserve">Средний размер одной операции, тыс. руб.</w:t>
            </w:r>
          </w:p>
        </w:tc>
        <w:tc>
          <w:tcPr>
            <w:tcW w:w="1927" w:type="dxa"/>
          </w:tcPr>
          <w:p>
            <w:pPr>
              <w:spacing w:line="240" w:lineRule="auto" w:before="0" w:after="0"/>
              <w:ind w:firstLine="0"/>
              <w:jc w:val="left"/>
            </w:pPr>
            <w:r>
              <w:rPr>
                <w:rFonts w:ascii="Times New Roman" w:hAnsi="Times New Roman"/>
                <w:sz w:val="24"/>
                <w:szCs w:val="24"/>
              </w:rPr>
              <w:t xml:space="preserve">2,5</w:t>
            </w:r>
          </w:p>
        </w:tc>
        <w:tc>
          <w:tcPr>
            <w:tcW w:w="1927" w:type="dxa"/>
          </w:tcPr>
          <w:p>
            <w:pPr>
              <w:spacing w:line="240" w:lineRule="auto" w:before="0" w:after="0"/>
              <w:ind w:firstLine="0"/>
              <w:jc w:val="left"/>
            </w:pPr>
            <w:r>
              <w:rPr>
                <w:rFonts w:ascii="Times New Roman" w:hAnsi="Times New Roman"/>
                <w:sz w:val="24"/>
                <w:szCs w:val="24"/>
              </w:rPr>
              <w:t xml:space="preserve">2,3</w:t>
            </w:r>
          </w:p>
        </w:tc>
        <w:tc>
          <w:tcPr>
            <w:tcW w:w="1927" w:type="dxa"/>
          </w:tcPr>
          <w:p>
            <w:pPr>
              <w:spacing w:line="240" w:lineRule="auto" w:before="0" w:after="0"/>
              <w:ind w:firstLine="0"/>
              <w:jc w:val="left"/>
            </w:pPr>
            <w:r>
              <w:rPr>
                <w:rFonts w:ascii="Times New Roman" w:hAnsi="Times New Roman"/>
                <w:sz w:val="24"/>
                <w:szCs w:val="24"/>
              </w:rPr>
              <w:t xml:space="preserve">2,2</w:t>
            </w:r>
          </w:p>
        </w:tc>
        <w:tc>
          <w:tcPr>
            <w:tcW w:w="1927" w:type="dxa"/>
          </w:tcPr>
          <w:p>
            <w:pPr>
              <w:spacing w:line="240" w:lineRule="auto" w:before="0" w:after="0"/>
              <w:ind w:firstLine="0"/>
              <w:jc w:val="left"/>
            </w:pPr>
            <w:r>
              <w:rPr>
                <w:rFonts w:ascii="Times New Roman" w:hAnsi="Times New Roman"/>
                <w:sz w:val="24"/>
                <w:szCs w:val="24"/>
              </w:rPr>
              <w:t xml:space="preserve">88,0</w:t>
            </w:r>
          </w:p>
        </w:tc>
      </w:tr>
      <w:tr>
        <w:tc>
          <w:tcPr>
            <w:tcW w:w="1927" w:type="dxa"/>
          </w:tcPr>
          <w:p>
            <w:pPr>
              <w:spacing w:line="240" w:lineRule="auto" w:before="0" w:after="0"/>
              <w:ind w:firstLine="0"/>
              <w:jc w:val="left"/>
            </w:pPr>
            <w:r>
              <w:rPr>
                <w:rFonts w:ascii="Times New Roman" w:hAnsi="Times New Roman"/>
                <w:sz w:val="24"/>
                <w:szCs w:val="24"/>
              </w:rPr>
              <w:t xml:space="preserve">Доля операций через цифровые каналы, %</w:t>
            </w:r>
          </w:p>
        </w:tc>
        <w:tc>
          <w:tcPr>
            <w:tcW w:w="1927" w:type="dxa"/>
          </w:tcPr>
          <w:p>
            <w:pPr>
              <w:spacing w:line="240" w:lineRule="auto" w:before="0" w:after="0"/>
              <w:ind w:firstLine="0"/>
              <w:jc w:val="left"/>
            </w:pPr>
            <w:r>
              <w:rPr>
                <w:rFonts w:ascii="Times New Roman" w:hAnsi="Times New Roman"/>
                <w:sz w:val="24"/>
                <w:szCs w:val="24"/>
              </w:rPr>
              <w:t xml:space="preserve">93,4</w:t>
            </w:r>
          </w:p>
        </w:tc>
        <w:tc>
          <w:tcPr>
            <w:tcW w:w="1927" w:type="dxa"/>
          </w:tcPr>
          <w:p>
            <w:pPr>
              <w:spacing w:line="240" w:lineRule="auto" w:before="0" w:after="0"/>
              <w:ind w:firstLine="0"/>
              <w:jc w:val="left"/>
            </w:pPr>
            <w:r>
              <w:rPr>
                <w:rFonts w:ascii="Times New Roman" w:hAnsi="Times New Roman"/>
                <w:sz w:val="24"/>
                <w:szCs w:val="24"/>
              </w:rPr>
              <w:t xml:space="preserve">95,1</w:t>
            </w:r>
          </w:p>
        </w:tc>
        <w:tc>
          <w:tcPr>
            <w:tcW w:w="1927" w:type="dxa"/>
          </w:tcPr>
          <w:p>
            <w:pPr>
              <w:spacing w:line="240" w:lineRule="auto" w:before="0" w:after="0"/>
              <w:ind w:firstLine="0"/>
              <w:jc w:val="left"/>
            </w:pPr>
            <w:r>
              <w:rPr>
                <w:rFonts w:ascii="Times New Roman" w:hAnsi="Times New Roman"/>
                <w:sz w:val="24"/>
                <w:szCs w:val="24"/>
              </w:rPr>
              <w:t xml:space="preserve">96,3</w:t>
            </w:r>
          </w:p>
        </w:tc>
        <w:tc>
          <w:tcPr>
            <w:tcW w:w="1927" w:type="dxa"/>
          </w:tcPr>
          <w:p>
            <w:pPr>
              <w:spacing w:line="240" w:lineRule="auto" w:before="0" w:after="0"/>
              <w:ind w:firstLine="0"/>
              <w:jc w:val="left"/>
            </w:pPr>
            <w:r>
              <w:rPr>
                <w:rFonts w:ascii="Times New Roman" w:hAnsi="Times New Roman"/>
                <w:sz w:val="24"/>
                <w:szCs w:val="24"/>
              </w:rPr>
              <w:t xml:space="preserve">—</w:t>
            </w:r>
          </w:p>
        </w:tc>
      </w:tr>
      <w:tr>
        <w:tc>
          <w:tcPr>
            <w:tcW w:w="1927" w:type="dxa"/>
          </w:tcPr>
          <w:p>
            <w:pPr>
              <w:spacing w:line="240" w:lineRule="auto" w:before="0" w:after="0"/>
              <w:ind w:firstLine="0"/>
              <w:jc w:val="left"/>
            </w:pPr>
            <w:r>
              <w:rPr>
                <w:rFonts w:ascii="Times New Roman" w:hAnsi="Times New Roman"/>
                <w:sz w:val="24"/>
                <w:szCs w:val="24"/>
              </w:rPr>
              <w:t xml:space="preserve">Доля операций, инициированных через мобильный банкинг, %</w:t>
            </w:r>
          </w:p>
        </w:tc>
        <w:tc>
          <w:tcPr>
            <w:tcW w:w="1927" w:type="dxa"/>
          </w:tcPr>
          <w:p>
            <w:pPr>
              <w:spacing w:line="240" w:lineRule="auto" w:before="0" w:after="0"/>
              <w:ind w:firstLine="0"/>
              <w:jc w:val="left"/>
            </w:pPr>
            <w:r>
              <w:rPr>
                <w:rFonts w:ascii="Times New Roman" w:hAnsi="Times New Roman"/>
                <w:sz w:val="24"/>
                <w:szCs w:val="24"/>
              </w:rPr>
              <w:t xml:space="preserve">72,5</w:t>
            </w:r>
          </w:p>
        </w:tc>
        <w:tc>
          <w:tcPr>
            <w:tcW w:w="1927" w:type="dxa"/>
          </w:tcPr>
          <w:p>
            <w:pPr>
              <w:spacing w:line="240" w:lineRule="auto" w:before="0" w:after="0"/>
              <w:ind w:firstLine="0"/>
              <w:jc w:val="left"/>
            </w:pPr>
            <w:r>
              <w:rPr>
                <w:rFonts w:ascii="Times New Roman" w:hAnsi="Times New Roman"/>
                <w:sz w:val="24"/>
                <w:szCs w:val="24"/>
              </w:rPr>
              <w:t xml:space="preserve">78,4</w:t>
            </w:r>
          </w:p>
        </w:tc>
        <w:tc>
          <w:tcPr>
            <w:tcW w:w="1927" w:type="dxa"/>
          </w:tcPr>
          <w:p>
            <w:pPr>
              <w:spacing w:line="240" w:lineRule="auto" w:before="0" w:after="0"/>
              <w:ind w:firstLine="0"/>
              <w:jc w:val="left"/>
            </w:pPr>
            <w:r>
              <w:rPr>
                <w:rFonts w:ascii="Times New Roman" w:hAnsi="Times New Roman"/>
                <w:sz w:val="24"/>
                <w:szCs w:val="24"/>
              </w:rPr>
              <w:t xml:space="preserve">82,6</w:t>
            </w:r>
          </w:p>
        </w:tc>
        <w:tc>
          <w:tcPr>
            <w:tcW w:w="1927" w:type="dxa"/>
          </w:tcPr>
          <w:p>
            <w:pPr>
              <w:spacing w:line="240" w:lineRule="auto" w:before="0" w:after="0"/>
              <w:ind w:firstLine="0"/>
              <w:jc w:val="left"/>
            </w:pPr>
            <w:r>
              <w:rPr>
                <w:rFonts w:ascii="Times New Roman" w:hAnsi="Times New Roman"/>
                <w:sz w:val="24"/>
                <w:szCs w:val="24"/>
              </w:rPr>
              <w:t xml:space="preserve">—</w:t>
            </w:r>
          </w:p>
        </w:tc>
      </w:tr>
    </w:tbl>
    <w:p>
      <w:pPr>
        <w:ind w:firstLine="0"/>
      </w:pPr>
    </w:p>
    <w:p>
      <w:pPr>
        <w:spacing w:line="360" w:lineRule="auto" w:before="60" w:after="120"/>
        <w:ind w:firstLine="0"/>
        <w:jc w:val="left"/>
      </w:pPr>
      <w:r>
        <w:rPr>
          <w:i/>
          <w:iCs/>
        </w:rPr>
        <w:t xml:space="preserve">Источник: годовые отчёты ПАО «Сбербанк» за 2022–2024 гг. [39, 40]; расчёты автора.</w:t>
      </w:r>
    </w:p>
    <w:p>
      <w:pPr>
        <w:jc w:val="both"/>
      </w:pPr>
      <w:r>
        <w:t xml:space="preserve">Анализ данных таблицы 2.2.1 показывает, что количество переводов в банке выросло на 45,1 % за три года, тогда как их совокупный объём — лишь на 25,9 %. Это указывает на снижение среднего размера одного перевода с 2,5 тыс. руб. в 2022 году до 2,2 тыс. руб. в 2024 году. Подобная тенденция объясняется массовизацией переводов, ростом числа мелких розничных операций (P2P, оплата товаров и услуг, выплаты), а также изменением модели потребительского поведения в сторону более частых, но меньших по сумме платежей (в том числе для оплаты повседневных нужд через QR-коды).</w:t>
      </w:r>
    </w:p>
    <w:p>
      <w:pPr>
        <w:jc w:val="both"/>
      </w:pPr>
      <w:r>
        <w:t xml:space="preserve">Доля операций через цифровые каналы увеличилась с 93,4 % до 96,3 %, доля переводов через мобильный банкинг — с 72,5 % до 82,6 %, что подтверждает ускоренное развитие дистанционных каналов. Это согласуется с общероссийскими тенденциями: согласно данным Банка России, среднее значение по банковской системе на конец 2024 года составило 95 % для цифровых каналов в целом.</w:t>
      </w:r>
    </w:p>
    <w:p>
      <w:pPr>
        <w:jc w:val="both"/>
      </w:pPr>
      <w:r>
        <w:t xml:space="preserve">Структура переводов клиентов ПАО «Сбербанк» по основным категориям представлена в таблице 2.2.2.</w:t>
      </w:r>
    </w:p>
    <w:p>
      <w:pPr>
        <w:spacing w:line="360" w:lineRule="auto" w:before="120" w:after="60"/>
        <w:ind w:firstLine="0"/>
        <w:jc w:val="left"/>
      </w:pPr>
      <w:r>
        <w:t xml:space="preserve">Таблица 2.2.2 — Структура переводов клиентов ПАО «Сбербанк» по категориям в 2024 году</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Категория переводов</w:t>
            </w:r>
          </w:p>
        </w:tc>
        <w:tc>
          <w:tcPr>
            <w:tcW w:w="1927" w:type="dxa"/>
          </w:tcPr>
          <w:p>
            <w:pPr>
              <w:spacing w:line="240" w:lineRule="auto" w:before="0" w:after="0"/>
              <w:ind w:firstLine="0"/>
              <w:jc w:val="center"/>
            </w:pPr>
            <w:r>
              <w:rPr>
                <w:rFonts w:ascii="Times New Roman" w:hAnsi="Times New Roman"/>
                <w:sz w:val="24"/>
                <w:szCs w:val="24"/>
                <w:b/>
                <w:bCs/>
              </w:rPr>
              <w:t xml:space="preserve">Количество, млрд опер.</w:t>
            </w:r>
          </w:p>
        </w:tc>
        <w:tc>
          <w:tcPr>
            <w:tcW w:w="1927" w:type="dxa"/>
          </w:tcPr>
          <w:p>
            <w:pPr>
              <w:spacing w:line="240" w:lineRule="auto" w:before="0" w:after="0"/>
              <w:ind w:firstLine="0"/>
              <w:jc w:val="center"/>
            </w:pPr>
            <w:r>
              <w:rPr>
                <w:rFonts w:ascii="Times New Roman" w:hAnsi="Times New Roman"/>
                <w:sz w:val="24"/>
                <w:szCs w:val="24"/>
                <w:b/>
                <w:bCs/>
              </w:rPr>
              <w:t xml:space="preserve">Доля по количеству, %</w:t>
            </w:r>
          </w:p>
        </w:tc>
        <w:tc>
          <w:tcPr>
            <w:tcW w:w="1927" w:type="dxa"/>
          </w:tcPr>
          <w:p>
            <w:pPr>
              <w:spacing w:line="240" w:lineRule="auto" w:before="0" w:after="0"/>
              <w:ind w:firstLine="0"/>
              <w:jc w:val="center"/>
            </w:pPr>
            <w:r>
              <w:rPr>
                <w:rFonts w:ascii="Times New Roman" w:hAnsi="Times New Roman"/>
                <w:sz w:val="24"/>
                <w:szCs w:val="24"/>
                <w:b/>
                <w:bCs/>
              </w:rPr>
              <w:t xml:space="preserve">Объём, трлн руб.</w:t>
            </w:r>
          </w:p>
        </w:tc>
        <w:tc>
          <w:tcPr>
            <w:tcW w:w="1927" w:type="dxa"/>
          </w:tcPr>
          <w:p>
            <w:pPr>
              <w:spacing w:line="240" w:lineRule="auto" w:before="0" w:after="0"/>
              <w:ind w:firstLine="0"/>
              <w:jc w:val="center"/>
            </w:pPr>
            <w:r>
              <w:rPr>
                <w:rFonts w:ascii="Times New Roman" w:hAnsi="Times New Roman"/>
                <w:sz w:val="24"/>
                <w:szCs w:val="24"/>
                <w:b/>
                <w:bCs/>
              </w:rPr>
              <w:t xml:space="preserve">Доля по объёму, %</w:t>
            </w:r>
          </w:p>
        </w:tc>
      </w:tr>
      <w:tr>
        <w:tc>
          <w:tcPr>
            <w:tcW w:w="1927" w:type="dxa"/>
          </w:tcPr>
          <w:p>
            <w:pPr>
              <w:spacing w:line="240" w:lineRule="auto" w:before="0" w:after="0"/>
              <w:ind w:firstLine="0"/>
              <w:jc w:val="left"/>
            </w:pPr>
            <w:r>
              <w:rPr>
                <w:rFonts w:ascii="Times New Roman" w:hAnsi="Times New Roman"/>
                <w:sz w:val="24"/>
                <w:szCs w:val="24"/>
              </w:rPr>
              <w:t xml:space="preserve">Внутрибанковские переводы (между счетами клиентов Сбера)</w:t>
            </w:r>
          </w:p>
        </w:tc>
        <w:tc>
          <w:tcPr>
            <w:tcW w:w="1927" w:type="dxa"/>
          </w:tcPr>
          <w:p>
            <w:pPr>
              <w:spacing w:line="240" w:lineRule="auto" w:before="0" w:after="0"/>
              <w:ind w:firstLine="0"/>
              <w:jc w:val="left"/>
            </w:pPr>
            <w:r>
              <w:rPr>
                <w:rFonts w:ascii="Times New Roman" w:hAnsi="Times New Roman"/>
                <w:sz w:val="24"/>
                <w:szCs w:val="24"/>
              </w:rPr>
              <w:t xml:space="preserve">32,1</w:t>
            </w:r>
          </w:p>
        </w:tc>
        <w:tc>
          <w:tcPr>
            <w:tcW w:w="1927" w:type="dxa"/>
          </w:tcPr>
          <w:p>
            <w:pPr>
              <w:spacing w:line="240" w:lineRule="auto" w:before="0" w:after="0"/>
              <w:ind w:firstLine="0"/>
              <w:jc w:val="left"/>
            </w:pPr>
            <w:r>
              <w:rPr>
                <w:rFonts w:ascii="Times New Roman" w:hAnsi="Times New Roman"/>
                <w:sz w:val="24"/>
                <w:szCs w:val="24"/>
              </w:rPr>
              <w:t xml:space="preserve">53,1</w:t>
            </w:r>
          </w:p>
        </w:tc>
        <w:tc>
          <w:tcPr>
            <w:tcW w:w="1927" w:type="dxa"/>
          </w:tcPr>
          <w:p>
            <w:pPr>
              <w:spacing w:line="240" w:lineRule="auto" w:before="0" w:after="0"/>
              <w:ind w:firstLine="0"/>
              <w:jc w:val="left"/>
            </w:pPr>
            <w:r>
              <w:rPr>
                <w:rFonts w:ascii="Times New Roman" w:hAnsi="Times New Roman"/>
                <w:sz w:val="24"/>
                <w:szCs w:val="24"/>
              </w:rPr>
              <w:t xml:space="preserve">41,8</w:t>
            </w:r>
          </w:p>
        </w:tc>
        <w:tc>
          <w:tcPr>
            <w:tcW w:w="1927" w:type="dxa"/>
          </w:tcPr>
          <w:p>
            <w:pPr>
              <w:spacing w:line="240" w:lineRule="auto" w:before="0" w:after="0"/>
              <w:ind w:firstLine="0"/>
              <w:jc w:val="left"/>
            </w:pPr>
            <w:r>
              <w:rPr>
                <w:rFonts w:ascii="Times New Roman" w:hAnsi="Times New Roman"/>
                <w:sz w:val="24"/>
                <w:szCs w:val="24"/>
              </w:rPr>
              <w:t xml:space="preserve">31,6</w:t>
            </w:r>
          </w:p>
        </w:tc>
      </w:tr>
      <w:tr>
        <w:tc>
          <w:tcPr>
            <w:tcW w:w="1927" w:type="dxa"/>
          </w:tcPr>
          <w:p>
            <w:pPr>
              <w:spacing w:line="240" w:lineRule="auto" w:before="0" w:after="0"/>
              <w:ind w:firstLine="0"/>
              <w:jc w:val="left"/>
            </w:pPr>
            <w:r>
              <w:rPr>
                <w:rFonts w:ascii="Times New Roman" w:hAnsi="Times New Roman"/>
                <w:sz w:val="24"/>
                <w:szCs w:val="24"/>
              </w:rPr>
              <w:t xml:space="preserve">Межбанковские переводы через СБП</w:t>
            </w:r>
          </w:p>
        </w:tc>
        <w:tc>
          <w:tcPr>
            <w:tcW w:w="1927" w:type="dxa"/>
          </w:tcPr>
          <w:p>
            <w:pPr>
              <w:spacing w:line="240" w:lineRule="auto" w:before="0" w:after="0"/>
              <w:ind w:firstLine="0"/>
              <w:jc w:val="left"/>
            </w:pPr>
            <w:r>
              <w:rPr>
                <w:rFonts w:ascii="Times New Roman" w:hAnsi="Times New Roman"/>
                <w:sz w:val="24"/>
                <w:szCs w:val="24"/>
              </w:rPr>
              <w:t xml:space="preserve">11,8</w:t>
            </w:r>
          </w:p>
        </w:tc>
        <w:tc>
          <w:tcPr>
            <w:tcW w:w="1927" w:type="dxa"/>
          </w:tcPr>
          <w:p>
            <w:pPr>
              <w:spacing w:line="240" w:lineRule="auto" w:before="0" w:after="0"/>
              <w:ind w:firstLine="0"/>
              <w:jc w:val="left"/>
            </w:pPr>
            <w:r>
              <w:rPr>
                <w:rFonts w:ascii="Times New Roman" w:hAnsi="Times New Roman"/>
                <w:sz w:val="24"/>
                <w:szCs w:val="24"/>
              </w:rPr>
              <w:t xml:space="preserve">19,5</w:t>
            </w:r>
          </w:p>
        </w:tc>
        <w:tc>
          <w:tcPr>
            <w:tcW w:w="1927" w:type="dxa"/>
          </w:tcPr>
          <w:p>
            <w:pPr>
              <w:spacing w:line="240" w:lineRule="auto" w:before="0" w:after="0"/>
              <w:ind w:firstLine="0"/>
              <w:jc w:val="left"/>
            </w:pPr>
            <w:r>
              <w:rPr>
                <w:rFonts w:ascii="Times New Roman" w:hAnsi="Times New Roman"/>
                <w:sz w:val="24"/>
                <w:szCs w:val="24"/>
              </w:rPr>
              <w:t xml:space="preserve">18,7</w:t>
            </w:r>
          </w:p>
        </w:tc>
        <w:tc>
          <w:tcPr>
            <w:tcW w:w="1927" w:type="dxa"/>
          </w:tcPr>
          <w:p>
            <w:pPr>
              <w:spacing w:line="240" w:lineRule="auto" w:before="0" w:after="0"/>
              <w:ind w:firstLine="0"/>
              <w:jc w:val="left"/>
            </w:pPr>
            <w:r>
              <w:rPr>
                <w:rFonts w:ascii="Times New Roman" w:hAnsi="Times New Roman"/>
                <w:sz w:val="24"/>
                <w:szCs w:val="24"/>
              </w:rPr>
              <w:t xml:space="preserve">14,1</w:t>
            </w:r>
          </w:p>
        </w:tc>
      </w:tr>
      <w:tr>
        <w:tc>
          <w:tcPr>
            <w:tcW w:w="1927" w:type="dxa"/>
          </w:tcPr>
          <w:p>
            <w:pPr>
              <w:spacing w:line="240" w:lineRule="auto" w:before="0" w:after="0"/>
              <w:ind w:firstLine="0"/>
              <w:jc w:val="left"/>
            </w:pPr>
            <w:r>
              <w:rPr>
                <w:rFonts w:ascii="Times New Roman" w:hAnsi="Times New Roman"/>
                <w:sz w:val="24"/>
                <w:szCs w:val="24"/>
              </w:rPr>
              <w:t xml:space="preserve">Переводы по карточным реквизитам (в т. ч. C2C)</w:t>
            </w:r>
          </w:p>
        </w:tc>
        <w:tc>
          <w:tcPr>
            <w:tcW w:w="1927" w:type="dxa"/>
          </w:tcPr>
          <w:p>
            <w:pPr>
              <w:spacing w:line="240" w:lineRule="auto" w:before="0" w:after="0"/>
              <w:ind w:firstLine="0"/>
              <w:jc w:val="left"/>
            </w:pPr>
            <w:r>
              <w:rPr>
                <w:rFonts w:ascii="Times New Roman" w:hAnsi="Times New Roman"/>
                <w:sz w:val="24"/>
                <w:szCs w:val="24"/>
              </w:rPr>
              <w:t xml:space="preserve">6,4</w:t>
            </w:r>
          </w:p>
        </w:tc>
        <w:tc>
          <w:tcPr>
            <w:tcW w:w="1927" w:type="dxa"/>
          </w:tcPr>
          <w:p>
            <w:pPr>
              <w:spacing w:line="240" w:lineRule="auto" w:before="0" w:after="0"/>
              <w:ind w:firstLine="0"/>
              <w:jc w:val="left"/>
            </w:pPr>
            <w:r>
              <w:rPr>
                <w:rFonts w:ascii="Times New Roman" w:hAnsi="Times New Roman"/>
                <w:sz w:val="24"/>
                <w:szCs w:val="24"/>
              </w:rPr>
              <w:t xml:space="preserve">10,6</w:t>
            </w:r>
          </w:p>
        </w:tc>
        <w:tc>
          <w:tcPr>
            <w:tcW w:w="1927" w:type="dxa"/>
          </w:tcPr>
          <w:p>
            <w:pPr>
              <w:spacing w:line="240" w:lineRule="auto" w:before="0" w:after="0"/>
              <w:ind w:firstLine="0"/>
              <w:jc w:val="left"/>
            </w:pPr>
            <w:r>
              <w:rPr>
                <w:rFonts w:ascii="Times New Roman" w:hAnsi="Times New Roman"/>
                <w:sz w:val="24"/>
                <w:szCs w:val="24"/>
              </w:rPr>
              <w:t xml:space="preserve">10,5</w:t>
            </w:r>
          </w:p>
        </w:tc>
        <w:tc>
          <w:tcPr>
            <w:tcW w:w="1927" w:type="dxa"/>
          </w:tcPr>
          <w:p>
            <w:pPr>
              <w:spacing w:line="240" w:lineRule="auto" w:before="0" w:after="0"/>
              <w:ind w:firstLine="0"/>
              <w:jc w:val="left"/>
            </w:pPr>
            <w:r>
              <w:rPr>
                <w:rFonts w:ascii="Times New Roman" w:hAnsi="Times New Roman"/>
                <w:sz w:val="24"/>
                <w:szCs w:val="24"/>
              </w:rPr>
              <w:t xml:space="preserve">7,9</w:t>
            </w:r>
          </w:p>
        </w:tc>
      </w:tr>
      <w:tr>
        <w:tc>
          <w:tcPr>
            <w:tcW w:w="1927" w:type="dxa"/>
          </w:tcPr>
          <w:p>
            <w:pPr>
              <w:spacing w:line="240" w:lineRule="auto" w:before="0" w:after="0"/>
              <w:ind w:firstLine="0"/>
              <w:jc w:val="left"/>
            </w:pPr>
            <w:r>
              <w:rPr>
                <w:rFonts w:ascii="Times New Roman" w:hAnsi="Times New Roman"/>
                <w:sz w:val="24"/>
                <w:szCs w:val="24"/>
              </w:rPr>
              <w:t xml:space="preserve">Платежи в адрес юридических лиц (P2B)</w:t>
            </w:r>
          </w:p>
        </w:tc>
        <w:tc>
          <w:tcPr>
            <w:tcW w:w="1927" w:type="dxa"/>
          </w:tcPr>
          <w:p>
            <w:pPr>
              <w:spacing w:line="240" w:lineRule="auto" w:before="0" w:after="0"/>
              <w:ind w:firstLine="0"/>
              <w:jc w:val="left"/>
            </w:pPr>
            <w:r>
              <w:rPr>
                <w:rFonts w:ascii="Times New Roman" w:hAnsi="Times New Roman"/>
                <w:sz w:val="24"/>
                <w:szCs w:val="24"/>
              </w:rPr>
              <w:t xml:space="preserve">5,3</w:t>
            </w:r>
          </w:p>
        </w:tc>
        <w:tc>
          <w:tcPr>
            <w:tcW w:w="1927" w:type="dxa"/>
          </w:tcPr>
          <w:p>
            <w:pPr>
              <w:spacing w:line="240" w:lineRule="auto" w:before="0" w:after="0"/>
              <w:ind w:firstLine="0"/>
              <w:jc w:val="left"/>
            </w:pPr>
            <w:r>
              <w:rPr>
                <w:rFonts w:ascii="Times New Roman" w:hAnsi="Times New Roman"/>
                <w:sz w:val="24"/>
                <w:szCs w:val="24"/>
              </w:rPr>
              <w:t xml:space="preserve">8,8</w:t>
            </w:r>
          </w:p>
        </w:tc>
        <w:tc>
          <w:tcPr>
            <w:tcW w:w="1927" w:type="dxa"/>
          </w:tcPr>
          <w:p>
            <w:pPr>
              <w:spacing w:line="240" w:lineRule="auto" w:before="0" w:after="0"/>
              <w:ind w:firstLine="0"/>
              <w:jc w:val="left"/>
            </w:pPr>
            <w:r>
              <w:rPr>
                <w:rFonts w:ascii="Times New Roman" w:hAnsi="Times New Roman"/>
                <w:sz w:val="24"/>
                <w:szCs w:val="24"/>
              </w:rPr>
              <w:t xml:space="preserve">16,9</w:t>
            </w:r>
          </w:p>
        </w:tc>
        <w:tc>
          <w:tcPr>
            <w:tcW w:w="1927" w:type="dxa"/>
          </w:tcPr>
          <w:p>
            <w:pPr>
              <w:spacing w:line="240" w:lineRule="auto" w:before="0" w:after="0"/>
              <w:ind w:firstLine="0"/>
              <w:jc w:val="left"/>
            </w:pPr>
            <w:r>
              <w:rPr>
                <w:rFonts w:ascii="Times New Roman" w:hAnsi="Times New Roman"/>
                <w:sz w:val="24"/>
                <w:szCs w:val="24"/>
              </w:rPr>
              <w:t xml:space="preserve">12,8</w:t>
            </w:r>
          </w:p>
        </w:tc>
      </w:tr>
      <w:tr>
        <w:tc>
          <w:tcPr>
            <w:tcW w:w="1927" w:type="dxa"/>
          </w:tcPr>
          <w:p>
            <w:pPr>
              <w:spacing w:line="240" w:lineRule="auto" w:before="0" w:after="0"/>
              <w:ind w:firstLine="0"/>
              <w:jc w:val="left"/>
            </w:pPr>
            <w:r>
              <w:rPr>
                <w:rFonts w:ascii="Times New Roman" w:hAnsi="Times New Roman"/>
                <w:sz w:val="24"/>
                <w:szCs w:val="24"/>
              </w:rPr>
              <w:t xml:space="preserve">Налоговые и иные обязательные платежи</w:t>
            </w:r>
          </w:p>
        </w:tc>
        <w:tc>
          <w:tcPr>
            <w:tcW w:w="1927" w:type="dxa"/>
          </w:tcPr>
          <w:p>
            <w:pPr>
              <w:spacing w:line="240" w:lineRule="auto" w:before="0" w:after="0"/>
              <w:ind w:firstLine="0"/>
              <w:jc w:val="left"/>
            </w:pPr>
            <w:r>
              <w:rPr>
                <w:rFonts w:ascii="Times New Roman" w:hAnsi="Times New Roman"/>
                <w:sz w:val="24"/>
                <w:szCs w:val="24"/>
              </w:rPr>
              <w:t xml:space="preserve">1,2</w:t>
            </w:r>
          </w:p>
        </w:tc>
        <w:tc>
          <w:tcPr>
            <w:tcW w:w="1927" w:type="dxa"/>
          </w:tcPr>
          <w:p>
            <w:pPr>
              <w:spacing w:line="240" w:lineRule="auto" w:before="0" w:after="0"/>
              <w:ind w:firstLine="0"/>
              <w:jc w:val="left"/>
            </w:pPr>
            <w:r>
              <w:rPr>
                <w:rFonts w:ascii="Times New Roman" w:hAnsi="Times New Roman"/>
                <w:sz w:val="24"/>
                <w:szCs w:val="24"/>
              </w:rPr>
              <w:t xml:space="preserve">2,0</w:t>
            </w:r>
          </w:p>
        </w:tc>
        <w:tc>
          <w:tcPr>
            <w:tcW w:w="1927" w:type="dxa"/>
          </w:tcPr>
          <w:p>
            <w:pPr>
              <w:spacing w:line="240" w:lineRule="auto" w:before="0" w:after="0"/>
              <w:ind w:firstLine="0"/>
              <w:jc w:val="left"/>
            </w:pPr>
            <w:r>
              <w:rPr>
                <w:rFonts w:ascii="Times New Roman" w:hAnsi="Times New Roman"/>
                <w:sz w:val="24"/>
                <w:szCs w:val="24"/>
              </w:rPr>
              <w:t xml:space="preserve">8,3</w:t>
            </w:r>
          </w:p>
        </w:tc>
        <w:tc>
          <w:tcPr>
            <w:tcW w:w="1927" w:type="dxa"/>
          </w:tcPr>
          <w:p>
            <w:pPr>
              <w:spacing w:line="240" w:lineRule="auto" w:before="0" w:after="0"/>
              <w:ind w:firstLine="0"/>
              <w:jc w:val="left"/>
            </w:pPr>
            <w:r>
              <w:rPr>
                <w:rFonts w:ascii="Times New Roman" w:hAnsi="Times New Roman"/>
                <w:sz w:val="24"/>
                <w:szCs w:val="24"/>
              </w:rPr>
              <w:t xml:space="preserve">6,3</w:t>
            </w:r>
          </w:p>
        </w:tc>
      </w:tr>
      <w:tr>
        <w:tc>
          <w:tcPr>
            <w:tcW w:w="1927" w:type="dxa"/>
          </w:tcPr>
          <w:p>
            <w:pPr>
              <w:spacing w:line="240" w:lineRule="auto" w:before="0" w:after="0"/>
              <w:ind w:firstLine="0"/>
              <w:jc w:val="left"/>
            </w:pPr>
            <w:r>
              <w:rPr>
                <w:rFonts w:ascii="Times New Roman" w:hAnsi="Times New Roman"/>
                <w:sz w:val="24"/>
                <w:szCs w:val="24"/>
              </w:rPr>
              <w:t xml:space="preserve">Корпоративные переводы (B2B)</w:t>
            </w:r>
          </w:p>
        </w:tc>
        <w:tc>
          <w:tcPr>
            <w:tcW w:w="1927" w:type="dxa"/>
          </w:tcPr>
          <w:p>
            <w:pPr>
              <w:spacing w:line="240" w:lineRule="auto" w:before="0" w:after="0"/>
              <w:ind w:firstLine="0"/>
              <w:jc w:val="left"/>
            </w:pPr>
            <w:r>
              <w:rPr>
                <w:rFonts w:ascii="Times New Roman" w:hAnsi="Times New Roman"/>
                <w:sz w:val="24"/>
                <w:szCs w:val="24"/>
              </w:rPr>
              <w:t xml:space="preserve">2,8</w:t>
            </w:r>
          </w:p>
        </w:tc>
        <w:tc>
          <w:tcPr>
            <w:tcW w:w="1927" w:type="dxa"/>
          </w:tcPr>
          <w:p>
            <w:pPr>
              <w:spacing w:line="240" w:lineRule="auto" w:before="0" w:after="0"/>
              <w:ind w:firstLine="0"/>
              <w:jc w:val="left"/>
            </w:pPr>
            <w:r>
              <w:rPr>
                <w:rFonts w:ascii="Times New Roman" w:hAnsi="Times New Roman"/>
                <w:sz w:val="24"/>
                <w:szCs w:val="24"/>
              </w:rPr>
              <w:t xml:space="preserve">4,6</w:t>
            </w:r>
          </w:p>
        </w:tc>
        <w:tc>
          <w:tcPr>
            <w:tcW w:w="1927" w:type="dxa"/>
          </w:tcPr>
          <w:p>
            <w:pPr>
              <w:spacing w:line="240" w:lineRule="auto" w:before="0" w:after="0"/>
              <w:ind w:firstLine="0"/>
              <w:jc w:val="left"/>
            </w:pPr>
            <w:r>
              <w:rPr>
                <w:rFonts w:ascii="Times New Roman" w:hAnsi="Times New Roman"/>
                <w:sz w:val="24"/>
                <w:szCs w:val="24"/>
              </w:rPr>
              <w:t xml:space="preserve">29,8</w:t>
            </w:r>
          </w:p>
        </w:tc>
        <w:tc>
          <w:tcPr>
            <w:tcW w:w="1927" w:type="dxa"/>
          </w:tcPr>
          <w:p>
            <w:pPr>
              <w:spacing w:line="240" w:lineRule="auto" w:before="0" w:after="0"/>
              <w:ind w:firstLine="0"/>
              <w:jc w:val="left"/>
            </w:pPr>
            <w:r>
              <w:rPr>
                <w:rFonts w:ascii="Times New Roman" w:hAnsi="Times New Roman"/>
                <w:sz w:val="24"/>
                <w:szCs w:val="24"/>
              </w:rPr>
              <w:t xml:space="preserve">22,5</w:t>
            </w:r>
          </w:p>
        </w:tc>
      </w:tr>
      <w:tr>
        <w:tc>
          <w:tcPr>
            <w:tcW w:w="1927" w:type="dxa"/>
          </w:tcPr>
          <w:p>
            <w:pPr>
              <w:spacing w:line="240" w:lineRule="auto" w:before="0" w:after="0"/>
              <w:ind w:firstLine="0"/>
              <w:jc w:val="left"/>
            </w:pPr>
            <w:r>
              <w:rPr>
                <w:rFonts w:ascii="Times New Roman" w:hAnsi="Times New Roman"/>
                <w:sz w:val="24"/>
                <w:szCs w:val="24"/>
              </w:rPr>
              <w:t xml:space="preserve">Зарплатные проекты и социальные выплаты (B2P)</w:t>
            </w:r>
          </w:p>
        </w:tc>
        <w:tc>
          <w:tcPr>
            <w:tcW w:w="1927" w:type="dxa"/>
          </w:tcPr>
          <w:p>
            <w:pPr>
              <w:spacing w:line="240" w:lineRule="auto" w:before="0" w:after="0"/>
              <w:ind w:firstLine="0"/>
              <w:jc w:val="left"/>
            </w:pPr>
            <w:r>
              <w:rPr>
                <w:rFonts w:ascii="Times New Roman" w:hAnsi="Times New Roman"/>
                <w:sz w:val="24"/>
                <w:szCs w:val="24"/>
              </w:rPr>
              <w:t xml:space="preserve">0,7</w:t>
            </w:r>
          </w:p>
        </w:tc>
        <w:tc>
          <w:tcPr>
            <w:tcW w:w="1927" w:type="dxa"/>
          </w:tcPr>
          <w:p>
            <w:pPr>
              <w:spacing w:line="240" w:lineRule="auto" w:before="0" w:after="0"/>
              <w:ind w:firstLine="0"/>
              <w:jc w:val="left"/>
            </w:pPr>
            <w:r>
              <w:rPr>
                <w:rFonts w:ascii="Times New Roman" w:hAnsi="Times New Roman"/>
                <w:sz w:val="24"/>
                <w:szCs w:val="24"/>
              </w:rPr>
              <w:t xml:space="preserve">1,2</w:t>
            </w:r>
          </w:p>
        </w:tc>
        <w:tc>
          <w:tcPr>
            <w:tcW w:w="1927" w:type="dxa"/>
          </w:tcPr>
          <w:p>
            <w:pPr>
              <w:spacing w:line="240" w:lineRule="auto" w:before="0" w:after="0"/>
              <w:ind w:firstLine="0"/>
              <w:jc w:val="left"/>
            </w:pPr>
            <w:r>
              <w:rPr>
                <w:rFonts w:ascii="Times New Roman" w:hAnsi="Times New Roman"/>
                <w:sz w:val="24"/>
                <w:szCs w:val="24"/>
              </w:rPr>
              <w:t xml:space="preserve">5,2</w:t>
            </w:r>
          </w:p>
        </w:tc>
        <w:tc>
          <w:tcPr>
            <w:tcW w:w="1927" w:type="dxa"/>
          </w:tcPr>
          <w:p>
            <w:pPr>
              <w:spacing w:line="240" w:lineRule="auto" w:before="0" w:after="0"/>
              <w:ind w:firstLine="0"/>
              <w:jc w:val="left"/>
            </w:pPr>
            <w:r>
              <w:rPr>
                <w:rFonts w:ascii="Times New Roman" w:hAnsi="Times New Roman"/>
                <w:sz w:val="24"/>
                <w:szCs w:val="24"/>
              </w:rPr>
              <w:t xml:space="preserve">3,9</w:t>
            </w:r>
          </w:p>
        </w:tc>
      </w:tr>
      <w:tr>
        <w:tc>
          <w:tcPr>
            <w:tcW w:w="1927" w:type="dxa"/>
          </w:tcPr>
          <w:p>
            <w:pPr>
              <w:spacing w:line="240" w:lineRule="auto" w:before="0" w:after="0"/>
              <w:ind w:firstLine="0"/>
              <w:jc w:val="left"/>
            </w:pPr>
            <w:r>
              <w:rPr>
                <w:rFonts w:ascii="Times New Roman" w:hAnsi="Times New Roman"/>
                <w:sz w:val="24"/>
                <w:szCs w:val="24"/>
              </w:rPr>
              <w:t xml:space="preserve">Трансграничные переводы</w:t>
            </w:r>
          </w:p>
        </w:tc>
        <w:tc>
          <w:tcPr>
            <w:tcW w:w="1927" w:type="dxa"/>
          </w:tcPr>
          <w:p>
            <w:pPr>
              <w:spacing w:line="240" w:lineRule="auto" w:before="0" w:after="0"/>
              <w:ind w:firstLine="0"/>
              <w:jc w:val="left"/>
            </w:pPr>
            <w:r>
              <w:rPr>
                <w:rFonts w:ascii="Times New Roman" w:hAnsi="Times New Roman"/>
                <w:sz w:val="24"/>
                <w:szCs w:val="24"/>
              </w:rPr>
              <w:t xml:space="preserve">0,2</w:t>
            </w:r>
          </w:p>
        </w:tc>
        <w:tc>
          <w:tcPr>
            <w:tcW w:w="1927" w:type="dxa"/>
          </w:tcPr>
          <w:p>
            <w:pPr>
              <w:spacing w:line="240" w:lineRule="auto" w:before="0" w:after="0"/>
              <w:ind w:firstLine="0"/>
              <w:jc w:val="left"/>
            </w:pPr>
            <w:r>
              <w:rPr>
                <w:rFonts w:ascii="Times New Roman" w:hAnsi="Times New Roman"/>
                <w:sz w:val="24"/>
                <w:szCs w:val="24"/>
              </w:rPr>
              <w:t xml:space="preserve">0,3</w:t>
            </w:r>
          </w:p>
        </w:tc>
        <w:tc>
          <w:tcPr>
            <w:tcW w:w="1927" w:type="dxa"/>
          </w:tcPr>
          <w:p>
            <w:pPr>
              <w:spacing w:line="240" w:lineRule="auto" w:before="0" w:after="0"/>
              <w:ind w:firstLine="0"/>
              <w:jc w:val="left"/>
            </w:pPr>
            <w:r>
              <w:rPr>
                <w:rFonts w:ascii="Times New Roman" w:hAnsi="Times New Roman"/>
                <w:sz w:val="24"/>
                <w:szCs w:val="24"/>
              </w:rPr>
              <w:t xml:space="preserve">1,2</w:t>
            </w:r>
          </w:p>
        </w:tc>
        <w:tc>
          <w:tcPr>
            <w:tcW w:w="1927" w:type="dxa"/>
          </w:tcPr>
          <w:p>
            <w:pPr>
              <w:spacing w:line="240" w:lineRule="auto" w:before="0" w:after="0"/>
              <w:ind w:firstLine="0"/>
              <w:jc w:val="left"/>
            </w:pPr>
            <w:r>
              <w:rPr>
                <w:rFonts w:ascii="Times New Roman" w:hAnsi="Times New Roman"/>
                <w:sz w:val="24"/>
                <w:szCs w:val="24"/>
              </w:rPr>
              <w:t xml:space="preserve">0,9</w:t>
            </w:r>
          </w:p>
        </w:tc>
      </w:tr>
      <w:tr>
        <w:tc>
          <w:tcPr>
            <w:tcW w:w="1927" w:type="dxa"/>
          </w:tcPr>
          <w:p>
            <w:pPr>
              <w:spacing w:line="240" w:lineRule="auto" w:before="0" w:after="0"/>
              <w:ind w:firstLine="0"/>
              <w:jc w:val="left"/>
            </w:pPr>
            <w:r>
              <w:rPr>
                <w:rFonts w:ascii="Times New Roman" w:hAnsi="Times New Roman"/>
                <w:sz w:val="24"/>
                <w:szCs w:val="24"/>
                <w:b/>
                <w:bCs/>
              </w:rPr>
              <w:t xml:space="preserve">Итого</w:t>
            </w:r>
          </w:p>
        </w:tc>
        <w:tc>
          <w:tcPr>
            <w:tcW w:w="1927" w:type="dxa"/>
          </w:tcPr>
          <w:p>
            <w:pPr>
              <w:spacing w:line="240" w:lineRule="auto" w:before="0" w:after="0"/>
              <w:ind w:firstLine="0"/>
              <w:jc w:val="left"/>
            </w:pPr>
            <w:r>
              <w:rPr>
                <w:rFonts w:ascii="Times New Roman" w:hAnsi="Times New Roman"/>
                <w:sz w:val="24"/>
                <w:szCs w:val="24"/>
                <w:b/>
                <w:bCs/>
              </w:rPr>
              <w:t xml:space="preserve">60,5</w:t>
            </w:r>
          </w:p>
        </w:tc>
        <w:tc>
          <w:tcPr>
            <w:tcW w:w="1927" w:type="dxa"/>
          </w:tcPr>
          <w:p>
            <w:pPr>
              <w:spacing w:line="240" w:lineRule="auto" w:before="0" w:after="0"/>
              <w:ind w:firstLine="0"/>
              <w:jc w:val="left"/>
            </w:pPr>
            <w:r>
              <w:rPr>
                <w:rFonts w:ascii="Times New Roman" w:hAnsi="Times New Roman"/>
                <w:sz w:val="24"/>
                <w:szCs w:val="24"/>
                <w:b/>
                <w:bCs/>
              </w:rPr>
              <w:t xml:space="preserve">100,0</w:t>
            </w:r>
          </w:p>
        </w:tc>
        <w:tc>
          <w:tcPr>
            <w:tcW w:w="1927" w:type="dxa"/>
          </w:tcPr>
          <w:p>
            <w:pPr>
              <w:spacing w:line="240" w:lineRule="auto" w:before="0" w:after="0"/>
              <w:ind w:firstLine="0"/>
              <w:jc w:val="left"/>
            </w:pPr>
            <w:r>
              <w:rPr>
                <w:rFonts w:ascii="Times New Roman" w:hAnsi="Times New Roman"/>
                <w:sz w:val="24"/>
                <w:szCs w:val="24"/>
                <w:b/>
                <w:bCs/>
              </w:rPr>
              <w:t xml:space="preserve">132,4</w:t>
            </w:r>
          </w:p>
        </w:tc>
        <w:tc>
          <w:tcPr>
            <w:tcW w:w="1927" w:type="dxa"/>
          </w:tcPr>
          <w:p>
            <w:pPr>
              <w:spacing w:line="240" w:lineRule="auto" w:before="0" w:after="0"/>
              <w:ind w:firstLine="0"/>
              <w:jc w:val="left"/>
            </w:pPr>
            <w:r>
              <w:rPr>
                <w:rFonts w:ascii="Times New Roman" w:hAnsi="Times New Roman"/>
                <w:sz w:val="24"/>
                <w:szCs w:val="24"/>
                <w:b/>
                <w:bCs/>
              </w:rPr>
              <w:t xml:space="preserve">100,0</w:t>
            </w:r>
          </w:p>
        </w:tc>
      </w:tr>
    </w:tbl>
    <w:p>
      <w:pPr>
        <w:ind w:firstLine="0"/>
      </w:pPr>
    </w:p>
    <w:p>
      <w:pPr>
        <w:spacing w:line="360" w:lineRule="auto" w:before="60" w:after="120"/>
        <w:ind w:firstLine="0"/>
        <w:jc w:val="left"/>
      </w:pPr>
      <w:r>
        <w:rPr>
          <w:i/>
          <w:iCs/>
        </w:rPr>
        <w:t xml:space="preserve">Источник: годовые отчёты ПАО «Сбербанк» [39, 40]; расчёты автора.</w:t>
      </w:r>
    </w:p>
    <w:p>
      <w:pPr>
        <w:jc w:val="both"/>
      </w:pPr>
      <w:r>
        <w:t xml:space="preserve">Таким образом, в общей структуре операций по количеству доминируют внутрибанковские переводы (53,1 %), что свидетельствует о значительной доле внутреннего рынка банка благодаря его клиентской базе свыше 110 млн человек. Второе место занимают межбанковские переводы через СБП (19,5 %), которые в последние годы растут наиболее быстрыми темпами. Корпоративные переводы (B2B) составляют только 4,6 % по количеству, но 22,5 % по объёму, что отражает их характер: меньшее число операций при значительно большей средней сумме (около 10 млн руб. за одну операцию).</w:t>
      </w:r>
    </w:p>
    <w:p>
      <w:pPr>
        <w:jc w:val="both"/>
      </w:pPr>
      <w:r>
        <w:t xml:space="preserve">Особый интерес представляет анализ переводов через Систему быстрых платежей. Динамика количества операций через СБП в ПАО «Сбербанк» представлена на рисунке 2.2.1.</w:t>
      </w:r>
    </w:p>
    <w:p>
      <w:pPr>
        <w:spacing w:line="360" w:lineRule="auto" w:before="120" w:after="120"/>
        <w:ind w:firstLine="0"/>
        <w:jc w:val="center"/>
      </w:pPr>
      <w:r>
        <w:rPr>
          <w:i/>
          <w:iCs/>
        </w:rPr>
        <w:t xml:space="preserve">Рисунок 2.2.1 — Динамика количества переводов через СБП в ПАО «Сбербанк» за 2022–2024 гг., млрд операций</w:t>
      </w:r>
    </w:p>
    <w:p>
      <w:pPr>
        <w:jc w:val="both"/>
      </w:pPr>
      <w:r>
        <w:t xml:space="preserve">Если в 2022 году ПАО «Сбербанк» обработал около 4,5 млрд переводов через СБП, в 2023 году — 8,3 млрд, то в 2024 году эта цифра достигла 11,8 млрд. Причины ускоренного роста СБП включают: бесплатность операций до 100 тыс. рублей в месяц; предельную скорость зачисления (до 15 секунд); активное продвижение сервиса банком и регулятором; постепенное вытеснение традиционных карточных C2C-переводов.</w:t>
      </w:r>
    </w:p>
    <w:p>
      <w:pPr>
        <w:jc w:val="both"/>
      </w:pPr>
      <w:r>
        <w:t xml:space="preserve">Структура переводов через СБП в ПАО «Сбербанк» по типам операций в 2024 году представлена в таблице 2.2.3.</w:t>
      </w:r>
    </w:p>
    <w:p>
      <w:pPr>
        <w:spacing w:line="360" w:lineRule="auto" w:before="120" w:after="60"/>
        <w:ind w:firstLine="0"/>
        <w:jc w:val="left"/>
      </w:pPr>
      <w:r>
        <w:t xml:space="preserve">Таблица 2.2.3 — Структура операций ПАО «Сбербанк» в Системе быстрых платежей в 2024 году</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Тип операции</w:t>
            </w:r>
          </w:p>
        </w:tc>
        <w:tc>
          <w:tcPr>
            <w:tcW w:w="1927" w:type="dxa"/>
          </w:tcPr>
          <w:p>
            <w:pPr>
              <w:spacing w:line="240" w:lineRule="auto" w:before="0" w:after="0"/>
              <w:ind w:firstLine="0"/>
              <w:jc w:val="center"/>
            </w:pPr>
            <w:r>
              <w:rPr>
                <w:rFonts w:ascii="Times New Roman" w:hAnsi="Times New Roman"/>
                <w:sz w:val="24"/>
                <w:szCs w:val="24"/>
                <w:b/>
                <w:bCs/>
              </w:rPr>
              <w:t xml:space="preserve">Количество, млн</w:t>
            </w:r>
          </w:p>
        </w:tc>
        <w:tc>
          <w:tcPr>
            <w:tcW w:w="1927" w:type="dxa"/>
          </w:tcPr>
          <w:p>
            <w:pPr>
              <w:spacing w:line="240" w:lineRule="auto" w:before="0" w:after="0"/>
              <w:ind w:firstLine="0"/>
              <w:jc w:val="center"/>
            </w:pPr>
            <w:r>
              <w:rPr>
                <w:rFonts w:ascii="Times New Roman" w:hAnsi="Times New Roman"/>
                <w:sz w:val="24"/>
                <w:szCs w:val="24"/>
                <w:b/>
                <w:bCs/>
              </w:rPr>
              <w:t xml:space="preserve">Доля, %</w:t>
            </w:r>
          </w:p>
        </w:tc>
        <w:tc>
          <w:tcPr>
            <w:tcW w:w="1927" w:type="dxa"/>
          </w:tcPr>
          <w:p>
            <w:pPr>
              <w:spacing w:line="240" w:lineRule="auto" w:before="0" w:after="0"/>
              <w:ind w:firstLine="0"/>
              <w:jc w:val="center"/>
            </w:pPr>
            <w:r>
              <w:rPr>
                <w:rFonts w:ascii="Times New Roman" w:hAnsi="Times New Roman"/>
                <w:sz w:val="24"/>
                <w:szCs w:val="24"/>
                <w:b/>
                <w:bCs/>
              </w:rPr>
              <w:t xml:space="preserve">Объём, млрд руб.</w:t>
            </w:r>
          </w:p>
        </w:tc>
        <w:tc>
          <w:tcPr>
            <w:tcW w:w="1927" w:type="dxa"/>
          </w:tcPr>
          <w:p>
            <w:pPr>
              <w:spacing w:line="240" w:lineRule="auto" w:before="0" w:after="0"/>
              <w:ind w:firstLine="0"/>
              <w:jc w:val="center"/>
            </w:pPr>
            <w:r>
              <w:rPr>
                <w:rFonts w:ascii="Times New Roman" w:hAnsi="Times New Roman"/>
                <w:sz w:val="24"/>
                <w:szCs w:val="24"/>
                <w:b/>
                <w:bCs/>
              </w:rPr>
              <w:t xml:space="preserve">Доля по объёму, %</w:t>
            </w:r>
          </w:p>
        </w:tc>
      </w:tr>
      <w:tr>
        <w:tc>
          <w:tcPr>
            <w:tcW w:w="1927" w:type="dxa"/>
          </w:tcPr>
          <w:p>
            <w:pPr>
              <w:spacing w:line="240" w:lineRule="auto" w:before="0" w:after="0"/>
              <w:ind w:firstLine="0"/>
              <w:jc w:val="left"/>
            </w:pPr>
            <w:r>
              <w:rPr>
                <w:rFonts w:ascii="Times New Roman" w:hAnsi="Times New Roman"/>
                <w:sz w:val="24"/>
                <w:szCs w:val="24"/>
              </w:rPr>
              <w:t xml:space="preserve">C2C — между гражданами</w:t>
            </w:r>
          </w:p>
        </w:tc>
        <w:tc>
          <w:tcPr>
            <w:tcW w:w="1927" w:type="dxa"/>
          </w:tcPr>
          <w:p>
            <w:pPr>
              <w:spacing w:line="240" w:lineRule="auto" w:before="0" w:after="0"/>
              <w:ind w:firstLine="0"/>
              <w:jc w:val="left"/>
            </w:pPr>
            <w:r>
              <w:rPr>
                <w:rFonts w:ascii="Times New Roman" w:hAnsi="Times New Roman"/>
                <w:sz w:val="24"/>
                <w:szCs w:val="24"/>
              </w:rPr>
              <w:t xml:space="preserve">9 250</w:t>
            </w:r>
          </w:p>
        </w:tc>
        <w:tc>
          <w:tcPr>
            <w:tcW w:w="1927" w:type="dxa"/>
          </w:tcPr>
          <w:p>
            <w:pPr>
              <w:spacing w:line="240" w:lineRule="auto" w:before="0" w:after="0"/>
              <w:ind w:firstLine="0"/>
              <w:jc w:val="left"/>
            </w:pPr>
            <w:r>
              <w:rPr>
                <w:rFonts w:ascii="Times New Roman" w:hAnsi="Times New Roman"/>
                <w:sz w:val="24"/>
                <w:szCs w:val="24"/>
              </w:rPr>
              <w:t xml:space="preserve">78,4</w:t>
            </w:r>
          </w:p>
        </w:tc>
        <w:tc>
          <w:tcPr>
            <w:tcW w:w="1927" w:type="dxa"/>
          </w:tcPr>
          <w:p>
            <w:pPr>
              <w:spacing w:line="240" w:lineRule="auto" w:before="0" w:after="0"/>
              <w:ind w:firstLine="0"/>
              <w:jc w:val="left"/>
            </w:pPr>
            <w:r>
              <w:rPr>
                <w:rFonts w:ascii="Times New Roman" w:hAnsi="Times New Roman"/>
                <w:sz w:val="24"/>
                <w:szCs w:val="24"/>
              </w:rPr>
              <w:t xml:space="preserve">13 980</w:t>
            </w:r>
          </w:p>
        </w:tc>
        <w:tc>
          <w:tcPr>
            <w:tcW w:w="1927" w:type="dxa"/>
          </w:tcPr>
          <w:p>
            <w:pPr>
              <w:spacing w:line="240" w:lineRule="auto" w:before="0" w:after="0"/>
              <w:ind w:firstLine="0"/>
              <w:jc w:val="left"/>
            </w:pPr>
            <w:r>
              <w:rPr>
                <w:rFonts w:ascii="Times New Roman" w:hAnsi="Times New Roman"/>
                <w:sz w:val="24"/>
                <w:szCs w:val="24"/>
              </w:rPr>
              <w:t xml:space="preserve">74,7</w:t>
            </w:r>
          </w:p>
        </w:tc>
      </w:tr>
      <w:tr>
        <w:tc>
          <w:tcPr>
            <w:tcW w:w="1927" w:type="dxa"/>
          </w:tcPr>
          <w:p>
            <w:pPr>
              <w:spacing w:line="240" w:lineRule="auto" w:before="0" w:after="0"/>
              <w:ind w:firstLine="0"/>
              <w:jc w:val="left"/>
            </w:pPr>
            <w:r>
              <w:rPr>
                <w:rFonts w:ascii="Times New Roman" w:hAnsi="Times New Roman"/>
                <w:sz w:val="24"/>
                <w:szCs w:val="24"/>
              </w:rPr>
              <w:t xml:space="preserve">Me2Me — между своими счетами в разных банках</w:t>
            </w:r>
          </w:p>
        </w:tc>
        <w:tc>
          <w:tcPr>
            <w:tcW w:w="1927" w:type="dxa"/>
          </w:tcPr>
          <w:p>
            <w:pPr>
              <w:spacing w:line="240" w:lineRule="auto" w:before="0" w:after="0"/>
              <w:ind w:firstLine="0"/>
              <w:jc w:val="left"/>
            </w:pPr>
            <w:r>
              <w:rPr>
                <w:rFonts w:ascii="Times New Roman" w:hAnsi="Times New Roman"/>
                <w:sz w:val="24"/>
                <w:szCs w:val="24"/>
              </w:rPr>
              <w:t xml:space="preserve">980</w:t>
            </w:r>
          </w:p>
        </w:tc>
        <w:tc>
          <w:tcPr>
            <w:tcW w:w="1927" w:type="dxa"/>
          </w:tcPr>
          <w:p>
            <w:pPr>
              <w:spacing w:line="240" w:lineRule="auto" w:before="0" w:after="0"/>
              <w:ind w:firstLine="0"/>
              <w:jc w:val="left"/>
            </w:pPr>
            <w:r>
              <w:rPr>
                <w:rFonts w:ascii="Times New Roman" w:hAnsi="Times New Roman"/>
                <w:sz w:val="24"/>
                <w:szCs w:val="24"/>
              </w:rPr>
              <w:t xml:space="preserve">8,3</w:t>
            </w:r>
          </w:p>
        </w:tc>
        <w:tc>
          <w:tcPr>
            <w:tcW w:w="1927" w:type="dxa"/>
          </w:tcPr>
          <w:p>
            <w:pPr>
              <w:spacing w:line="240" w:lineRule="auto" w:before="0" w:after="0"/>
              <w:ind w:firstLine="0"/>
              <w:jc w:val="left"/>
            </w:pPr>
            <w:r>
              <w:rPr>
                <w:rFonts w:ascii="Times New Roman" w:hAnsi="Times New Roman"/>
                <w:sz w:val="24"/>
                <w:szCs w:val="24"/>
              </w:rPr>
              <w:t xml:space="preserve">1 870</w:t>
            </w:r>
          </w:p>
        </w:tc>
        <w:tc>
          <w:tcPr>
            <w:tcW w:w="1927" w:type="dxa"/>
          </w:tcPr>
          <w:p>
            <w:pPr>
              <w:spacing w:line="240" w:lineRule="auto" w:before="0" w:after="0"/>
              <w:ind w:firstLine="0"/>
              <w:jc w:val="left"/>
            </w:pPr>
            <w:r>
              <w:rPr>
                <w:rFonts w:ascii="Times New Roman" w:hAnsi="Times New Roman"/>
                <w:sz w:val="24"/>
                <w:szCs w:val="24"/>
              </w:rPr>
              <w:t xml:space="preserve">10,0</w:t>
            </w:r>
          </w:p>
        </w:tc>
      </w:tr>
      <w:tr>
        <w:tc>
          <w:tcPr>
            <w:tcW w:w="1927" w:type="dxa"/>
          </w:tcPr>
          <w:p>
            <w:pPr>
              <w:spacing w:line="240" w:lineRule="auto" w:before="0" w:after="0"/>
              <w:ind w:firstLine="0"/>
              <w:jc w:val="left"/>
            </w:pPr>
            <w:r>
              <w:rPr>
                <w:rFonts w:ascii="Times New Roman" w:hAnsi="Times New Roman"/>
                <w:sz w:val="24"/>
                <w:szCs w:val="24"/>
              </w:rPr>
              <w:t xml:space="preserve">C2B — оплата по QR-коду</w:t>
            </w:r>
          </w:p>
        </w:tc>
        <w:tc>
          <w:tcPr>
            <w:tcW w:w="1927" w:type="dxa"/>
          </w:tcPr>
          <w:p>
            <w:pPr>
              <w:spacing w:line="240" w:lineRule="auto" w:before="0" w:after="0"/>
              <w:ind w:firstLine="0"/>
              <w:jc w:val="left"/>
            </w:pPr>
            <w:r>
              <w:rPr>
                <w:rFonts w:ascii="Times New Roman" w:hAnsi="Times New Roman"/>
                <w:sz w:val="24"/>
                <w:szCs w:val="24"/>
              </w:rPr>
              <w:t xml:space="preserve">1 280</w:t>
            </w:r>
          </w:p>
        </w:tc>
        <w:tc>
          <w:tcPr>
            <w:tcW w:w="1927" w:type="dxa"/>
          </w:tcPr>
          <w:p>
            <w:pPr>
              <w:spacing w:line="240" w:lineRule="auto" w:before="0" w:after="0"/>
              <w:ind w:firstLine="0"/>
              <w:jc w:val="left"/>
            </w:pPr>
            <w:r>
              <w:rPr>
                <w:rFonts w:ascii="Times New Roman" w:hAnsi="Times New Roman"/>
                <w:sz w:val="24"/>
                <w:szCs w:val="24"/>
              </w:rPr>
              <w:t xml:space="preserve">10,8</w:t>
            </w:r>
          </w:p>
        </w:tc>
        <w:tc>
          <w:tcPr>
            <w:tcW w:w="1927" w:type="dxa"/>
          </w:tcPr>
          <w:p>
            <w:pPr>
              <w:spacing w:line="240" w:lineRule="auto" w:before="0" w:after="0"/>
              <w:ind w:firstLine="0"/>
              <w:jc w:val="left"/>
            </w:pPr>
            <w:r>
              <w:rPr>
                <w:rFonts w:ascii="Times New Roman" w:hAnsi="Times New Roman"/>
                <w:sz w:val="24"/>
                <w:szCs w:val="24"/>
              </w:rPr>
              <w:t xml:space="preserve">2 100</w:t>
            </w:r>
          </w:p>
        </w:tc>
        <w:tc>
          <w:tcPr>
            <w:tcW w:w="1927" w:type="dxa"/>
          </w:tcPr>
          <w:p>
            <w:pPr>
              <w:spacing w:line="240" w:lineRule="auto" w:before="0" w:after="0"/>
              <w:ind w:firstLine="0"/>
              <w:jc w:val="left"/>
            </w:pPr>
            <w:r>
              <w:rPr>
                <w:rFonts w:ascii="Times New Roman" w:hAnsi="Times New Roman"/>
                <w:sz w:val="24"/>
                <w:szCs w:val="24"/>
              </w:rPr>
              <w:t xml:space="preserve">11,2</w:t>
            </w:r>
          </w:p>
        </w:tc>
      </w:tr>
      <w:tr>
        <w:tc>
          <w:tcPr>
            <w:tcW w:w="1927" w:type="dxa"/>
          </w:tcPr>
          <w:p>
            <w:pPr>
              <w:spacing w:line="240" w:lineRule="auto" w:before="0" w:after="0"/>
              <w:ind w:firstLine="0"/>
              <w:jc w:val="left"/>
            </w:pPr>
            <w:r>
              <w:rPr>
                <w:rFonts w:ascii="Times New Roman" w:hAnsi="Times New Roman"/>
                <w:sz w:val="24"/>
                <w:szCs w:val="24"/>
              </w:rPr>
              <w:t xml:space="preserve">B2C — выплаты гражданам</w:t>
            </w:r>
          </w:p>
        </w:tc>
        <w:tc>
          <w:tcPr>
            <w:tcW w:w="1927" w:type="dxa"/>
          </w:tcPr>
          <w:p>
            <w:pPr>
              <w:spacing w:line="240" w:lineRule="auto" w:before="0" w:after="0"/>
              <w:ind w:firstLine="0"/>
              <w:jc w:val="left"/>
            </w:pPr>
            <w:r>
              <w:rPr>
                <w:rFonts w:ascii="Times New Roman" w:hAnsi="Times New Roman"/>
                <w:sz w:val="24"/>
                <w:szCs w:val="24"/>
              </w:rPr>
              <w:t xml:space="preserve">180</w:t>
            </w:r>
          </w:p>
        </w:tc>
        <w:tc>
          <w:tcPr>
            <w:tcW w:w="1927" w:type="dxa"/>
          </w:tcPr>
          <w:p>
            <w:pPr>
              <w:spacing w:line="240" w:lineRule="auto" w:before="0" w:after="0"/>
              <w:ind w:firstLine="0"/>
              <w:jc w:val="left"/>
            </w:pPr>
            <w:r>
              <w:rPr>
                <w:rFonts w:ascii="Times New Roman" w:hAnsi="Times New Roman"/>
                <w:sz w:val="24"/>
                <w:szCs w:val="24"/>
              </w:rPr>
              <w:t xml:space="preserve">1,5</w:t>
            </w:r>
          </w:p>
        </w:tc>
        <w:tc>
          <w:tcPr>
            <w:tcW w:w="1927" w:type="dxa"/>
          </w:tcPr>
          <w:p>
            <w:pPr>
              <w:spacing w:line="240" w:lineRule="auto" w:before="0" w:after="0"/>
              <w:ind w:firstLine="0"/>
              <w:jc w:val="left"/>
            </w:pPr>
            <w:r>
              <w:rPr>
                <w:rFonts w:ascii="Times New Roman" w:hAnsi="Times New Roman"/>
                <w:sz w:val="24"/>
                <w:szCs w:val="24"/>
              </w:rPr>
              <w:t xml:space="preserve">570</w:t>
            </w:r>
          </w:p>
        </w:tc>
        <w:tc>
          <w:tcPr>
            <w:tcW w:w="1927" w:type="dxa"/>
          </w:tcPr>
          <w:p>
            <w:pPr>
              <w:spacing w:line="240" w:lineRule="auto" w:before="0" w:after="0"/>
              <w:ind w:firstLine="0"/>
              <w:jc w:val="left"/>
            </w:pPr>
            <w:r>
              <w:rPr>
                <w:rFonts w:ascii="Times New Roman" w:hAnsi="Times New Roman"/>
                <w:sz w:val="24"/>
                <w:szCs w:val="24"/>
              </w:rPr>
              <w:t xml:space="preserve">3,0</w:t>
            </w:r>
          </w:p>
        </w:tc>
      </w:tr>
      <w:tr>
        <w:tc>
          <w:tcPr>
            <w:tcW w:w="1927" w:type="dxa"/>
          </w:tcPr>
          <w:p>
            <w:pPr>
              <w:spacing w:line="240" w:lineRule="auto" w:before="0" w:after="0"/>
              <w:ind w:firstLine="0"/>
              <w:jc w:val="left"/>
            </w:pPr>
            <w:r>
              <w:rPr>
                <w:rFonts w:ascii="Times New Roman" w:hAnsi="Times New Roman"/>
                <w:sz w:val="24"/>
                <w:szCs w:val="24"/>
              </w:rPr>
              <w:t xml:space="preserve">B2B — между юр. лицами</w:t>
            </w:r>
          </w:p>
        </w:tc>
        <w:tc>
          <w:tcPr>
            <w:tcW w:w="1927" w:type="dxa"/>
          </w:tcPr>
          <w:p>
            <w:pPr>
              <w:spacing w:line="240" w:lineRule="auto" w:before="0" w:after="0"/>
              <w:ind w:firstLine="0"/>
              <w:jc w:val="left"/>
            </w:pPr>
            <w:r>
              <w:rPr>
                <w:rFonts w:ascii="Times New Roman" w:hAnsi="Times New Roman"/>
                <w:sz w:val="24"/>
                <w:szCs w:val="24"/>
              </w:rPr>
              <w:t xml:space="preserve">110</w:t>
            </w:r>
          </w:p>
        </w:tc>
        <w:tc>
          <w:tcPr>
            <w:tcW w:w="1927" w:type="dxa"/>
          </w:tcPr>
          <w:p>
            <w:pPr>
              <w:spacing w:line="240" w:lineRule="auto" w:before="0" w:after="0"/>
              <w:ind w:firstLine="0"/>
              <w:jc w:val="left"/>
            </w:pPr>
            <w:r>
              <w:rPr>
                <w:rFonts w:ascii="Times New Roman" w:hAnsi="Times New Roman"/>
                <w:sz w:val="24"/>
                <w:szCs w:val="24"/>
              </w:rPr>
              <w:t xml:space="preserve">0,9</w:t>
            </w:r>
          </w:p>
        </w:tc>
        <w:tc>
          <w:tcPr>
            <w:tcW w:w="1927" w:type="dxa"/>
          </w:tcPr>
          <w:p>
            <w:pPr>
              <w:spacing w:line="240" w:lineRule="auto" w:before="0" w:after="0"/>
              <w:ind w:firstLine="0"/>
              <w:jc w:val="left"/>
            </w:pPr>
            <w:r>
              <w:rPr>
                <w:rFonts w:ascii="Times New Roman" w:hAnsi="Times New Roman"/>
                <w:sz w:val="24"/>
                <w:szCs w:val="24"/>
              </w:rPr>
              <w:t xml:space="preserve">180</w:t>
            </w:r>
          </w:p>
        </w:tc>
        <w:tc>
          <w:tcPr>
            <w:tcW w:w="1927" w:type="dxa"/>
          </w:tcPr>
          <w:p>
            <w:pPr>
              <w:spacing w:line="240" w:lineRule="auto" w:before="0" w:after="0"/>
              <w:ind w:firstLine="0"/>
              <w:jc w:val="left"/>
            </w:pPr>
            <w:r>
              <w:rPr>
                <w:rFonts w:ascii="Times New Roman" w:hAnsi="Times New Roman"/>
                <w:sz w:val="24"/>
                <w:szCs w:val="24"/>
              </w:rPr>
              <w:t xml:space="preserve">1,0</w:t>
            </w:r>
          </w:p>
        </w:tc>
      </w:tr>
      <w:tr>
        <w:tc>
          <w:tcPr>
            <w:tcW w:w="1927" w:type="dxa"/>
          </w:tcPr>
          <w:p>
            <w:pPr>
              <w:spacing w:line="240" w:lineRule="auto" w:before="0" w:after="0"/>
              <w:ind w:firstLine="0"/>
              <w:jc w:val="left"/>
            </w:pPr>
            <w:r>
              <w:rPr>
                <w:rFonts w:ascii="Times New Roman" w:hAnsi="Times New Roman"/>
                <w:sz w:val="24"/>
                <w:szCs w:val="24"/>
              </w:rPr>
              <w:t xml:space="preserve">Платежи в бюджет</w:t>
            </w:r>
          </w:p>
        </w:tc>
        <w:tc>
          <w:tcPr>
            <w:tcW w:w="1927" w:type="dxa"/>
          </w:tcPr>
          <w:p>
            <w:pPr>
              <w:spacing w:line="240" w:lineRule="auto" w:before="0" w:after="0"/>
              <w:ind w:firstLine="0"/>
              <w:jc w:val="left"/>
            </w:pPr>
            <w:r>
              <w:rPr>
                <w:rFonts w:ascii="Times New Roman" w:hAnsi="Times New Roman"/>
                <w:sz w:val="24"/>
                <w:szCs w:val="24"/>
              </w:rPr>
              <w:t xml:space="preserve">8</w:t>
            </w:r>
          </w:p>
        </w:tc>
        <w:tc>
          <w:tcPr>
            <w:tcW w:w="1927" w:type="dxa"/>
          </w:tcPr>
          <w:p>
            <w:pPr>
              <w:spacing w:line="240" w:lineRule="auto" w:before="0" w:after="0"/>
              <w:ind w:firstLine="0"/>
              <w:jc w:val="left"/>
            </w:pPr>
            <w:r>
              <w:rPr>
                <w:rFonts w:ascii="Times New Roman" w:hAnsi="Times New Roman"/>
                <w:sz w:val="24"/>
                <w:szCs w:val="24"/>
              </w:rPr>
              <w:t xml:space="preserve">0,1</w:t>
            </w:r>
          </w:p>
        </w:tc>
        <w:tc>
          <w:tcPr>
            <w:tcW w:w="1927" w:type="dxa"/>
          </w:tcPr>
          <w:p>
            <w:pPr>
              <w:spacing w:line="240" w:lineRule="auto" w:before="0" w:after="0"/>
              <w:ind w:firstLine="0"/>
              <w:jc w:val="left"/>
            </w:pPr>
            <w:r>
              <w:rPr>
                <w:rFonts w:ascii="Times New Roman" w:hAnsi="Times New Roman"/>
                <w:sz w:val="24"/>
                <w:szCs w:val="24"/>
              </w:rPr>
              <w:t xml:space="preserve">20</w:t>
            </w:r>
          </w:p>
        </w:tc>
        <w:tc>
          <w:tcPr>
            <w:tcW w:w="1927" w:type="dxa"/>
          </w:tcPr>
          <w:p>
            <w:pPr>
              <w:spacing w:line="240" w:lineRule="auto" w:before="0" w:after="0"/>
              <w:ind w:firstLine="0"/>
              <w:jc w:val="left"/>
            </w:pPr>
            <w:r>
              <w:rPr>
                <w:rFonts w:ascii="Times New Roman" w:hAnsi="Times New Roman"/>
                <w:sz w:val="24"/>
                <w:szCs w:val="24"/>
              </w:rPr>
              <w:t xml:space="preserve">0,1</w:t>
            </w:r>
          </w:p>
        </w:tc>
      </w:tr>
      <w:tr>
        <w:tc>
          <w:tcPr>
            <w:tcW w:w="1927" w:type="dxa"/>
          </w:tcPr>
          <w:p>
            <w:pPr>
              <w:spacing w:line="240" w:lineRule="auto" w:before="0" w:after="0"/>
              <w:ind w:firstLine="0"/>
              <w:jc w:val="left"/>
            </w:pPr>
            <w:r>
              <w:rPr>
                <w:rFonts w:ascii="Times New Roman" w:hAnsi="Times New Roman"/>
                <w:sz w:val="24"/>
                <w:szCs w:val="24"/>
                <w:b/>
                <w:bCs/>
              </w:rPr>
              <w:t xml:space="preserve">Итого</w:t>
            </w:r>
          </w:p>
        </w:tc>
        <w:tc>
          <w:tcPr>
            <w:tcW w:w="1927" w:type="dxa"/>
          </w:tcPr>
          <w:p>
            <w:pPr>
              <w:spacing w:line="240" w:lineRule="auto" w:before="0" w:after="0"/>
              <w:ind w:firstLine="0"/>
              <w:jc w:val="left"/>
            </w:pPr>
            <w:r>
              <w:rPr>
                <w:rFonts w:ascii="Times New Roman" w:hAnsi="Times New Roman"/>
                <w:sz w:val="24"/>
                <w:szCs w:val="24"/>
                <w:b/>
                <w:bCs/>
              </w:rPr>
              <w:t xml:space="preserve">11 808</w:t>
            </w:r>
          </w:p>
        </w:tc>
        <w:tc>
          <w:tcPr>
            <w:tcW w:w="1927" w:type="dxa"/>
          </w:tcPr>
          <w:p>
            <w:pPr>
              <w:spacing w:line="240" w:lineRule="auto" w:before="0" w:after="0"/>
              <w:ind w:firstLine="0"/>
              <w:jc w:val="left"/>
            </w:pPr>
            <w:r>
              <w:rPr>
                <w:rFonts w:ascii="Times New Roman" w:hAnsi="Times New Roman"/>
                <w:sz w:val="24"/>
                <w:szCs w:val="24"/>
                <w:b/>
                <w:bCs/>
              </w:rPr>
              <w:t xml:space="preserve">100,0</w:t>
            </w:r>
          </w:p>
        </w:tc>
        <w:tc>
          <w:tcPr>
            <w:tcW w:w="1927" w:type="dxa"/>
          </w:tcPr>
          <w:p>
            <w:pPr>
              <w:spacing w:line="240" w:lineRule="auto" w:before="0" w:after="0"/>
              <w:ind w:firstLine="0"/>
              <w:jc w:val="left"/>
            </w:pPr>
            <w:r>
              <w:rPr>
                <w:rFonts w:ascii="Times New Roman" w:hAnsi="Times New Roman"/>
                <w:sz w:val="24"/>
                <w:szCs w:val="24"/>
                <w:b/>
                <w:bCs/>
              </w:rPr>
              <w:t xml:space="preserve">18 720</w:t>
            </w:r>
          </w:p>
        </w:tc>
        <w:tc>
          <w:tcPr>
            <w:tcW w:w="1927" w:type="dxa"/>
          </w:tcPr>
          <w:p>
            <w:pPr>
              <w:spacing w:line="240" w:lineRule="auto" w:before="0" w:after="0"/>
              <w:ind w:firstLine="0"/>
              <w:jc w:val="left"/>
            </w:pPr>
            <w:r>
              <w:rPr>
                <w:rFonts w:ascii="Times New Roman" w:hAnsi="Times New Roman"/>
                <w:sz w:val="24"/>
                <w:szCs w:val="24"/>
                <w:b/>
                <w:bCs/>
              </w:rPr>
              <w:t xml:space="preserve">100,0</w:t>
            </w:r>
          </w:p>
        </w:tc>
      </w:tr>
    </w:tbl>
    <w:p>
      <w:pPr>
        <w:ind w:firstLine="0"/>
      </w:pPr>
    </w:p>
    <w:p>
      <w:pPr>
        <w:spacing w:line="360" w:lineRule="auto" w:before="60" w:after="120"/>
        <w:ind w:firstLine="0"/>
        <w:jc w:val="left"/>
      </w:pPr>
      <w:r>
        <w:rPr>
          <w:i/>
          <w:iCs/>
        </w:rPr>
        <w:t xml:space="preserve">Источник: данные ПАО «Сбербанк» и АО «НСПК» [40, 47]; расчёты автора.</w:t>
      </w:r>
    </w:p>
    <w:p>
      <w:pPr>
        <w:jc w:val="both"/>
      </w:pPr>
      <w:r>
        <w:t xml:space="preserve">Доминирующая доля C2C-операций (78,4 %) подтверждает, что СБП в первую очередь используется как розничный сервис для переводов между физическими лицами. Однако обращает на себя внимание ускоренный рост сегментов C2B (оплата по QR-коду) и Me2Me (переводы между своими счетами в разных банках), которые становятся всё более популярными среди пользователей и торговцев.</w:t>
      </w:r>
    </w:p>
    <w:p>
      <w:pPr>
        <w:jc w:val="both"/>
      </w:pPr>
      <w:r>
        <w:t xml:space="preserve">Доходность переводных операций для коммерческого банка формируется в основном за счёт комиссионных доходов и доходов от использования остатков на счетах клиентов (косвенный процентный доход). Структура комиссионных доходов ПАО «Сбербанк» от расчётно-кассового обслуживания представлена в таблице 2.2.4.</w:t>
      </w:r>
    </w:p>
    <w:p>
      <w:pPr>
        <w:spacing w:line="360" w:lineRule="auto" w:before="120" w:after="60"/>
        <w:ind w:firstLine="0"/>
        <w:jc w:val="left"/>
      </w:pPr>
      <w:r>
        <w:t xml:space="preserve">Таблица 2.2.4 — Структура комиссионных доходов ПАО «Сбербанк» от расчётно-кассового обслуживания и переводов в 2024 году, млрд руб.</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3213"/>
        <w:gridCol w:w="3213"/>
        <w:gridCol w:w="3213"/>
      </w:tblGrid>
      <w:tr>
        <w:trPr>
          <w:tblHeader/>
        </w:trPr>
        <w:tc>
          <w:tcPr>
            <w:tcW w:w="3213" w:type="dxa"/>
          </w:tcPr>
          <w:p>
            <w:pPr>
              <w:spacing w:line="240" w:lineRule="auto" w:before="0" w:after="0"/>
              <w:ind w:firstLine="0"/>
              <w:jc w:val="center"/>
            </w:pPr>
            <w:r>
              <w:rPr>
                <w:rFonts w:ascii="Times New Roman" w:hAnsi="Times New Roman"/>
                <w:sz w:val="24"/>
                <w:szCs w:val="24"/>
                <w:b/>
                <w:bCs/>
              </w:rPr>
              <w:t xml:space="preserve">Источник комиссионного дохода</w:t>
            </w:r>
          </w:p>
        </w:tc>
        <w:tc>
          <w:tcPr>
            <w:tcW w:w="3213" w:type="dxa"/>
          </w:tcPr>
          <w:p>
            <w:pPr>
              <w:spacing w:line="240" w:lineRule="auto" w:before="0" w:after="0"/>
              <w:ind w:firstLine="0"/>
              <w:jc w:val="center"/>
            </w:pPr>
            <w:r>
              <w:rPr>
                <w:rFonts w:ascii="Times New Roman" w:hAnsi="Times New Roman"/>
                <w:sz w:val="24"/>
                <w:szCs w:val="24"/>
                <w:b/>
                <w:bCs/>
              </w:rPr>
              <w:t xml:space="preserve">Сумма</w:t>
            </w:r>
          </w:p>
        </w:tc>
        <w:tc>
          <w:tcPr>
            <w:tcW w:w="3213" w:type="dxa"/>
          </w:tcPr>
          <w:p>
            <w:pPr>
              <w:spacing w:line="240" w:lineRule="auto" w:before="0" w:after="0"/>
              <w:ind w:firstLine="0"/>
              <w:jc w:val="center"/>
            </w:pPr>
            <w:r>
              <w:rPr>
                <w:rFonts w:ascii="Times New Roman" w:hAnsi="Times New Roman"/>
                <w:sz w:val="24"/>
                <w:szCs w:val="24"/>
                <w:b/>
                <w:bCs/>
              </w:rPr>
              <w:t xml:space="preserve">Доля, %</w:t>
            </w:r>
          </w:p>
        </w:tc>
      </w:tr>
      <w:tr>
        <w:tc>
          <w:tcPr>
            <w:tcW w:w="3213" w:type="dxa"/>
          </w:tcPr>
          <w:p>
            <w:pPr>
              <w:spacing w:line="240" w:lineRule="auto" w:before="0" w:after="0"/>
              <w:ind w:firstLine="0"/>
              <w:jc w:val="left"/>
            </w:pPr>
            <w:r>
              <w:rPr>
                <w:rFonts w:ascii="Times New Roman" w:hAnsi="Times New Roman"/>
                <w:sz w:val="24"/>
                <w:szCs w:val="24"/>
              </w:rPr>
              <w:t xml:space="preserve">Расчётно-кассовое обслуживание юридических лиц</w:t>
            </w:r>
          </w:p>
        </w:tc>
        <w:tc>
          <w:tcPr>
            <w:tcW w:w="3213" w:type="dxa"/>
          </w:tcPr>
          <w:p>
            <w:pPr>
              <w:spacing w:line="240" w:lineRule="auto" w:before="0" w:after="0"/>
              <w:ind w:firstLine="0"/>
              <w:jc w:val="left"/>
            </w:pPr>
            <w:r>
              <w:rPr>
                <w:rFonts w:ascii="Times New Roman" w:hAnsi="Times New Roman"/>
                <w:sz w:val="24"/>
                <w:szCs w:val="24"/>
              </w:rPr>
              <w:t xml:space="preserve">121,4</w:t>
            </w:r>
          </w:p>
        </w:tc>
        <w:tc>
          <w:tcPr>
            <w:tcW w:w="3213" w:type="dxa"/>
          </w:tcPr>
          <w:p>
            <w:pPr>
              <w:spacing w:line="240" w:lineRule="auto" w:before="0" w:after="0"/>
              <w:ind w:firstLine="0"/>
              <w:jc w:val="left"/>
            </w:pPr>
            <w:r>
              <w:rPr>
                <w:rFonts w:ascii="Times New Roman" w:hAnsi="Times New Roman"/>
                <w:sz w:val="24"/>
                <w:szCs w:val="24"/>
              </w:rPr>
              <w:t xml:space="preserve">27,8</w:t>
            </w:r>
          </w:p>
        </w:tc>
      </w:tr>
      <w:tr>
        <w:tc>
          <w:tcPr>
            <w:tcW w:w="3213" w:type="dxa"/>
          </w:tcPr>
          <w:p>
            <w:pPr>
              <w:spacing w:line="240" w:lineRule="auto" w:before="0" w:after="0"/>
              <w:ind w:firstLine="0"/>
              <w:jc w:val="left"/>
            </w:pPr>
            <w:r>
              <w:rPr>
                <w:rFonts w:ascii="Times New Roman" w:hAnsi="Times New Roman"/>
                <w:sz w:val="24"/>
                <w:szCs w:val="24"/>
              </w:rPr>
              <w:t xml:space="preserve">Эквайринг (приём платежей по картам)</w:t>
            </w:r>
          </w:p>
        </w:tc>
        <w:tc>
          <w:tcPr>
            <w:tcW w:w="3213" w:type="dxa"/>
          </w:tcPr>
          <w:p>
            <w:pPr>
              <w:spacing w:line="240" w:lineRule="auto" w:before="0" w:after="0"/>
              <w:ind w:firstLine="0"/>
              <w:jc w:val="left"/>
            </w:pPr>
            <w:r>
              <w:rPr>
                <w:rFonts w:ascii="Times New Roman" w:hAnsi="Times New Roman"/>
                <w:sz w:val="24"/>
                <w:szCs w:val="24"/>
              </w:rPr>
              <w:t xml:space="preserve">142,8</w:t>
            </w:r>
          </w:p>
        </w:tc>
        <w:tc>
          <w:tcPr>
            <w:tcW w:w="3213" w:type="dxa"/>
          </w:tcPr>
          <w:p>
            <w:pPr>
              <w:spacing w:line="240" w:lineRule="auto" w:before="0" w:after="0"/>
              <w:ind w:firstLine="0"/>
              <w:jc w:val="left"/>
            </w:pPr>
            <w:r>
              <w:rPr>
                <w:rFonts w:ascii="Times New Roman" w:hAnsi="Times New Roman"/>
                <w:sz w:val="24"/>
                <w:szCs w:val="24"/>
              </w:rPr>
              <w:t xml:space="preserve">32,7</w:t>
            </w:r>
          </w:p>
        </w:tc>
      </w:tr>
      <w:tr>
        <w:tc>
          <w:tcPr>
            <w:tcW w:w="3213" w:type="dxa"/>
          </w:tcPr>
          <w:p>
            <w:pPr>
              <w:spacing w:line="240" w:lineRule="auto" w:before="0" w:after="0"/>
              <w:ind w:firstLine="0"/>
              <w:jc w:val="left"/>
            </w:pPr>
            <w:r>
              <w:rPr>
                <w:rFonts w:ascii="Times New Roman" w:hAnsi="Times New Roman"/>
                <w:sz w:val="24"/>
                <w:szCs w:val="24"/>
              </w:rPr>
              <w:t xml:space="preserve">Комиссии по переводам физических лиц (вне СБП)</w:t>
            </w:r>
          </w:p>
        </w:tc>
        <w:tc>
          <w:tcPr>
            <w:tcW w:w="3213" w:type="dxa"/>
          </w:tcPr>
          <w:p>
            <w:pPr>
              <w:spacing w:line="240" w:lineRule="auto" w:before="0" w:after="0"/>
              <w:ind w:firstLine="0"/>
              <w:jc w:val="left"/>
            </w:pPr>
            <w:r>
              <w:rPr>
                <w:rFonts w:ascii="Times New Roman" w:hAnsi="Times New Roman"/>
                <w:sz w:val="24"/>
                <w:szCs w:val="24"/>
              </w:rPr>
              <w:t xml:space="preserve">35,7</w:t>
            </w:r>
          </w:p>
        </w:tc>
        <w:tc>
          <w:tcPr>
            <w:tcW w:w="3213" w:type="dxa"/>
          </w:tcPr>
          <w:p>
            <w:pPr>
              <w:spacing w:line="240" w:lineRule="auto" w:before="0" w:after="0"/>
              <w:ind w:firstLine="0"/>
              <w:jc w:val="left"/>
            </w:pPr>
            <w:r>
              <w:rPr>
                <w:rFonts w:ascii="Times New Roman" w:hAnsi="Times New Roman"/>
                <w:sz w:val="24"/>
                <w:szCs w:val="24"/>
              </w:rPr>
              <w:t xml:space="preserve">8,2</w:t>
            </w:r>
          </w:p>
        </w:tc>
      </w:tr>
      <w:tr>
        <w:tc>
          <w:tcPr>
            <w:tcW w:w="3213" w:type="dxa"/>
          </w:tcPr>
          <w:p>
            <w:pPr>
              <w:spacing w:line="240" w:lineRule="auto" w:before="0" w:after="0"/>
              <w:ind w:firstLine="0"/>
              <w:jc w:val="left"/>
            </w:pPr>
            <w:r>
              <w:rPr>
                <w:rFonts w:ascii="Times New Roman" w:hAnsi="Times New Roman"/>
                <w:sz w:val="24"/>
                <w:szCs w:val="24"/>
              </w:rPr>
              <w:t xml:space="preserve">Комиссии по трансграничным переводам</w:t>
            </w:r>
          </w:p>
        </w:tc>
        <w:tc>
          <w:tcPr>
            <w:tcW w:w="3213" w:type="dxa"/>
          </w:tcPr>
          <w:p>
            <w:pPr>
              <w:spacing w:line="240" w:lineRule="auto" w:before="0" w:after="0"/>
              <w:ind w:firstLine="0"/>
              <w:jc w:val="left"/>
            </w:pPr>
            <w:r>
              <w:rPr>
                <w:rFonts w:ascii="Times New Roman" w:hAnsi="Times New Roman"/>
                <w:sz w:val="24"/>
                <w:szCs w:val="24"/>
              </w:rPr>
              <w:t xml:space="preserve">18,3</w:t>
            </w:r>
          </w:p>
        </w:tc>
        <w:tc>
          <w:tcPr>
            <w:tcW w:w="3213" w:type="dxa"/>
          </w:tcPr>
          <w:p>
            <w:pPr>
              <w:spacing w:line="240" w:lineRule="auto" w:before="0" w:after="0"/>
              <w:ind w:firstLine="0"/>
              <w:jc w:val="left"/>
            </w:pPr>
            <w:r>
              <w:rPr>
                <w:rFonts w:ascii="Times New Roman" w:hAnsi="Times New Roman"/>
                <w:sz w:val="24"/>
                <w:szCs w:val="24"/>
              </w:rPr>
              <w:t xml:space="preserve">4,2</w:t>
            </w:r>
          </w:p>
        </w:tc>
      </w:tr>
      <w:tr>
        <w:tc>
          <w:tcPr>
            <w:tcW w:w="3213" w:type="dxa"/>
          </w:tcPr>
          <w:p>
            <w:pPr>
              <w:spacing w:line="240" w:lineRule="auto" w:before="0" w:after="0"/>
              <w:ind w:firstLine="0"/>
              <w:jc w:val="left"/>
            </w:pPr>
            <w:r>
              <w:rPr>
                <w:rFonts w:ascii="Times New Roman" w:hAnsi="Times New Roman"/>
                <w:sz w:val="24"/>
                <w:szCs w:val="24"/>
              </w:rPr>
              <w:t xml:space="preserve">Услуги дистанционного банковского обслуживания</w:t>
            </w:r>
          </w:p>
        </w:tc>
        <w:tc>
          <w:tcPr>
            <w:tcW w:w="3213" w:type="dxa"/>
          </w:tcPr>
          <w:p>
            <w:pPr>
              <w:spacing w:line="240" w:lineRule="auto" w:before="0" w:after="0"/>
              <w:ind w:firstLine="0"/>
              <w:jc w:val="left"/>
            </w:pPr>
            <w:r>
              <w:rPr>
                <w:rFonts w:ascii="Times New Roman" w:hAnsi="Times New Roman"/>
                <w:sz w:val="24"/>
                <w:szCs w:val="24"/>
              </w:rPr>
              <w:t xml:space="preserve">47,9</w:t>
            </w:r>
          </w:p>
        </w:tc>
        <w:tc>
          <w:tcPr>
            <w:tcW w:w="3213" w:type="dxa"/>
          </w:tcPr>
          <w:p>
            <w:pPr>
              <w:spacing w:line="240" w:lineRule="auto" w:before="0" w:after="0"/>
              <w:ind w:firstLine="0"/>
              <w:jc w:val="left"/>
            </w:pPr>
            <w:r>
              <w:rPr>
                <w:rFonts w:ascii="Times New Roman" w:hAnsi="Times New Roman"/>
                <w:sz w:val="24"/>
                <w:szCs w:val="24"/>
              </w:rPr>
              <w:t xml:space="preserve">11,0</w:t>
            </w:r>
          </w:p>
        </w:tc>
      </w:tr>
      <w:tr>
        <w:tc>
          <w:tcPr>
            <w:tcW w:w="3213" w:type="dxa"/>
          </w:tcPr>
          <w:p>
            <w:pPr>
              <w:spacing w:line="240" w:lineRule="auto" w:before="0" w:after="0"/>
              <w:ind w:firstLine="0"/>
              <w:jc w:val="left"/>
            </w:pPr>
            <w:r>
              <w:rPr>
                <w:rFonts w:ascii="Times New Roman" w:hAnsi="Times New Roman"/>
                <w:sz w:val="24"/>
                <w:szCs w:val="24"/>
              </w:rPr>
              <w:t xml:space="preserve">Конверсионные операции</w:t>
            </w:r>
          </w:p>
        </w:tc>
        <w:tc>
          <w:tcPr>
            <w:tcW w:w="3213" w:type="dxa"/>
          </w:tcPr>
          <w:p>
            <w:pPr>
              <w:spacing w:line="240" w:lineRule="auto" w:before="0" w:after="0"/>
              <w:ind w:firstLine="0"/>
              <w:jc w:val="left"/>
            </w:pPr>
            <w:r>
              <w:rPr>
                <w:rFonts w:ascii="Times New Roman" w:hAnsi="Times New Roman"/>
                <w:sz w:val="24"/>
                <w:szCs w:val="24"/>
              </w:rPr>
              <w:t xml:space="preserve">56,2</w:t>
            </w:r>
          </w:p>
        </w:tc>
        <w:tc>
          <w:tcPr>
            <w:tcW w:w="3213" w:type="dxa"/>
          </w:tcPr>
          <w:p>
            <w:pPr>
              <w:spacing w:line="240" w:lineRule="auto" w:before="0" w:after="0"/>
              <w:ind w:firstLine="0"/>
              <w:jc w:val="left"/>
            </w:pPr>
            <w:r>
              <w:rPr>
                <w:rFonts w:ascii="Times New Roman" w:hAnsi="Times New Roman"/>
                <w:sz w:val="24"/>
                <w:szCs w:val="24"/>
              </w:rPr>
              <w:t xml:space="preserve">12,9</w:t>
            </w:r>
          </w:p>
        </w:tc>
      </w:tr>
      <w:tr>
        <w:tc>
          <w:tcPr>
            <w:tcW w:w="3213" w:type="dxa"/>
          </w:tcPr>
          <w:p>
            <w:pPr>
              <w:spacing w:line="240" w:lineRule="auto" w:before="0" w:after="0"/>
              <w:ind w:firstLine="0"/>
              <w:jc w:val="left"/>
            </w:pPr>
            <w:r>
              <w:rPr>
                <w:rFonts w:ascii="Times New Roman" w:hAnsi="Times New Roman"/>
                <w:sz w:val="24"/>
                <w:szCs w:val="24"/>
              </w:rPr>
              <w:t xml:space="preserve">Прочие операции</w:t>
            </w:r>
          </w:p>
        </w:tc>
        <w:tc>
          <w:tcPr>
            <w:tcW w:w="3213" w:type="dxa"/>
          </w:tcPr>
          <w:p>
            <w:pPr>
              <w:spacing w:line="240" w:lineRule="auto" w:before="0" w:after="0"/>
              <w:ind w:firstLine="0"/>
              <w:jc w:val="left"/>
            </w:pPr>
            <w:r>
              <w:rPr>
                <w:rFonts w:ascii="Times New Roman" w:hAnsi="Times New Roman"/>
                <w:sz w:val="24"/>
                <w:szCs w:val="24"/>
              </w:rPr>
              <w:t xml:space="preserve">14,2</w:t>
            </w:r>
          </w:p>
        </w:tc>
        <w:tc>
          <w:tcPr>
            <w:tcW w:w="3213" w:type="dxa"/>
          </w:tcPr>
          <w:p>
            <w:pPr>
              <w:spacing w:line="240" w:lineRule="auto" w:before="0" w:after="0"/>
              <w:ind w:firstLine="0"/>
              <w:jc w:val="left"/>
            </w:pPr>
            <w:r>
              <w:rPr>
                <w:rFonts w:ascii="Times New Roman" w:hAnsi="Times New Roman"/>
                <w:sz w:val="24"/>
                <w:szCs w:val="24"/>
              </w:rPr>
              <w:t xml:space="preserve">3,2</w:t>
            </w:r>
          </w:p>
        </w:tc>
      </w:tr>
      <w:tr>
        <w:tc>
          <w:tcPr>
            <w:tcW w:w="3213" w:type="dxa"/>
          </w:tcPr>
          <w:p>
            <w:pPr>
              <w:spacing w:line="240" w:lineRule="auto" w:before="0" w:after="0"/>
              <w:ind w:firstLine="0"/>
              <w:jc w:val="left"/>
            </w:pPr>
            <w:r>
              <w:rPr>
                <w:rFonts w:ascii="Times New Roman" w:hAnsi="Times New Roman"/>
                <w:sz w:val="24"/>
                <w:szCs w:val="24"/>
                <w:b/>
                <w:bCs/>
              </w:rPr>
              <w:t xml:space="preserve">Итого комиссионные доходы от РКО и переводов</w:t>
            </w:r>
          </w:p>
        </w:tc>
        <w:tc>
          <w:tcPr>
            <w:tcW w:w="3213" w:type="dxa"/>
          </w:tcPr>
          <w:p>
            <w:pPr>
              <w:spacing w:line="240" w:lineRule="auto" w:before="0" w:after="0"/>
              <w:ind w:firstLine="0"/>
              <w:jc w:val="left"/>
            </w:pPr>
            <w:r>
              <w:rPr>
                <w:rFonts w:ascii="Times New Roman" w:hAnsi="Times New Roman"/>
                <w:sz w:val="24"/>
                <w:szCs w:val="24"/>
                <w:b/>
                <w:bCs/>
              </w:rPr>
              <w:t xml:space="preserve">436,5</w:t>
            </w:r>
          </w:p>
        </w:tc>
        <w:tc>
          <w:tcPr>
            <w:tcW w:w="3213" w:type="dxa"/>
          </w:tcPr>
          <w:p>
            <w:pPr>
              <w:spacing w:line="240" w:lineRule="auto" w:before="0" w:after="0"/>
              <w:ind w:firstLine="0"/>
              <w:jc w:val="left"/>
            </w:pPr>
            <w:r>
              <w:rPr>
                <w:rFonts w:ascii="Times New Roman" w:hAnsi="Times New Roman"/>
                <w:sz w:val="24"/>
                <w:szCs w:val="24"/>
                <w:b/>
                <w:bCs/>
              </w:rPr>
              <w:t xml:space="preserve">100,0</w:t>
            </w:r>
          </w:p>
        </w:tc>
      </w:tr>
    </w:tbl>
    <w:p>
      <w:pPr>
        <w:ind w:firstLine="0"/>
      </w:pPr>
    </w:p>
    <w:p>
      <w:pPr>
        <w:spacing w:line="360" w:lineRule="auto" w:before="60" w:after="120"/>
        <w:ind w:firstLine="0"/>
        <w:jc w:val="left"/>
      </w:pPr>
      <w:r>
        <w:rPr>
          <w:i/>
          <w:iCs/>
        </w:rPr>
        <w:t xml:space="preserve">Источник: финансовая отчётность ПАО «Сбербанк» по МСФО за 2024 год [40].</w:t>
      </w:r>
    </w:p>
    <w:p>
      <w:pPr>
        <w:jc w:val="both"/>
      </w:pPr>
      <w:r>
        <w:t xml:space="preserve">Структура комиссионных доходов ПАО «Сбербанк» от расчётно- кассового обслуживания и переводов проиллюстрирована на рисунке 2.2.2.</w:t>
      </w:r>
    </w:p>
    <w:p>
      <w:pPr>
        <w:spacing w:line="360" w:lineRule="auto" w:before="120" w:after="120"/>
        <w:ind w:firstLine="0"/>
        <w:jc w:val="center"/>
      </w:pPr>
      <w:r>
        <w:rPr>
          <w:i/>
          <w:iCs/>
        </w:rPr>
        <w:t xml:space="preserve">Рисунок 2.2.2 — Структура комиссионных доходов ПАО «Сбербанк» от расчётно-кассового обслуживания в 2024 году</w:t>
      </w:r>
    </w:p>
    <w:p>
      <w:pPr>
        <w:jc w:val="both"/>
      </w:pPr>
      <w:r>
        <w:t xml:space="preserve">Анализ таблицы 2.2.4 показывает, что наибольшую долю в комиссионных доходах от РКО и переводов составляет эквайринг (32,7 %) и расчётно-кассовое обслуживание юридических лиц (27,8 %). Доля комиссий по переводам физических лиц вне СБП относительно невелика (8,2 %), что объясняется бесплатностью большинства операций физических лиц через СБП и внутрибанковских переводов в рамках системы Сбербанка. Это создаёт определённые вызовы для банка с точки зрения коммерческой устойчивости розничного блока.</w:t>
      </w:r>
    </w:p>
    <w:p>
      <w:pPr>
        <w:jc w:val="both"/>
      </w:pPr>
      <w:r>
        <w:t xml:space="preserve">Оценим эффективность работы по переводам с использованием коэффициентного анализа. Коэффициент комиссионной доходности переводных операций (Кд) можно рассчитать как отношение комиссионных доходов от переводов к объёму переводов по формуле:</w:t>
      </w:r>
    </w:p>
    <w:p>
      <w:pPr>
        <w:jc w:val="both"/>
      </w:pPr>
      <w:r>
        <w:t xml:space="preserve">Кдп Кд = ----- × 100 %                                        (2.2.1) ОПп</w:t>
      </w:r>
    </w:p>
    <w:p>
      <w:pPr>
        <w:jc w:val="both"/>
      </w:pPr>
      <w:r>
        <w:t xml:space="preserve">где: Кдп — комиссионные доходы от переводных операций, млрд руб.; ОПп — объём переводов, трлн руб.</w:t>
      </w:r>
    </w:p>
    <w:p>
      <w:pPr>
        <w:jc w:val="both"/>
      </w:pPr>
      <w:r>
        <w:t xml:space="preserve">Для ПАО «Сбербанк» в 2024 году:</w:t>
      </w:r>
    </w:p>
    <w:p>
      <w:pPr>
        <w:jc w:val="both"/>
      </w:pPr>
      <w:r>
        <w:t xml:space="preserve">Кд = 35,7 / 132,4 × 100 % = 0,027 %</w:t>
      </w:r>
    </w:p>
    <w:p>
      <w:pPr>
        <w:jc w:val="both"/>
      </w:pPr>
      <w:r>
        <w:t xml:space="preserve">или 27 копеек комиссионного дохода на каждые 1000 рублей переведённых средств. Это весьма низкий показатель, обусловленный тем, что значительная часть переводов осуществляется бесплатно для клиента (внутрибанковские, СБП в пределах лимита). Для сравнения, в 2022 году тот же показатель составлял 0,035 %, что подтверждает тенденцию к снижению маржинальности переводных операций.</w:t>
      </w:r>
    </w:p>
    <w:p>
      <w:pPr>
        <w:jc w:val="both"/>
      </w:pPr>
      <w:r>
        <w:t xml:space="preserve">Коэффициент роста цифровизации переводов (Кцп) определяется как годовой прирост доли цифровых каналов:</w:t>
      </w:r>
    </w:p>
    <w:p>
      <w:pPr>
        <w:jc w:val="both"/>
      </w:pPr>
      <w:r>
        <w:t xml:space="preserve">Кцп = (dt − dt-1) × 100 %                                  (2.2.2)</w:t>
      </w:r>
    </w:p>
    <w:p>
      <w:pPr>
        <w:jc w:val="both"/>
      </w:pPr>
      <w:r>
        <w:t xml:space="preserve">где: dt и dt-1 — доли цифровых каналов в текущем и предыдущем годах.</w:t>
      </w:r>
    </w:p>
    <w:p>
      <w:pPr>
        <w:jc w:val="both"/>
      </w:pPr>
      <w:r>
        <w:t xml:space="preserve">В 2024 году: Кцп = (96,3 − 95,1) × 100 % = 1,2 п. п. за год.</w:t>
      </w:r>
    </w:p>
    <w:p>
      <w:pPr>
        <w:jc w:val="both"/>
      </w:pPr>
      <w:r>
        <w:t xml:space="preserve">Замедление прироста цифровизации (с 1,7 п. п. в 2023 году до 1,2 п. п. в 2024 году) объясняется приближением к насыщению: большинство клиентов уже используют цифровые каналы, и оставшиеся 3,7 % приходятся преимущественно на лиц старшего возраста и граждан без смартфонов, для которых цифровизация затруднена.</w:t>
      </w:r>
    </w:p>
    <w:p>
      <w:pPr>
        <w:jc w:val="both"/>
      </w:pPr>
      <w:r>
        <w:t xml:space="preserve">Качество обслуживания клиентов в части переводов оценивается показателями скорости, доступности и надёжности. По собственным данным банка, в 2024 году:</w:t>
      </w:r>
    </w:p>
    <w:p>
      <w:pPr>
        <w:jc w:val="both"/>
      </w:pPr>
      <w:r>
        <w:t xml:space="preserve">— средняя скорость зачисления внутрибанковского перевода составила 1,2 секунды;</w:t>
      </w:r>
    </w:p>
    <w:p>
      <w:pPr>
        <w:jc w:val="both"/>
      </w:pPr>
      <w:r>
        <w:t xml:space="preserve">— средняя скорость перевода через СБП — 4,8 секунды;</w:t>
      </w:r>
    </w:p>
    <w:p>
      <w:pPr>
        <w:jc w:val="both"/>
      </w:pPr>
      <w:r>
        <w:t xml:space="preserve">— уровень доступности (uptime) платёжных сервисов — 99,98 %;</w:t>
      </w:r>
    </w:p>
    <w:p>
      <w:pPr>
        <w:jc w:val="both"/>
      </w:pPr>
      <w:r>
        <w:t xml:space="preserve">— средняя продолжительность простоев в год — менее 1,7 часа;</w:t>
      </w:r>
    </w:p>
    <w:p>
      <w:pPr>
        <w:jc w:val="both"/>
      </w:pPr>
      <w:r>
        <w:t xml:space="preserve">— доля несанкционированных переводов — 0,0019 % от общего объёма (сократилась с 0,0034 % в 2022 году).</w:t>
      </w:r>
    </w:p>
    <w:p>
      <w:pPr>
        <w:jc w:val="both"/>
      </w:pPr>
      <w:r>
        <w:t xml:space="preserve">Безопасность переводов является одной из приоритетных задач банка. По данным Банка России и пресс-службы ПАО «Сбербанк», объём предотвращённых мошеннических переводов в 2024 году превысил 380 млрд руб., что является результатом работы антифрод-системы, использующей около 200 параметров оценки каждой транзакции на базе машинного обучения. С введением обязательного приостановления подозрительных операций (с 25 июля 2024 года) количество выявляемых случаев социальной инженерии снизилось примерно на 40 % по сравнению с предыдущими периодами.</w:t>
      </w:r>
    </w:p>
    <w:p>
      <w:pPr>
        <w:jc w:val="both"/>
      </w:pPr>
      <w:r>
        <w:t xml:space="preserve">Анализ работы ПАО «Сбербанк» по переводам в международном сегменте (трансграничные операции) показывает существенную трансформацию вследствие санкционных ограничений. В 2022 году доля переводов в долларах США и евро в общей структуре трансграничных переводов составляла около 52 %, в 2024 году — менее 8 %. Соответственно, выросла доля переводов в юанях (до 26 %), дирхамах ОАЭ (до 11 %), индийских рупиях (до 7 %), турецких лирах (до 5 %), валютах стран ЕАЭС (до 22 %). Банк выстроил альтернативные маршруты переводов через прямые корреспондентские отношения с банками дружественных стран, СПФС и систему CIPS. Тем не менее проблемы скорости, стоимости и надёжности трансграничных операций сохраняются и являются объектом отдельного рассмотрения в следующем параграфе.</w:t>
      </w:r>
    </w:p>
    <w:p>
      <w:pPr>
        <w:jc w:val="both"/>
      </w:pPr>
      <w:r>
        <w:t xml:space="preserve">Сравнительный анализ показателей работы ПАО «Сбербанк» по переводам с банковской системой в целом и крупнейшими банками-конкурентами (ВТБ, Альфа-Банк, Газпромбанк, Россельхозбанк, Т-Банк) приведён в таблице 2.2.5.</w:t>
      </w:r>
    </w:p>
    <w:p>
      <w:pPr>
        <w:spacing w:line="360" w:lineRule="auto" w:before="120" w:after="60"/>
        <w:ind w:firstLine="0"/>
        <w:jc w:val="left"/>
      </w:pPr>
      <w:r>
        <w:t xml:space="preserve">Таблица 2.2.5 — Сравнительные показатели работы по переводам ПАО «Сбербанк» и крупнейших российских банков в 2024 году</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606"/>
        <w:gridCol w:w="1606"/>
        <w:gridCol w:w="1606"/>
        <w:gridCol w:w="1606"/>
        <w:gridCol w:w="1606"/>
        <w:gridCol w:w="1606"/>
      </w:tblGrid>
      <w:tr>
        <w:trPr>
          <w:tblHeader/>
        </w:trPr>
        <w:tc>
          <w:tcPr>
            <w:tcW w:w="1606" w:type="dxa"/>
          </w:tcPr>
          <w:p>
            <w:pPr>
              <w:spacing w:line="240" w:lineRule="auto" w:before="0" w:after="0"/>
              <w:ind w:firstLine="0"/>
              <w:jc w:val="center"/>
            </w:pPr>
            <w:r>
              <w:rPr>
                <w:rFonts w:ascii="Times New Roman" w:hAnsi="Times New Roman"/>
                <w:sz w:val="24"/>
                <w:szCs w:val="24"/>
                <w:b/>
                <w:bCs/>
              </w:rPr>
              <w:t xml:space="preserve">Показатель</w:t>
            </w:r>
          </w:p>
        </w:tc>
        <w:tc>
          <w:tcPr>
            <w:tcW w:w="1606" w:type="dxa"/>
          </w:tcPr>
          <w:p>
            <w:pPr>
              <w:spacing w:line="240" w:lineRule="auto" w:before="0" w:after="0"/>
              <w:ind w:firstLine="0"/>
              <w:jc w:val="center"/>
            </w:pPr>
            <w:r>
              <w:rPr>
                <w:rFonts w:ascii="Times New Roman" w:hAnsi="Times New Roman"/>
                <w:sz w:val="24"/>
                <w:szCs w:val="24"/>
                <w:b/>
                <w:bCs/>
              </w:rPr>
              <w:t xml:space="preserve">Сбербанк</w:t>
            </w:r>
          </w:p>
        </w:tc>
        <w:tc>
          <w:tcPr>
            <w:tcW w:w="1606" w:type="dxa"/>
          </w:tcPr>
          <w:p>
            <w:pPr>
              <w:spacing w:line="240" w:lineRule="auto" w:before="0" w:after="0"/>
              <w:ind w:firstLine="0"/>
              <w:jc w:val="center"/>
            </w:pPr>
            <w:r>
              <w:rPr>
                <w:rFonts w:ascii="Times New Roman" w:hAnsi="Times New Roman"/>
                <w:sz w:val="24"/>
                <w:szCs w:val="24"/>
                <w:b/>
                <w:bCs/>
              </w:rPr>
              <w:t xml:space="preserve">ВТБ</w:t>
            </w:r>
          </w:p>
        </w:tc>
        <w:tc>
          <w:tcPr>
            <w:tcW w:w="1606" w:type="dxa"/>
          </w:tcPr>
          <w:p>
            <w:pPr>
              <w:spacing w:line="240" w:lineRule="auto" w:before="0" w:after="0"/>
              <w:ind w:firstLine="0"/>
              <w:jc w:val="center"/>
            </w:pPr>
            <w:r>
              <w:rPr>
                <w:rFonts w:ascii="Times New Roman" w:hAnsi="Times New Roman"/>
                <w:sz w:val="24"/>
                <w:szCs w:val="24"/>
                <w:b/>
                <w:bCs/>
              </w:rPr>
              <w:t xml:space="preserve">Альфа-Банк</w:t>
            </w:r>
          </w:p>
        </w:tc>
        <w:tc>
          <w:tcPr>
            <w:tcW w:w="1606" w:type="dxa"/>
          </w:tcPr>
          <w:p>
            <w:pPr>
              <w:spacing w:line="240" w:lineRule="auto" w:before="0" w:after="0"/>
              <w:ind w:firstLine="0"/>
              <w:jc w:val="center"/>
            </w:pPr>
            <w:r>
              <w:rPr>
                <w:rFonts w:ascii="Times New Roman" w:hAnsi="Times New Roman"/>
                <w:sz w:val="24"/>
                <w:szCs w:val="24"/>
                <w:b/>
                <w:bCs/>
              </w:rPr>
              <w:t xml:space="preserve">Т-Банк</w:t>
            </w:r>
          </w:p>
        </w:tc>
        <w:tc>
          <w:tcPr>
            <w:tcW w:w="1606" w:type="dxa"/>
          </w:tcPr>
          <w:p>
            <w:pPr>
              <w:spacing w:line="240" w:lineRule="auto" w:before="0" w:after="0"/>
              <w:ind w:firstLine="0"/>
              <w:jc w:val="center"/>
            </w:pPr>
            <w:r>
              <w:rPr>
                <w:rFonts w:ascii="Times New Roman" w:hAnsi="Times New Roman"/>
                <w:sz w:val="24"/>
                <w:szCs w:val="24"/>
                <w:b/>
                <w:bCs/>
              </w:rPr>
              <w:t xml:space="preserve">Сектор в целом</w:t>
            </w:r>
          </w:p>
        </w:tc>
      </w:tr>
      <w:tr>
        <w:tc>
          <w:tcPr>
            <w:tcW w:w="1606" w:type="dxa"/>
          </w:tcPr>
          <w:p>
            <w:pPr>
              <w:spacing w:line="240" w:lineRule="auto" w:before="0" w:after="0"/>
              <w:ind w:firstLine="0"/>
              <w:jc w:val="left"/>
            </w:pPr>
            <w:r>
              <w:rPr>
                <w:rFonts w:ascii="Times New Roman" w:hAnsi="Times New Roman"/>
                <w:sz w:val="24"/>
                <w:szCs w:val="24"/>
              </w:rPr>
              <w:t xml:space="preserve">Количество переводов, млрд опер.</w:t>
            </w:r>
          </w:p>
        </w:tc>
        <w:tc>
          <w:tcPr>
            <w:tcW w:w="1606" w:type="dxa"/>
          </w:tcPr>
          <w:p>
            <w:pPr>
              <w:spacing w:line="240" w:lineRule="auto" w:before="0" w:after="0"/>
              <w:ind w:firstLine="0"/>
              <w:jc w:val="left"/>
            </w:pPr>
            <w:r>
              <w:rPr>
                <w:rFonts w:ascii="Times New Roman" w:hAnsi="Times New Roman"/>
                <w:sz w:val="24"/>
                <w:szCs w:val="24"/>
              </w:rPr>
              <w:t xml:space="preserve">60,5</w:t>
            </w:r>
          </w:p>
        </w:tc>
        <w:tc>
          <w:tcPr>
            <w:tcW w:w="1606" w:type="dxa"/>
          </w:tcPr>
          <w:p>
            <w:pPr>
              <w:spacing w:line="240" w:lineRule="auto" w:before="0" w:after="0"/>
              <w:ind w:firstLine="0"/>
              <w:jc w:val="left"/>
            </w:pPr>
            <w:r>
              <w:rPr>
                <w:rFonts w:ascii="Times New Roman" w:hAnsi="Times New Roman"/>
                <w:sz w:val="24"/>
                <w:szCs w:val="24"/>
              </w:rPr>
              <w:t xml:space="preserve">18,2</w:t>
            </w:r>
          </w:p>
        </w:tc>
        <w:tc>
          <w:tcPr>
            <w:tcW w:w="1606" w:type="dxa"/>
          </w:tcPr>
          <w:p>
            <w:pPr>
              <w:spacing w:line="240" w:lineRule="auto" w:before="0" w:after="0"/>
              <w:ind w:firstLine="0"/>
              <w:jc w:val="left"/>
            </w:pPr>
            <w:r>
              <w:rPr>
                <w:rFonts w:ascii="Times New Roman" w:hAnsi="Times New Roman"/>
                <w:sz w:val="24"/>
                <w:szCs w:val="24"/>
              </w:rPr>
              <w:t xml:space="preserve">14,8</w:t>
            </w:r>
          </w:p>
        </w:tc>
        <w:tc>
          <w:tcPr>
            <w:tcW w:w="1606" w:type="dxa"/>
          </w:tcPr>
          <w:p>
            <w:pPr>
              <w:spacing w:line="240" w:lineRule="auto" w:before="0" w:after="0"/>
              <w:ind w:firstLine="0"/>
              <w:jc w:val="left"/>
            </w:pPr>
            <w:r>
              <w:rPr>
                <w:rFonts w:ascii="Times New Roman" w:hAnsi="Times New Roman"/>
                <w:sz w:val="24"/>
                <w:szCs w:val="24"/>
              </w:rPr>
              <w:t xml:space="preserve">19,7</w:t>
            </w:r>
          </w:p>
        </w:tc>
        <w:tc>
          <w:tcPr>
            <w:tcW w:w="1606" w:type="dxa"/>
          </w:tcPr>
          <w:p>
            <w:pPr>
              <w:spacing w:line="240" w:lineRule="auto" w:before="0" w:after="0"/>
              <w:ind w:firstLine="0"/>
              <w:jc w:val="left"/>
            </w:pPr>
            <w:r>
              <w:rPr>
                <w:rFonts w:ascii="Times New Roman" w:hAnsi="Times New Roman"/>
                <w:sz w:val="24"/>
                <w:szCs w:val="24"/>
              </w:rPr>
              <w:t xml:space="preserve">142</w:t>
            </w:r>
          </w:p>
        </w:tc>
      </w:tr>
      <w:tr>
        <w:tc>
          <w:tcPr>
            <w:tcW w:w="1606" w:type="dxa"/>
          </w:tcPr>
          <w:p>
            <w:pPr>
              <w:spacing w:line="240" w:lineRule="auto" w:before="0" w:after="0"/>
              <w:ind w:firstLine="0"/>
              <w:jc w:val="left"/>
            </w:pPr>
            <w:r>
              <w:rPr>
                <w:rFonts w:ascii="Times New Roman" w:hAnsi="Times New Roman"/>
                <w:sz w:val="24"/>
                <w:szCs w:val="24"/>
              </w:rPr>
              <w:t xml:space="preserve">Доля цифровых каналов, %</w:t>
            </w:r>
          </w:p>
        </w:tc>
        <w:tc>
          <w:tcPr>
            <w:tcW w:w="1606" w:type="dxa"/>
          </w:tcPr>
          <w:p>
            <w:pPr>
              <w:spacing w:line="240" w:lineRule="auto" w:before="0" w:after="0"/>
              <w:ind w:firstLine="0"/>
              <w:jc w:val="left"/>
            </w:pPr>
            <w:r>
              <w:rPr>
                <w:rFonts w:ascii="Times New Roman" w:hAnsi="Times New Roman"/>
                <w:sz w:val="24"/>
                <w:szCs w:val="24"/>
              </w:rPr>
              <w:t xml:space="preserve">96,3</w:t>
            </w:r>
          </w:p>
        </w:tc>
        <w:tc>
          <w:tcPr>
            <w:tcW w:w="1606" w:type="dxa"/>
          </w:tcPr>
          <w:p>
            <w:pPr>
              <w:spacing w:line="240" w:lineRule="auto" w:before="0" w:after="0"/>
              <w:ind w:firstLine="0"/>
              <w:jc w:val="left"/>
            </w:pPr>
            <w:r>
              <w:rPr>
                <w:rFonts w:ascii="Times New Roman" w:hAnsi="Times New Roman"/>
                <w:sz w:val="24"/>
                <w:szCs w:val="24"/>
              </w:rPr>
              <w:t xml:space="preserve">92,1</w:t>
            </w:r>
          </w:p>
        </w:tc>
        <w:tc>
          <w:tcPr>
            <w:tcW w:w="1606" w:type="dxa"/>
          </w:tcPr>
          <w:p>
            <w:pPr>
              <w:spacing w:line="240" w:lineRule="auto" w:before="0" w:after="0"/>
              <w:ind w:firstLine="0"/>
              <w:jc w:val="left"/>
            </w:pPr>
            <w:r>
              <w:rPr>
                <w:rFonts w:ascii="Times New Roman" w:hAnsi="Times New Roman"/>
                <w:sz w:val="24"/>
                <w:szCs w:val="24"/>
              </w:rPr>
              <w:t xml:space="preserve">97,8</w:t>
            </w:r>
          </w:p>
        </w:tc>
        <w:tc>
          <w:tcPr>
            <w:tcW w:w="1606" w:type="dxa"/>
          </w:tcPr>
          <w:p>
            <w:pPr>
              <w:spacing w:line="240" w:lineRule="auto" w:before="0" w:after="0"/>
              <w:ind w:firstLine="0"/>
              <w:jc w:val="left"/>
            </w:pPr>
            <w:r>
              <w:rPr>
                <w:rFonts w:ascii="Times New Roman" w:hAnsi="Times New Roman"/>
                <w:sz w:val="24"/>
                <w:szCs w:val="24"/>
              </w:rPr>
              <w:t xml:space="preserve">99,5</w:t>
            </w:r>
          </w:p>
        </w:tc>
        <w:tc>
          <w:tcPr>
            <w:tcW w:w="1606" w:type="dxa"/>
          </w:tcPr>
          <w:p>
            <w:pPr>
              <w:spacing w:line="240" w:lineRule="auto" w:before="0" w:after="0"/>
              <w:ind w:firstLine="0"/>
              <w:jc w:val="left"/>
            </w:pPr>
            <w:r>
              <w:rPr>
                <w:rFonts w:ascii="Times New Roman" w:hAnsi="Times New Roman"/>
                <w:sz w:val="24"/>
                <w:szCs w:val="24"/>
              </w:rPr>
              <w:t xml:space="preserve">95</w:t>
            </w:r>
          </w:p>
        </w:tc>
      </w:tr>
      <w:tr>
        <w:tc>
          <w:tcPr>
            <w:tcW w:w="1606" w:type="dxa"/>
          </w:tcPr>
          <w:p>
            <w:pPr>
              <w:spacing w:line="240" w:lineRule="auto" w:before="0" w:after="0"/>
              <w:ind w:firstLine="0"/>
              <w:jc w:val="left"/>
            </w:pPr>
            <w:r>
              <w:rPr>
                <w:rFonts w:ascii="Times New Roman" w:hAnsi="Times New Roman"/>
                <w:sz w:val="24"/>
                <w:szCs w:val="24"/>
              </w:rPr>
              <w:t xml:space="preserve">Скорость СБП-перевода, секунд</w:t>
            </w:r>
          </w:p>
        </w:tc>
        <w:tc>
          <w:tcPr>
            <w:tcW w:w="1606" w:type="dxa"/>
          </w:tcPr>
          <w:p>
            <w:pPr>
              <w:spacing w:line="240" w:lineRule="auto" w:before="0" w:after="0"/>
              <w:ind w:firstLine="0"/>
              <w:jc w:val="left"/>
            </w:pPr>
            <w:r>
              <w:rPr>
                <w:rFonts w:ascii="Times New Roman" w:hAnsi="Times New Roman"/>
                <w:sz w:val="24"/>
                <w:szCs w:val="24"/>
              </w:rPr>
              <w:t xml:space="preserve">4,8</w:t>
            </w:r>
          </w:p>
        </w:tc>
        <w:tc>
          <w:tcPr>
            <w:tcW w:w="1606" w:type="dxa"/>
          </w:tcPr>
          <w:p>
            <w:pPr>
              <w:spacing w:line="240" w:lineRule="auto" w:before="0" w:after="0"/>
              <w:ind w:firstLine="0"/>
              <w:jc w:val="left"/>
            </w:pPr>
            <w:r>
              <w:rPr>
                <w:rFonts w:ascii="Times New Roman" w:hAnsi="Times New Roman"/>
                <w:sz w:val="24"/>
                <w:szCs w:val="24"/>
              </w:rPr>
              <w:t xml:space="preserve">6,2</w:t>
            </w:r>
          </w:p>
        </w:tc>
        <w:tc>
          <w:tcPr>
            <w:tcW w:w="1606" w:type="dxa"/>
          </w:tcPr>
          <w:p>
            <w:pPr>
              <w:spacing w:line="240" w:lineRule="auto" w:before="0" w:after="0"/>
              <w:ind w:firstLine="0"/>
              <w:jc w:val="left"/>
            </w:pPr>
            <w:r>
              <w:rPr>
                <w:rFonts w:ascii="Times New Roman" w:hAnsi="Times New Roman"/>
                <w:sz w:val="24"/>
                <w:szCs w:val="24"/>
              </w:rPr>
              <w:t xml:space="preserve">3,9</w:t>
            </w:r>
          </w:p>
        </w:tc>
        <w:tc>
          <w:tcPr>
            <w:tcW w:w="1606" w:type="dxa"/>
          </w:tcPr>
          <w:p>
            <w:pPr>
              <w:spacing w:line="240" w:lineRule="auto" w:before="0" w:after="0"/>
              <w:ind w:firstLine="0"/>
              <w:jc w:val="left"/>
            </w:pPr>
            <w:r>
              <w:rPr>
                <w:rFonts w:ascii="Times New Roman" w:hAnsi="Times New Roman"/>
                <w:sz w:val="24"/>
                <w:szCs w:val="24"/>
              </w:rPr>
              <w:t xml:space="preserve">3,1</w:t>
            </w:r>
          </w:p>
        </w:tc>
        <w:tc>
          <w:tcPr>
            <w:tcW w:w="1606" w:type="dxa"/>
          </w:tcPr>
          <w:p>
            <w:pPr>
              <w:spacing w:line="240" w:lineRule="auto" w:before="0" w:after="0"/>
              <w:ind w:firstLine="0"/>
              <w:jc w:val="left"/>
            </w:pPr>
            <w:r>
              <w:rPr>
                <w:rFonts w:ascii="Times New Roman" w:hAnsi="Times New Roman"/>
                <w:sz w:val="24"/>
                <w:szCs w:val="24"/>
              </w:rPr>
              <w:t xml:space="preserve">5,5</w:t>
            </w:r>
          </w:p>
        </w:tc>
      </w:tr>
      <w:tr>
        <w:tc>
          <w:tcPr>
            <w:tcW w:w="1606" w:type="dxa"/>
          </w:tcPr>
          <w:p>
            <w:pPr>
              <w:spacing w:line="240" w:lineRule="auto" w:before="0" w:after="0"/>
              <w:ind w:firstLine="0"/>
              <w:jc w:val="left"/>
            </w:pPr>
            <w:r>
              <w:rPr>
                <w:rFonts w:ascii="Times New Roman" w:hAnsi="Times New Roman"/>
                <w:sz w:val="24"/>
                <w:szCs w:val="24"/>
              </w:rPr>
              <w:t xml:space="preserve">Уровень несанкционированных операций, %</w:t>
            </w:r>
          </w:p>
        </w:tc>
        <w:tc>
          <w:tcPr>
            <w:tcW w:w="1606" w:type="dxa"/>
          </w:tcPr>
          <w:p>
            <w:pPr>
              <w:spacing w:line="240" w:lineRule="auto" w:before="0" w:after="0"/>
              <w:ind w:firstLine="0"/>
              <w:jc w:val="left"/>
            </w:pPr>
            <w:r>
              <w:rPr>
                <w:rFonts w:ascii="Times New Roman" w:hAnsi="Times New Roman"/>
                <w:sz w:val="24"/>
                <w:szCs w:val="24"/>
              </w:rPr>
              <w:t xml:space="preserve">0,0019</w:t>
            </w:r>
          </w:p>
        </w:tc>
        <w:tc>
          <w:tcPr>
            <w:tcW w:w="1606" w:type="dxa"/>
          </w:tcPr>
          <w:p>
            <w:pPr>
              <w:spacing w:line="240" w:lineRule="auto" w:before="0" w:after="0"/>
              <w:ind w:firstLine="0"/>
              <w:jc w:val="left"/>
            </w:pPr>
            <w:r>
              <w:rPr>
                <w:rFonts w:ascii="Times New Roman" w:hAnsi="Times New Roman"/>
                <w:sz w:val="24"/>
                <w:szCs w:val="24"/>
              </w:rPr>
              <w:t xml:space="preserve">0,0024</w:t>
            </w:r>
          </w:p>
        </w:tc>
        <w:tc>
          <w:tcPr>
            <w:tcW w:w="1606" w:type="dxa"/>
          </w:tcPr>
          <w:p>
            <w:pPr>
              <w:spacing w:line="240" w:lineRule="auto" w:before="0" w:after="0"/>
              <w:ind w:firstLine="0"/>
              <w:jc w:val="left"/>
            </w:pPr>
            <w:r>
              <w:rPr>
                <w:rFonts w:ascii="Times New Roman" w:hAnsi="Times New Roman"/>
                <w:sz w:val="24"/>
                <w:szCs w:val="24"/>
              </w:rPr>
              <w:t xml:space="preserve">0,0022</w:t>
            </w:r>
          </w:p>
        </w:tc>
        <w:tc>
          <w:tcPr>
            <w:tcW w:w="1606" w:type="dxa"/>
          </w:tcPr>
          <w:p>
            <w:pPr>
              <w:spacing w:line="240" w:lineRule="auto" w:before="0" w:after="0"/>
              <w:ind w:firstLine="0"/>
              <w:jc w:val="left"/>
            </w:pPr>
            <w:r>
              <w:rPr>
                <w:rFonts w:ascii="Times New Roman" w:hAnsi="Times New Roman"/>
                <w:sz w:val="24"/>
                <w:szCs w:val="24"/>
              </w:rPr>
              <w:t xml:space="preserve">0,0017</w:t>
            </w:r>
          </w:p>
        </w:tc>
        <w:tc>
          <w:tcPr>
            <w:tcW w:w="1606" w:type="dxa"/>
          </w:tcPr>
          <w:p>
            <w:pPr>
              <w:spacing w:line="240" w:lineRule="auto" w:before="0" w:after="0"/>
              <w:ind w:firstLine="0"/>
              <w:jc w:val="left"/>
            </w:pPr>
            <w:r>
              <w:rPr>
                <w:rFonts w:ascii="Times New Roman" w:hAnsi="Times New Roman"/>
                <w:sz w:val="24"/>
                <w:szCs w:val="24"/>
              </w:rPr>
              <w:t xml:space="preserve">0,0028</w:t>
            </w:r>
          </w:p>
        </w:tc>
      </w:tr>
      <w:tr>
        <w:tc>
          <w:tcPr>
            <w:tcW w:w="1606" w:type="dxa"/>
          </w:tcPr>
          <w:p>
            <w:pPr>
              <w:spacing w:line="240" w:lineRule="auto" w:before="0" w:after="0"/>
              <w:ind w:firstLine="0"/>
              <w:jc w:val="left"/>
            </w:pPr>
            <w:r>
              <w:rPr>
                <w:rFonts w:ascii="Times New Roman" w:hAnsi="Times New Roman"/>
                <w:sz w:val="24"/>
                <w:szCs w:val="24"/>
              </w:rPr>
              <w:t xml:space="preserve">Средняя комиссия за межбанковский перевод вне СБП, %</w:t>
            </w:r>
          </w:p>
        </w:tc>
        <w:tc>
          <w:tcPr>
            <w:tcW w:w="1606" w:type="dxa"/>
          </w:tcPr>
          <w:p>
            <w:pPr>
              <w:spacing w:line="240" w:lineRule="auto" w:before="0" w:after="0"/>
              <w:ind w:firstLine="0"/>
              <w:jc w:val="left"/>
            </w:pPr>
            <w:r>
              <w:rPr>
                <w:rFonts w:ascii="Times New Roman" w:hAnsi="Times New Roman"/>
                <w:sz w:val="24"/>
                <w:szCs w:val="24"/>
              </w:rPr>
              <w:t xml:space="preserve">1,0</w:t>
            </w:r>
          </w:p>
        </w:tc>
        <w:tc>
          <w:tcPr>
            <w:tcW w:w="1606" w:type="dxa"/>
          </w:tcPr>
          <w:p>
            <w:pPr>
              <w:spacing w:line="240" w:lineRule="auto" w:before="0" w:after="0"/>
              <w:ind w:firstLine="0"/>
              <w:jc w:val="left"/>
            </w:pPr>
            <w:r>
              <w:rPr>
                <w:rFonts w:ascii="Times New Roman" w:hAnsi="Times New Roman"/>
                <w:sz w:val="24"/>
                <w:szCs w:val="24"/>
              </w:rPr>
              <w:t xml:space="preserve">1,2</w:t>
            </w:r>
          </w:p>
        </w:tc>
        <w:tc>
          <w:tcPr>
            <w:tcW w:w="1606" w:type="dxa"/>
          </w:tcPr>
          <w:p>
            <w:pPr>
              <w:spacing w:line="240" w:lineRule="auto" w:before="0" w:after="0"/>
              <w:ind w:firstLine="0"/>
              <w:jc w:val="left"/>
            </w:pPr>
            <w:r>
              <w:rPr>
                <w:rFonts w:ascii="Times New Roman" w:hAnsi="Times New Roman"/>
                <w:sz w:val="24"/>
                <w:szCs w:val="24"/>
              </w:rPr>
              <w:t xml:space="preserve">0,8</w:t>
            </w:r>
          </w:p>
        </w:tc>
        <w:tc>
          <w:tcPr>
            <w:tcW w:w="1606" w:type="dxa"/>
          </w:tcPr>
          <w:p>
            <w:pPr>
              <w:spacing w:line="240" w:lineRule="auto" w:before="0" w:after="0"/>
              <w:ind w:firstLine="0"/>
              <w:jc w:val="left"/>
            </w:pPr>
            <w:r>
              <w:rPr>
                <w:rFonts w:ascii="Times New Roman" w:hAnsi="Times New Roman"/>
                <w:sz w:val="24"/>
                <w:szCs w:val="24"/>
              </w:rPr>
              <w:t xml:space="preserve">0,5</w:t>
            </w:r>
          </w:p>
        </w:tc>
        <w:tc>
          <w:tcPr>
            <w:tcW w:w="1606" w:type="dxa"/>
          </w:tcPr>
          <w:p>
            <w:pPr>
              <w:spacing w:line="240" w:lineRule="auto" w:before="0" w:after="0"/>
              <w:ind w:firstLine="0"/>
              <w:jc w:val="left"/>
            </w:pPr>
            <w:r>
              <w:rPr>
                <w:rFonts w:ascii="Times New Roman" w:hAnsi="Times New Roman"/>
                <w:sz w:val="24"/>
                <w:szCs w:val="24"/>
              </w:rPr>
              <w:t xml:space="preserve">1,0</w:t>
            </w:r>
          </w:p>
        </w:tc>
      </w:tr>
    </w:tbl>
    <w:p>
      <w:pPr>
        <w:ind w:firstLine="0"/>
      </w:pPr>
    </w:p>
    <w:p>
      <w:pPr>
        <w:spacing w:line="360" w:lineRule="auto" w:before="60" w:after="120"/>
        <w:ind w:firstLine="0"/>
        <w:jc w:val="left"/>
      </w:pPr>
      <w:r>
        <w:rPr>
          <w:i/>
          <w:iCs/>
        </w:rPr>
        <w:t xml:space="preserve">Источник: годовые отчёты банков, данные Банка России [39, 40, 44].</w:t>
      </w:r>
    </w:p>
    <w:p>
      <w:pPr>
        <w:jc w:val="both"/>
      </w:pPr>
      <w:r>
        <w:t xml:space="preserve">Анализ таблицы 2.2.5 показывает, что ПАО «Сбербанк» удерживает лидирующие позиции по абсолютному количеству переводов и имеет показатели качества выше среднеотраслевых. Вместе с тем по скорости СБП-перевода Сбербанк уступает Т-Банку и Альфа-Банку (3,1 и 3,9 секунды против 4,8 секунд), а по уровню цифровизации — также находится не на первом месте (96,3 % против 99,5 % у Т-Банка). Это указывает на наличие резервов совершенствования.</w:t>
      </w:r>
    </w:p>
    <w:p>
      <w:pPr>
        <w:jc w:val="both"/>
      </w:pPr>
      <w:r>
        <w:t xml:space="preserve">Подводя итог анализу работы ПАО «Сбербанк» по переводу денежных средств клиентов, можно сделать следующие основные выводы:</w:t>
      </w:r>
    </w:p>
    <w:p>
      <w:pPr>
        <w:jc w:val="both"/>
      </w:pPr>
      <w:r>
        <w:t xml:space="preserve">— банк имеет сильные позиции на рынке переводов и демонстрирует устойчивый рост количественных и стоимостных показателей;</w:t>
      </w:r>
    </w:p>
    <w:p>
      <w:pPr>
        <w:jc w:val="both"/>
      </w:pPr>
      <w:r>
        <w:t xml:space="preserve">— наибольшая доля операций приходится на внутрибанковские переводы и СБП, при этом сегмент СБП растёт наиболее быстро (количество переводов через СБП за 2022–2024 гг. выросло в 2,6 раза);</w:t>
      </w:r>
    </w:p>
    <w:p>
      <w:pPr>
        <w:jc w:val="both"/>
      </w:pPr>
      <w:r>
        <w:t xml:space="preserve">— уровень цифровизации переводов (96,3 %) превышает среднероссийский (95 %) и приближается к технологическому пределу;</w:t>
      </w:r>
    </w:p>
    <w:p>
      <w:pPr>
        <w:jc w:val="both"/>
      </w:pPr>
      <w:r>
        <w:t xml:space="preserve">— рентабельность переводных операций для банка снижается из-за бесплатных сервисов СБП и внутрибанковских переводов, что требует диверсификации источников комиссионных доходов;</w:t>
      </w:r>
    </w:p>
    <w:p>
      <w:pPr>
        <w:jc w:val="both"/>
      </w:pPr>
      <w:r>
        <w:t xml:space="preserve">— качество обслуживания и уровень безопасности находятся на высоком уровне, но имеются резервы совершенствования по сравнению с лучшими практиками банков-конкурентов (скорость СБП, уровень цифровизации);</w:t>
      </w:r>
    </w:p>
    <w:p>
      <w:pPr>
        <w:jc w:val="both"/>
      </w:pPr>
      <w:r>
        <w:t xml:space="preserve">— санкционные ограничения существенно усложнили трансграничные переводы, что требует дальнейшего развития альтернативных каналов международных расчётов.</w:t>
      </w:r>
    </w:p>
    <w:p>
      <w:pPr>
        <w:jc w:val="both"/>
      </w:pPr>
      <w:r>
        <w:t xml:space="preserve">Выявленные тенденции и проблемные аспекты служат основой для разработки направлений совершенствования системы переводов денежных средств клиентов ПАО «Сбербанк», рассмотренных в следующем параграфе.</w:t>
      </w:r>
    </w:p>
    <w:p>
      <w:pPr>
        <w:pStyle w:val="Heading2"/>
        <w:spacing w:line="360" w:lineRule="auto" w:before="240" w:after="120"/>
        <w:jc w:val="left"/>
      </w:pPr>
      <w:r>
        <w:rPr>
          <w:b/>
          <w:bCs/>
        </w:rPr>
        <w:t xml:space="preserve">2.3 Проблемы и направления совершенствования системы переводов</w:t>
      </w:r>
    </w:p>
    <w:p>
      <w:pPr>
        <w:jc w:val="both"/>
      </w:pPr>
      <w:r>
        <w:t xml:space="preserve">На основании проведённого в параграфе 2.2 анализа можно выделить ряд проблем, ограничивающих эффективность системы переводов денежных средств клиентов ПАО «Сбербанк» в современных условиях. Эти проблемы носят комплексный характер и относятся к различным сторонам деятельности банка — технологической, организационной, продуктовой, коммерческой, кадровой, внешнеэкономической. Их выявление и систематизация позволяют сформулировать обоснованные направления совершенствования.</w:t>
      </w:r>
    </w:p>
    <w:p>
      <w:pPr>
        <w:jc w:val="both"/>
      </w:pPr>
      <w:r>
        <w:t xml:space="preserve">Проблема 1. Снижение маржинальности переводных операций. Анализ показал, что коэффициент комиссионной доходности переводов снизился с 0,035 % в 2022 году до 0,027 % в 2024 году. Причинами выступают повсеместная бесплатность переводов в рамках СБП до 100 тыс. рублей в месяц, бесплатность внутрибанковских переводов, конкурентное давление со стороны Т-Банка и Альфа-Банка, активно продвигающих модели «бесплатные операции в обмен на лояльность». В долгосрочной перспективе это создаёт риски для финансовой устойчивости розничного блока банка и требует диверсификации доходов от переводов.</w:t>
      </w:r>
    </w:p>
    <w:p>
      <w:pPr>
        <w:jc w:val="both"/>
      </w:pPr>
      <w:r>
        <w:t xml:space="preserve">Проблема 2. Скорость переводов через СБП ниже, чем у конкурентов. По состоянию на 2024 год средняя скорость СБП-перевода в ПАО «Сбербанк» составляет 4,8 секунды против 3,1 секунды в Т-Банке и 3,9 секунды в Альфа-Банке. Это связано с архитектурными особенностями АБС банка, его масштабом (большое количество подсистем, участвующих в обработке) и более жёсткой системой контроля безопасности. Снижение скорости даже на 1-2 секунды становится ощутимым конкурентным фактором, особенно для молодой аудитории.</w:t>
      </w:r>
    </w:p>
    <w:p>
      <w:pPr>
        <w:jc w:val="both"/>
      </w:pPr>
      <w:r>
        <w:t xml:space="preserve">Проблема 3. Сложности трансграничных переводов в условиях санкций. Отключение банка от SWIFT, ограничения на корреспондентские отношения с банками недружественных стран, сокращение перечня валют, в которых возможны прямые расчёты, существенно усложнили обслуживание корпоративных и розничных клиентов в части международных операций. Доля переводов в долларах США и евро снизилась с 52 % в 2022 году до 8 % в 2024 году, при этом скорость и стоимость переводов в альтернативных валютах часто остаются хуже, чем в традиционных. Этот сегмент требует системной перестройки.</w:t>
      </w:r>
    </w:p>
    <w:p>
      <w:pPr>
        <w:jc w:val="both"/>
      </w:pPr>
      <w:r>
        <w:t xml:space="preserve">Проблема 4. Высокий уровень мошеннических операций и социальной инженерии. Несмотря на снижение доли несанкционированных переводов до 0,0019 %, абсолютные объёмы предотвращённого мошенничества остаются значительными (380 млрд руб. в 2024 году), а реальные потери клиентов исчисляются миллиардами. Социальная инженерия — наиболее распространённый тип атак — направлена на убеждение клиента самостоятельно совершить перевод злоумышленникам, что традиционно сложно обнаружить технологическими средствами.</w:t>
      </w:r>
    </w:p>
    <w:p>
      <w:pPr>
        <w:jc w:val="both"/>
      </w:pPr>
      <w:r>
        <w:t xml:space="preserve">Проблема 5. Недостаточная цифровизация в отдельных сегментах. Около 3,7 % переводов всё ещё совершаются через офисы и банкоматы. Этот сегмент включает преимущественно лиц старшего возраста, граждан без смартфонов, жителей удалённых территорий. Удержание этих клиентов в зоне обслуживания требует поддержания дорогостоящей сети физических офисов, что увеличивает операционные расходы банка.</w:t>
      </w:r>
    </w:p>
    <w:p>
      <w:pPr>
        <w:jc w:val="both"/>
      </w:pPr>
      <w:r>
        <w:t xml:space="preserve">Проблема 6. Технологические риски и нагрузка на инфраструктуру. Объём операций превышает 60 млрд транзакций в год, что создаёт серьёзную нагрузку на АБС, требует постоянных инвестиций в модернизацию серверов, каналов связи, систем резервирования. Любой инцидент с кибератакой, отказом оборудования или ошибкой ПО затрагивает миллионы клиентов одновременно. Несмотря на высокий уровень доступности (99,98 %), отдельные сбои в 2022–2024 гг. показали уязвимость системы.</w:t>
      </w:r>
    </w:p>
    <w:p>
      <w:pPr>
        <w:jc w:val="both"/>
      </w:pPr>
      <w:r>
        <w:t xml:space="preserve">Проблема 7. Недостаточная финансовая грамотность клиентов в части использования современных платёжных инструментов. Часть клиентов недостаточно понимает различия между разными типами переводов (внутрибанковский, СБП, по карточным реквизитам), что приводит к необоснованной уплате комиссий, ошибкам в реквизитах, избыточному риску мошенничества. Это снижает удовлетворённость клиентов и повышает нагрузку на службу поддержки.</w:t>
      </w:r>
    </w:p>
    <w:p>
      <w:pPr>
        <w:jc w:val="both"/>
      </w:pPr>
      <w:r>
        <w:t xml:space="preserve">Проблема 8. Адаптация к внедрению цифрового рубля. С запуском платформы цифрового рубля Банка России (август 2023 года) и расширением пилота в 2024 году у банков появилась обязанность интеграции в новую инфраструктуру. Цифровой рубль перераспределяет роли участников: банк выступает финансовым посредником, не имея возможности зарабатывать на остатках цифровых рублей. Это требует адаптации бизнес-модели и операционных процессов.</w:t>
      </w:r>
    </w:p>
    <w:p>
      <w:pPr>
        <w:jc w:val="both"/>
      </w:pPr>
      <w:r>
        <w:t xml:space="preserve">Сформулированные проблемы могут быть систематизированы по уровням их решения (стратегический, тактический, операционный) и по областям воздействия (технологии, продукты, риски, клиенты, рынок). Систематизация представлена в таблице 2.3.1.</w:t>
      </w:r>
    </w:p>
    <w:p>
      <w:pPr>
        <w:spacing w:line="360" w:lineRule="auto" w:before="120" w:after="60"/>
        <w:ind w:firstLine="0"/>
        <w:jc w:val="left"/>
      </w:pPr>
      <w:r>
        <w:t xml:space="preserve">Таблица 2.3.1 — Систематизация проблем системы переводов ПАО «Сбербанк» и направлений их решения</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w:t>
            </w:r>
          </w:p>
        </w:tc>
        <w:tc>
          <w:tcPr>
            <w:tcW w:w="1927" w:type="dxa"/>
          </w:tcPr>
          <w:p>
            <w:pPr>
              <w:spacing w:line="240" w:lineRule="auto" w:before="0" w:after="0"/>
              <w:ind w:firstLine="0"/>
              <w:jc w:val="center"/>
            </w:pPr>
            <w:r>
              <w:rPr>
                <w:rFonts w:ascii="Times New Roman" w:hAnsi="Times New Roman"/>
                <w:sz w:val="24"/>
                <w:szCs w:val="24"/>
                <w:b/>
                <w:bCs/>
              </w:rPr>
              <w:t xml:space="preserve">Проблема</w:t>
            </w:r>
          </w:p>
        </w:tc>
        <w:tc>
          <w:tcPr>
            <w:tcW w:w="1927" w:type="dxa"/>
          </w:tcPr>
          <w:p>
            <w:pPr>
              <w:spacing w:line="240" w:lineRule="auto" w:before="0" w:after="0"/>
              <w:ind w:firstLine="0"/>
              <w:jc w:val="center"/>
            </w:pPr>
            <w:r>
              <w:rPr>
                <w:rFonts w:ascii="Times New Roman" w:hAnsi="Times New Roman"/>
                <w:sz w:val="24"/>
                <w:szCs w:val="24"/>
                <w:b/>
                <w:bCs/>
              </w:rPr>
              <w:t xml:space="preserve">Область</w:t>
            </w:r>
          </w:p>
        </w:tc>
        <w:tc>
          <w:tcPr>
            <w:tcW w:w="1927" w:type="dxa"/>
          </w:tcPr>
          <w:p>
            <w:pPr>
              <w:spacing w:line="240" w:lineRule="auto" w:before="0" w:after="0"/>
              <w:ind w:firstLine="0"/>
              <w:jc w:val="center"/>
            </w:pPr>
            <w:r>
              <w:rPr>
                <w:rFonts w:ascii="Times New Roman" w:hAnsi="Times New Roman"/>
                <w:sz w:val="24"/>
                <w:szCs w:val="24"/>
                <w:b/>
                <w:bCs/>
              </w:rPr>
              <w:t xml:space="preserve">Уровень</w:t>
            </w:r>
          </w:p>
        </w:tc>
        <w:tc>
          <w:tcPr>
            <w:tcW w:w="1927" w:type="dxa"/>
          </w:tcPr>
          <w:p>
            <w:pPr>
              <w:spacing w:line="240" w:lineRule="auto" w:before="0" w:after="0"/>
              <w:ind w:firstLine="0"/>
              <w:jc w:val="center"/>
            </w:pPr>
            <w:r>
              <w:rPr>
                <w:rFonts w:ascii="Times New Roman" w:hAnsi="Times New Roman"/>
                <w:sz w:val="24"/>
                <w:szCs w:val="24"/>
                <w:b/>
                <w:bCs/>
              </w:rPr>
              <w:t xml:space="preserve">Направление решения</w:t>
            </w:r>
          </w:p>
        </w:tc>
      </w:tr>
      <w:tr>
        <w:tc>
          <w:tcPr>
            <w:tcW w:w="1927" w:type="dxa"/>
          </w:tcPr>
          <w:p>
            <w:pPr>
              <w:spacing w:line="240" w:lineRule="auto" w:before="0" w:after="0"/>
              <w:ind w:firstLine="0"/>
              <w:jc w:val="left"/>
            </w:pPr>
            <w:r>
              <w:rPr>
                <w:rFonts w:ascii="Times New Roman" w:hAnsi="Times New Roman"/>
                <w:sz w:val="24"/>
                <w:szCs w:val="24"/>
              </w:rPr>
              <w:t xml:space="preserve">1</w:t>
            </w:r>
          </w:p>
        </w:tc>
        <w:tc>
          <w:tcPr>
            <w:tcW w:w="1927" w:type="dxa"/>
          </w:tcPr>
          <w:p>
            <w:pPr>
              <w:spacing w:line="240" w:lineRule="auto" w:before="0" w:after="0"/>
              <w:ind w:firstLine="0"/>
              <w:jc w:val="left"/>
            </w:pPr>
            <w:r>
              <w:rPr>
                <w:rFonts w:ascii="Times New Roman" w:hAnsi="Times New Roman"/>
                <w:sz w:val="24"/>
                <w:szCs w:val="24"/>
              </w:rPr>
              <w:t xml:space="preserve">Снижение маржинальности переводов</w:t>
            </w:r>
          </w:p>
        </w:tc>
        <w:tc>
          <w:tcPr>
            <w:tcW w:w="1927" w:type="dxa"/>
          </w:tcPr>
          <w:p>
            <w:pPr>
              <w:spacing w:line="240" w:lineRule="auto" w:before="0" w:after="0"/>
              <w:ind w:firstLine="0"/>
              <w:jc w:val="left"/>
            </w:pPr>
            <w:r>
              <w:rPr>
                <w:rFonts w:ascii="Times New Roman" w:hAnsi="Times New Roman"/>
                <w:sz w:val="24"/>
                <w:szCs w:val="24"/>
              </w:rPr>
              <w:t xml:space="preserve">Финансы</w:t>
            </w:r>
          </w:p>
        </w:tc>
        <w:tc>
          <w:tcPr>
            <w:tcW w:w="1927" w:type="dxa"/>
          </w:tcPr>
          <w:p>
            <w:pPr>
              <w:spacing w:line="240" w:lineRule="auto" w:before="0" w:after="0"/>
              <w:ind w:firstLine="0"/>
              <w:jc w:val="left"/>
            </w:pPr>
            <w:r>
              <w:rPr>
                <w:rFonts w:ascii="Times New Roman" w:hAnsi="Times New Roman"/>
                <w:sz w:val="24"/>
                <w:szCs w:val="24"/>
              </w:rPr>
              <w:t xml:space="preserve">Стратегический</w:t>
            </w:r>
          </w:p>
        </w:tc>
        <w:tc>
          <w:tcPr>
            <w:tcW w:w="1927" w:type="dxa"/>
          </w:tcPr>
          <w:p>
            <w:pPr>
              <w:spacing w:line="240" w:lineRule="auto" w:before="0" w:after="0"/>
              <w:ind w:firstLine="0"/>
              <w:jc w:val="left"/>
            </w:pPr>
            <w:r>
              <w:rPr>
                <w:rFonts w:ascii="Times New Roman" w:hAnsi="Times New Roman"/>
                <w:sz w:val="24"/>
                <w:szCs w:val="24"/>
              </w:rPr>
              <w:t xml:space="preserve">Развитие премиальных тарифов, кросс-продажи</w:t>
            </w:r>
          </w:p>
        </w:tc>
      </w:tr>
      <w:tr>
        <w:tc>
          <w:tcPr>
            <w:tcW w:w="1927" w:type="dxa"/>
          </w:tcPr>
          <w:p>
            <w:pPr>
              <w:spacing w:line="240" w:lineRule="auto" w:before="0" w:after="0"/>
              <w:ind w:firstLine="0"/>
              <w:jc w:val="left"/>
            </w:pPr>
            <w:r>
              <w:rPr>
                <w:rFonts w:ascii="Times New Roman" w:hAnsi="Times New Roman"/>
                <w:sz w:val="24"/>
                <w:szCs w:val="24"/>
              </w:rPr>
              <w:t xml:space="preserve">2</w:t>
            </w:r>
          </w:p>
        </w:tc>
        <w:tc>
          <w:tcPr>
            <w:tcW w:w="1927" w:type="dxa"/>
          </w:tcPr>
          <w:p>
            <w:pPr>
              <w:spacing w:line="240" w:lineRule="auto" w:before="0" w:after="0"/>
              <w:ind w:firstLine="0"/>
              <w:jc w:val="left"/>
            </w:pPr>
            <w:r>
              <w:rPr>
                <w:rFonts w:ascii="Times New Roman" w:hAnsi="Times New Roman"/>
                <w:sz w:val="24"/>
                <w:szCs w:val="24"/>
              </w:rPr>
              <w:t xml:space="preserve">Низкая скорость СБП</w:t>
            </w:r>
          </w:p>
        </w:tc>
        <w:tc>
          <w:tcPr>
            <w:tcW w:w="1927" w:type="dxa"/>
          </w:tcPr>
          <w:p>
            <w:pPr>
              <w:spacing w:line="240" w:lineRule="auto" w:before="0" w:after="0"/>
              <w:ind w:firstLine="0"/>
              <w:jc w:val="left"/>
            </w:pPr>
            <w:r>
              <w:rPr>
                <w:rFonts w:ascii="Times New Roman" w:hAnsi="Times New Roman"/>
                <w:sz w:val="24"/>
                <w:szCs w:val="24"/>
              </w:rPr>
              <w:t xml:space="preserve">Технологии</w:t>
            </w:r>
          </w:p>
        </w:tc>
        <w:tc>
          <w:tcPr>
            <w:tcW w:w="1927" w:type="dxa"/>
          </w:tcPr>
          <w:p>
            <w:pPr>
              <w:spacing w:line="240" w:lineRule="auto" w:before="0" w:after="0"/>
              <w:ind w:firstLine="0"/>
              <w:jc w:val="left"/>
            </w:pPr>
            <w:r>
              <w:rPr>
                <w:rFonts w:ascii="Times New Roman" w:hAnsi="Times New Roman"/>
                <w:sz w:val="24"/>
                <w:szCs w:val="24"/>
              </w:rPr>
              <w:t xml:space="preserve">Тактический</w:t>
            </w:r>
          </w:p>
        </w:tc>
        <w:tc>
          <w:tcPr>
            <w:tcW w:w="1927" w:type="dxa"/>
          </w:tcPr>
          <w:p>
            <w:pPr>
              <w:spacing w:line="240" w:lineRule="auto" w:before="0" w:after="0"/>
              <w:ind w:firstLine="0"/>
              <w:jc w:val="left"/>
            </w:pPr>
            <w:r>
              <w:rPr>
                <w:rFonts w:ascii="Times New Roman" w:hAnsi="Times New Roman"/>
                <w:sz w:val="24"/>
                <w:szCs w:val="24"/>
              </w:rPr>
              <w:t xml:space="preserve">Модернизация платёжного шлюза, оптимизация архитектуры</w:t>
            </w:r>
          </w:p>
        </w:tc>
      </w:tr>
      <w:tr>
        <w:tc>
          <w:tcPr>
            <w:tcW w:w="1927" w:type="dxa"/>
          </w:tcPr>
          <w:p>
            <w:pPr>
              <w:spacing w:line="240" w:lineRule="auto" w:before="0" w:after="0"/>
              <w:ind w:firstLine="0"/>
              <w:jc w:val="left"/>
            </w:pPr>
            <w:r>
              <w:rPr>
                <w:rFonts w:ascii="Times New Roman" w:hAnsi="Times New Roman"/>
                <w:sz w:val="24"/>
                <w:szCs w:val="24"/>
              </w:rPr>
              <w:t xml:space="preserve">3</w:t>
            </w:r>
          </w:p>
        </w:tc>
        <w:tc>
          <w:tcPr>
            <w:tcW w:w="1927" w:type="dxa"/>
          </w:tcPr>
          <w:p>
            <w:pPr>
              <w:spacing w:line="240" w:lineRule="auto" w:before="0" w:after="0"/>
              <w:ind w:firstLine="0"/>
              <w:jc w:val="left"/>
            </w:pPr>
            <w:r>
              <w:rPr>
                <w:rFonts w:ascii="Times New Roman" w:hAnsi="Times New Roman"/>
                <w:sz w:val="24"/>
                <w:szCs w:val="24"/>
              </w:rPr>
              <w:t xml:space="preserve">Сложности трансграничных переводов</w:t>
            </w:r>
          </w:p>
        </w:tc>
        <w:tc>
          <w:tcPr>
            <w:tcW w:w="1927" w:type="dxa"/>
          </w:tcPr>
          <w:p>
            <w:pPr>
              <w:spacing w:line="240" w:lineRule="auto" w:before="0" w:after="0"/>
              <w:ind w:firstLine="0"/>
              <w:jc w:val="left"/>
            </w:pPr>
            <w:r>
              <w:rPr>
                <w:rFonts w:ascii="Times New Roman" w:hAnsi="Times New Roman"/>
                <w:sz w:val="24"/>
                <w:szCs w:val="24"/>
              </w:rPr>
              <w:t xml:space="preserve">Внешняя</w:t>
            </w:r>
          </w:p>
        </w:tc>
        <w:tc>
          <w:tcPr>
            <w:tcW w:w="1927" w:type="dxa"/>
          </w:tcPr>
          <w:p>
            <w:pPr>
              <w:spacing w:line="240" w:lineRule="auto" w:before="0" w:after="0"/>
              <w:ind w:firstLine="0"/>
              <w:jc w:val="left"/>
            </w:pPr>
            <w:r>
              <w:rPr>
                <w:rFonts w:ascii="Times New Roman" w:hAnsi="Times New Roman"/>
                <w:sz w:val="24"/>
                <w:szCs w:val="24"/>
              </w:rPr>
              <w:t xml:space="preserve">Стратегический</w:t>
            </w:r>
          </w:p>
        </w:tc>
        <w:tc>
          <w:tcPr>
            <w:tcW w:w="1927" w:type="dxa"/>
          </w:tcPr>
          <w:p>
            <w:pPr>
              <w:spacing w:line="240" w:lineRule="auto" w:before="0" w:after="0"/>
              <w:ind w:firstLine="0"/>
              <w:jc w:val="left"/>
            </w:pPr>
            <w:r>
              <w:rPr>
                <w:rFonts w:ascii="Times New Roman" w:hAnsi="Times New Roman"/>
                <w:sz w:val="24"/>
                <w:szCs w:val="24"/>
              </w:rPr>
              <w:t xml:space="preserve">Развитие альтернативных каналов, цифровой рубль для ВЭД</w:t>
            </w:r>
          </w:p>
        </w:tc>
      </w:tr>
      <w:tr>
        <w:tc>
          <w:tcPr>
            <w:tcW w:w="1927" w:type="dxa"/>
          </w:tcPr>
          <w:p>
            <w:pPr>
              <w:spacing w:line="240" w:lineRule="auto" w:before="0" w:after="0"/>
              <w:ind w:firstLine="0"/>
              <w:jc w:val="left"/>
            </w:pPr>
            <w:r>
              <w:rPr>
                <w:rFonts w:ascii="Times New Roman" w:hAnsi="Times New Roman"/>
                <w:sz w:val="24"/>
                <w:szCs w:val="24"/>
              </w:rPr>
              <w:t xml:space="preserve">4</w:t>
            </w:r>
          </w:p>
        </w:tc>
        <w:tc>
          <w:tcPr>
            <w:tcW w:w="1927" w:type="dxa"/>
          </w:tcPr>
          <w:p>
            <w:pPr>
              <w:spacing w:line="240" w:lineRule="auto" w:before="0" w:after="0"/>
              <w:ind w:firstLine="0"/>
              <w:jc w:val="left"/>
            </w:pPr>
            <w:r>
              <w:rPr>
                <w:rFonts w:ascii="Times New Roman" w:hAnsi="Times New Roman"/>
                <w:sz w:val="24"/>
                <w:szCs w:val="24"/>
              </w:rPr>
              <w:t xml:space="preserve">Мошенничество и социальная инженерия</w:t>
            </w:r>
          </w:p>
        </w:tc>
        <w:tc>
          <w:tcPr>
            <w:tcW w:w="1927" w:type="dxa"/>
          </w:tcPr>
          <w:p>
            <w:pPr>
              <w:spacing w:line="240" w:lineRule="auto" w:before="0" w:after="0"/>
              <w:ind w:firstLine="0"/>
              <w:jc w:val="left"/>
            </w:pPr>
            <w:r>
              <w:rPr>
                <w:rFonts w:ascii="Times New Roman" w:hAnsi="Times New Roman"/>
                <w:sz w:val="24"/>
                <w:szCs w:val="24"/>
              </w:rPr>
              <w:t xml:space="preserve">Риски</w:t>
            </w:r>
          </w:p>
        </w:tc>
        <w:tc>
          <w:tcPr>
            <w:tcW w:w="1927" w:type="dxa"/>
          </w:tcPr>
          <w:p>
            <w:pPr>
              <w:spacing w:line="240" w:lineRule="auto" w:before="0" w:after="0"/>
              <w:ind w:firstLine="0"/>
              <w:jc w:val="left"/>
            </w:pPr>
            <w:r>
              <w:rPr>
                <w:rFonts w:ascii="Times New Roman" w:hAnsi="Times New Roman"/>
                <w:sz w:val="24"/>
                <w:szCs w:val="24"/>
              </w:rPr>
              <w:t xml:space="preserve">Операционный</w:t>
            </w:r>
          </w:p>
        </w:tc>
        <w:tc>
          <w:tcPr>
            <w:tcW w:w="1927" w:type="dxa"/>
          </w:tcPr>
          <w:p>
            <w:pPr>
              <w:spacing w:line="240" w:lineRule="auto" w:before="0" w:after="0"/>
              <w:ind w:firstLine="0"/>
              <w:jc w:val="left"/>
            </w:pPr>
            <w:r>
              <w:rPr>
                <w:rFonts w:ascii="Times New Roman" w:hAnsi="Times New Roman"/>
                <w:sz w:val="24"/>
                <w:szCs w:val="24"/>
              </w:rPr>
              <w:t xml:space="preserve">Усиление антифрода, поведенческая биометрия, обучение клиентов</w:t>
            </w:r>
          </w:p>
        </w:tc>
      </w:tr>
      <w:tr>
        <w:tc>
          <w:tcPr>
            <w:tcW w:w="1927" w:type="dxa"/>
          </w:tcPr>
          <w:p>
            <w:pPr>
              <w:spacing w:line="240" w:lineRule="auto" w:before="0" w:after="0"/>
              <w:ind w:firstLine="0"/>
              <w:jc w:val="left"/>
            </w:pPr>
            <w:r>
              <w:rPr>
                <w:rFonts w:ascii="Times New Roman" w:hAnsi="Times New Roman"/>
                <w:sz w:val="24"/>
                <w:szCs w:val="24"/>
              </w:rPr>
              <w:t xml:space="preserve">5</w:t>
            </w:r>
          </w:p>
        </w:tc>
        <w:tc>
          <w:tcPr>
            <w:tcW w:w="1927" w:type="dxa"/>
          </w:tcPr>
          <w:p>
            <w:pPr>
              <w:spacing w:line="240" w:lineRule="auto" w:before="0" w:after="0"/>
              <w:ind w:firstLine="0"/>
              <w:jc w:val="left"/>
            </w:pPr>
            <w:r>
              <w:rPr>
                <w:rFonts w:ascii="Times New Roman" w:hAnsi="Times New Roman"/>
                <w:sz w:val="24"/>
                <w:szCs w:val="24"/>
              </w:rPr>
              <w:t xml:space="preserve">Недостаточная цифровизация в сегментах</w:t>
            </w:r>
          </w:p>
        </w:tc>
        <w:tc>
          <w:tcPr>
            <w:tcW w:w="1927" w:type="dxa"/>
          </w:tcPr>
          <w:p>
            <w:pPr>
              <w:spacing w:line="240" w:lineRule="auto" w:before="0" w:after="0"/>
              <w:ind w:firstLine="0"/>
              <w:jc w:val="left"/>
            </w:pPr>
            <w:r>
              <w:rPr>
                <w:rFonts w:ascii="Times New Roman" w:hAnsi="Times New Roman"/>
                <w:sz w:val="24"/>
                <w:szCs w:val="24"/>
              </w:rPr>
              <w:t xml:space="preserve">Клиенты</w:t>
            </w:r>
          </w:p>
        </w:tc>
        <w:tc>
          <w:tcPr>
            <w:tcW w:w="1927" w:type="dxa"/>
          </w:tcPr>
          <w:p>
            <w:pPr>
              <w:spacing w:line="240" w:lineRule="auto" w:before="0" w:after="0"/>
              <w:ind w:firstLine="0"/>
              <w:jc w:val="left"/>
            </w:pPr>
            <w:r>
              <w:rPr>
                <w:rFonts w:ascii="Times New Roman" w:hAnsi="Times New Roman"/>
                <w:sz w:val="24"/>
                <w:szCs w:val="24"/>
              </w:rPr>
              <w:t xml:space="preserve">Тактический</w:t>
            </w:r>
          </w:p>
        </w:tc>
        <w:tc>
          <w:tcPr>
            <w:tcW w:w="1927" w:type="dxa"/>
          </w:tcPr>
          <w:p>
            <w:pPr>
              <w:spacing w:line="240" w:lineRule="auto" w:before="0" w:after="0"/>
              <w:ind w:firstLine="0"/>
              <w:jc w:val="left"/>
            </w:pPr>
            <w:r>
              <w:rPr>
                <w:rFonts w:ascii="Times New Roman" w:hAnsi="Times New Roman"/>
                <w:sz w:val="24"/>
                <w:szCs w:val="24"/>
              </w:rPr>
              <w:t xml:space="preserve">Упрощённый цифровой канал для пожилых</w:t>
            </w:r>
          </w:p>
        </w:tc>
      </w:tr>
      <w:tr>
        <w:tc>
          <w:tcPr>
            <w:tcW w:w="1927" w:type="dxa"/>
          </w:tcPr>
          <w:p>
            <w:pPr>
              <w:spacing w:line="240" w:lineRule="auto" w:before="0" w:after="0"/>
              <w:ind w:firstLine="0"/>
              <w:jc w:val="left"/>
            </w:pPr>
            <w:r>
              <w:rPr>
                <w:rFonts w:ascii="Times New Roman" w:hAnsi="Times New Roman"/>
                <w:sz w:val="24"/>
                <w:szCs w:val="24"/>
              </w:rPr>
              <w:t xml:space="preserve">6</w:t>
            </w:r>
          </w:p>
        </w:tc>
        <w:tc>
          <w:tcPr>
            <w:tcW w:w="1927" w:type="dxa"/>
          </w:tcPr>
          <w:p>
            <w:pPr>
              <w:spacing w:line="240" w:lineRule="auto" w:before="0" w:after="0"/>
              <w:ind w:firstLine="0"/>
              <w:jc w:val="left"/>
            </w:pPr>
            <w:r>
              <w:rPr>
                <w:rFonts w:ascii="Times New Roman" w:hAnsi="Times New Roman"/>
                <w:sz w:val="24"/>
                <w:szCs w:val="24"/>
              </w:rPr>
              <w:t xml:space="preserve">Технологическая нагрузка</w:t>
            </w:r>
          </w:p>
        </w:tc>
        <w:tc>
          <w:tcPr>
            <w:tcW w:w="1927" w:type="dxa"/>
          </w:tcPr>
          <w:p>
            <w:pPr>
              <w:spacing w:line="240" w:lineRule="auto" w:before="0" w:after="0"/>
              <w:ind w:firstLine="0"/>
              <w:jc w:val="left"/>
            </w:pPr>
            <w:r>
              <w:rPr>
                <w:rFonts w:ascii="Times New Roman" w:hAnsi="Times New Roman"/>
                <w:sz w:val="24"/>
                <w:szCs w:val="24"/>
              </w:rPr>
              <w:t xml:space="preserve">Инфраструктура</w:t>
            </w:r>
          </w:p>
        </w:tc>
        <w:tc>
          <w:tcPr>
            <w:tcW w:w="1927" w:type="dxa"/>
          </w:tcPr>
          <w:p>
            <w:pPr>
              <w:spacing w:line="240" w:lineRule="auto" w:before="0" w:after="0"/>
              <w:ind w:firstLine="0"/>
              <w:jc w:val="left"/>
            </w:pPr>
            <w:r>
              <w:rPr>
                <w:rFonts w:ascii="Times New Roman" w:hAnsi="Times New Roman"/>
                <w:sz w:val="24"/>
                <w:szCs w:val="24"/>
              </w:rPr>
              <w:t xml:space="preserve">Стратегический</w:t>
            </w:r>
          </w:p>
        </w:tc>
        <w:tc>
          <w:tcPr>
            <w:tcW w:w="1927" w:type="dxa"/>
          </w:tcPr>
          <w:p>
            <w:pPr>
              <w:spacing w:line="240" w:lineRule="auto" w:before="0" w:after="0"/>
              <w:ind w:firstLine="0"/>
              <w:jc w:val="left"/>
            </w:pPr>
            <w:r>
              <w:rPr>
                <w:rFonts w:ascii="Times New Roman" w:hAnsi="Times New Roman"/>
                <w:sz w:val="24"/>
                <w:szCs w:val="24"/>
              </w:rPr>
              <w:t xml:space="preserve">Облачные технологии, микросервисы, резервирование</w:t>
            </w:r>
          </w:p>
        </w:tc>
      </w:tr>
      <w:tr>
        <w:tc>
          <w:tcPr>
            <w:tcW w:w="1927" w:type="dxa"/>
          </w:tcPr>
          <w:p>
            <w:pPr>
              <w:spacing w:line="240" w:lineRule="auto" w:before="0" w:after="0"/>
              <w:ind w:firstLine="0"/>
              <w:jc w:val="left"/>
            </w:pPr>
            <w:r>
              <w:rPr>
                <w:rFonts w:ascii="Times New Roman" w:hAnsi="Times New Roman"/>
                <w:sz w:val="24"/>
                <w:szCs w:val="24"/>
              </w:rPr>
              <w:t xml:space="preserve">7</w:t>
            </w:r>
          </w:p>
        </w:tc>
        <w:tc>
          <w:tcPr>
            <w:tcW w:w="1927" w:type="dxa"/>
          </w:tcPr>
          <w:p>
            <w:pPr>
              <w:spacing w:line="240" w:lineRule="auto" w:before="0" w:after="0"/>
              <w:ind w:firstLine="0"/>
              <w:jc w:val="left"/>
            </w:pPr>
            <w:r>
              <w:rPr>
                <w:rFonts w:ascii="Times New Roman" w:hAnsi="Times New Roman"/>
                <w:sz w:val="24"/>
                <w:szCs w:val="24"/>
              </w:rPr>
              <w:t xml:space="preserve">Финансовая грамотность клиентов</w:t>
            </w:r>
          </w:p>
        </w:tc>
        <w:tc>
          <w:tcPr>
            <w:tcW w:w="1927" w:type="dxa"/>
          </w:tcPr>
          <w:p>
            <w:pPr>
              <w:spacing w:line="240" w:lineRule="auto" w:before="0" w:after="0"/>
              <w:ind w:firstLine="0"/>
              <w:jc w:val="left"/>
            </w:pPr>
            <w:r>
              <w:rPr>
                <w:rFonts w:ascii="Times New Roman" w:hAnsi="Times New Roman"/>
                <w:sz w:val="24"/>
                <w:szCs w:val="24"/>
              </w:rPr>
              <w:t xml:space="preserve">Клиенты</w:t>
            </w:r>
          </w:p>
        </w:tc>
        <w:tc>
          <w:tcPr>
            <w:tcW w:w="1927" w:type="dxa"/>
          </w:tcPr>
          <w:p>
            <w:pPr>
              <w:spacing w:line="240" w:lineRule="auto" w:before="0" w:after="0"/>
              <w:ind w:firstLine="0"/>
              <w:jc w:val="left"/>
            </w:pPr>
            <w:r>
              <w:rPr>
                <w:rFonts w:ascii="Times New Roman" w:hAnsi="Times New Roman"/>
                <w:sz w:val="24"/>
                <w:szCs w:val="24"/>
              </w:rPr>
              <w:t xml:space="preserve">Операционный</w:t>
            </w:r>
          </w:p>
        </w:tc>
        <w:tc>
          <w:tcPr>
            <w:tcW w:w="1927" w:type="dxa"/>
          </w:tcPr>
          <w:p>
            <w:pPr>
              <w:spacing w:line="240" w:lineRule="auto" w:before="0" w:after="0"/>
              <w:ind w:firstLine="0"/>
              <w:jc w:val="left"/>
            </w:pPr>
            <w:r>
              <w:rPr>
                <w:rFonts w:ascii="Times New Roman" w:hAnsi="Times New Roman"/>
                <w:sz w:val="24"/>
                <w:szCs w:val="24"/>
              </w:rPr>
              <w:t xml:space="preserve">Обучающие программы, упрощённый интерфейс</w:t>
            </w:r>
          </w:p>
        </w:tc>
      </w:tr>
      <w:tr>
        <w:tc>
          <w:tcPr>
            <w:tcW w:w="1927" w:type="dxa"/>
          </w:tcPr>
          <w:p>
            <w:pPr>
              <w:spacing w:line="240" w:lineRule="auto" w:before="0" w:after="0"/>
              <w:ind w:firstLine="0"/>
              <w:jc w:val="left"/>
            </w:pPr>
            <w:r>
              <w:rPr>
                <w:rFonts w:ascii="Times New Roman" w:hAnsi="Times New Roman"/>
                <w:sz w:val="24"/>
                <w:szCs w:val="24"/>
              </w:rPr>
              <w:t xml:space="preserve">8</w:t>
            </w:r>
          </w:p>
        </w:tc>
        <w:tc>
          <w:tcPr>
            <w:tcW w:w="1927" w:type="dxa"/>
          </w:tcPr>
          <w:p>
            <w:pPr>
              <w:spacing w:line="240" w:lineRule="auto" w:before="0" w:after="0"/>
              <w:ind w:firstLine="0"/>
              <w:jc w:val="left"/>
            </w:pPr>
            <w:r>
              <w:rPr>
                <w:rFonts w:ascii="Times New Roman" w:hAnsi="Times New Roman"/>
                <w:sz w:val="24"/>
                <w:szCs w:val="24"/>
              </w:rPr>
              <w:t xml:space="preserve">Внедрение цифрового рубля</w:t>
            </w:r>
          </w:p>
        </w:tc>
        <w:tc>
          <w:tcPr>
            <w:tcW w:w="1927" w:type="dxa"/>
          </w:tcPr>
          <w:p>
            <w:pPr>
              <w:spacing w:line="240" w:lineRule="auto" w:before="0" w:after="0"/>
              <w:ind w:firstLine="0"/>
              <w:jc w:val="left"/>
            </w:pPr>
            <w:r>
              <w:rPr>
                <w:rFonts w:ascii="Times New Roman" w:hAnsi="Times New Roman"/>
                <w:sz w:val="24"/>
                <w:szCs w:val="24"/>
              </w:rPr>
              <w:t xml:space="preserve">Технологии</w:t>
            </w:r>
          </w:p>
        </w:tc>
        <w:tc>
          <w:tcPr>
            <w:tcW w:w="1927" w:type="dxa"/>
          </w:tcPr>
          <w:p>
            <w:pPr>
              <w:spacing w:line="240" w:lineRule="auto" w:before="0" w:after="0"/>
              <w:ind w:firstLine="0"/>
              <w:jc w:val="left"/>
            </w:pPr>
            <w:r>
              <w:rPr>
                <w:rFonts w:ascii="Times New Roman" w:hAnsi="Times New Roman"/>
                <w:sz w:val="24"/>
                <w:szCs w:val="24"/>
              </w:rPr>
              <w:t xml:space="preserve">Стратегический</w:t>
            </w:r>
          </w:p>
        </w:tc>
        <w:tc>
          <w:tcPr>
            <w:tcW w:w="1927" w:type="dxa"/>
          </w:tcPr>
          <w:p>
            <w:pPr>
              <w:spacing w:line="240" w:lineRule="auto" w:before="0" w:after="0"/>
              <w:ind w:firstLine="0"/>
              <w:jc w:val="left"/>
            </w:pPr>
            <w:r>
              <w:rPr>
                <w:rFonts w:ascii="Times New Roman" w:hAnsi="Times New Roman"/>
                <w:sz w:val="24"/>
                <w:szCs w:val="24"/>
              </w:rPr>
              <w:t xml:space="preserve">Полноценная интеграция в платформу, новые сервисы</w:t>
            </w:r>
          </w:p>
        </w:tc>
      </w:tr>
    </w:tbl>
    <w:p>
      <w:pPr>
        <w:ind w:firstLine="0"/>
      </w:pPr>
    </w:p>
    <w:p>
      <w:pPr>
        <w:jc w:val="both"/>
      </w:pPr>
      <w:r>
        <w:t xml:space="preserve">На основании систематизации проблем сформулированы следующие ключевые направления совершенствования системы переводов денежных средств в ПАО «Сбербанк». Дерево направлений совершенствования представлено на рисунке 2.3.1.</w:t>
      </w:r>
    </w:p>
    <w:p>
      <w:pPr>
        <w:spacing w:line="360" w:lineRule="auto" w:before="120" w:after="120"/>
        <w:ind w:firstLine="0"/>
        <w:jc w:val="center"/>
      </w:pPr>
      <w:r>
        <w:rPr>
          <w:i/>
          <w:iCs/>
        </w:rPr>
        <w:t xml:space="preserve">Рисунок 2.3.1 — Дерево направлений совершенствования системы переводов ПАО «Сбербанк»</w:t>
      </w:r>
    </w:p>
    <w:p>
      <w:pPr>
        <w:jc w:val="both"/>
      </w:pPr>
      <w:r>
        <w:t xml:space="preserve">Направление 1. Диверсификация моделей монетизации переводных операций. Для компенсации снижения маржинальности традиционных переводов целесообразно развитие премиальных тарифных планов (например, «Сбер Премьер», «Сбер Прайм» с расширенными лимитами и привилегиями), пакетных продуктов «всё включено», а также кросс-продаж: использование переводных сервисов как «точки входа» для предложения клиентам кредитных продуктов, страховых, инвестиционных услуг. Дополнительно банку следует развивать B2B-сегмент СБП, в котором маржинальность пока сохраняется на приемлемом уровне.</w:t>
      </w:r>
    </w:p>
    <w:p>
      <w:pPr>
        <w:jc w:val="both"/>
      </w:pPr>
      <w:r>
        <w:t xml:space="preserve">Направление 2. Технологическая модернизация платёжного шлюза. Сокращение времени СБП-перевода до уровня 3,0–3,5 секунды требует:</w:t>
      </w:r>
    </w:p>
    <w:p>
      <w:pPr>
        <w:jc w:val="both"/>
      </w:pPr>
      <w:r>
        <w:t xml:space="preserve">— перевода обработки сообщений в формате ISO 20022 на event-driven архитектуру с минимальным числом промежуточных операций;</w:t>
      </w:r>
    </w:p>
    <w:p>
      <w:pPr>
        <w:jc w:val="both"/>
      </w:pPr>
      <w:r>
        <w:t xml:space="preserve">— использования in-memory баз данных (например, Tarantool, GridGain) для хранения сессионной информации;</w:t>
      </w:r>
    </w:p>
    <w:p>
      <w:pPr>
        <w:jc w:val="both"/>
      </w:pPr>
      <w:r>
        <w:t xml:space="preserve">— оптимизации работы антифрод-системы — переход на пассивный скоринг для типичных операций со снижением латентности;</w:t>
      </w:r>
    </w:p>
    <w:p>
      <w:pPr>
        <w:jc w:val="both"/>
      </w:pPr>
      <w:r>
        <w:t xml:space="preserve">— переноса операций обработки СБП на территориально распределённые ЦОДы.</w:t>
      </w:r>
    </w:p>
    <w:p>
      <w:pPr>
        <w:jc w:val="both"/>
      </w:pPr>
      <w:r>
        <w:t xml:space="preserve">По экспертным оценкам, реализация этих мер позволит снизить среднее время перевода до 3,5 секунды и сравняться с лидерами рынка.</w:t>
      </w:r>
    </w:p>
    <w:p>
      <w:pPr>
        <w:jc w:val="both"/>
      </w:pPr>
      <w:r>
        <w:t xml:space="preserve">Направление 3. Расширение альтернативных каналов трансграничных переводов. Это направление включает:</w:t>
      </w:r>
    </w:p>
    <w:p>
      <w:pPr>
        <w:jc w:val="both"/>
      </w:pPr>
      <w:r>
        <w:t xml:space="preserve">— развитие сети прямых корреспондентских отношений с банками дружественных стран (КНР, Индия, Турция, ОАЭ, страны СНГ и БРИКС);</w:t>
      </w:r>
    </w:p>
    <w:p>
      <w:pPr>
        <w:jc w:val="both"/>
      </w:pPr>
      <w:r>
        <w:t xml:space="preserve">— подключение к системе CIPS, интеграция с системой UPI Индии, системой Mada Саудовской Аравии и иным локальным платёжным системам;</w:t>
      </w:r>
    </w:p>
    <w:p>
      <w:pPr>
        <w:jc w:val="both"/>
      </w:pPr>
      <w:r>
        <w:t xml:space="preserve">— расширение функционала СПФС Банка России и привлечение большего числа иностранных банков-нерезидентов в качестве участников;</w:t>
      </w:r>
    </w:p>
    <w:p>
      <w:pPr>
        <w:jc w:val="both"/>
      </w:pPr>
      <w:r>
        <w:t xml:space="preserve">— разработка решений для использования цифрового рубля во внешнеэкономических расчётах в рамках экспериментов с дружественными странами;</w:t>
      </w:r>
    </w:p>
    <w:p>
      <w:pPr>
        <w:jc w:val="both"/>
      </w:pPr>
      <w:r>
        <w:t xml:space="preserve">— развитие моделей расчётов через цифровые валюты центральных банков (CBDC) в рамках проектов БРИКС и пилотов с КНР.</w:t>
      </w:r>
    </w:p>
    <w:p>
      <w:pPr>
        <w:jc w:val="both"/>
      </w:pPr>
      <w:r>
        <w:t xml:space="preserve">Реализация направления позволит повысить доступность, скорость и снизить стоимость трансграничных переводов для клиентов банка.</w:t>
      </w:r>
    </w:p>
    <w:p>
      <w:pPr>
        <w:jc w:val="both"/>
      </w:pPr>
      <w:r>
        <w:t xml:space="preserve">Направление 4. Усиление безопасности переводов и борьбы с социальной инженерией. Предлагается:</w:t>
      </w:r>
    </w:p>
    <w:p>
      <w:pPr>
        <w:jc w:val="both"/>
      </w:pPr>
      <w:r>
        <w:t xml:space="preserve">— внедрение поведенческой биометрии: распознавание клиента по характерным паттернам взаимодействия с устройством (скорость набора, движение мыши, удержание телефона, интонация голоса);</w:t>
      </w:r>
    </w:p>
    <w:p>
      <w:pPr>
        <w:jc w:val="both"/>
      </w:pPr>
      <w:r>
        <w:t xml:space="preserve">— развитие технологий «голосового антифрода» — автоматического распознавания признаков мошеннического звонка по линии связи в момент перевода (на основе интеграции с операторами связи);</w:t>
      </w:r>
    </w:p>
    <w:p>
      <w:pPr>
        <w:jc w:val="both"/>
      </w:pPr>
      <w:r>
        <w:t xml:space="preserve">— расширение базы признаков подозрительности с использованием данных Банка России (база ФинЦЕРТ) и собственных аналитических моделей;</w:t>
      </w:r>
    </w:p>
    <w:p>
      <w:pPr>
        <w:jc w:val="both"/>
      </w:pPr>
      <w:r>
        <w:t xml:space="preserve">— массовая просветительская работа с клиентами через push-уведомления в приложении, SMS, видеоматериалы о схемах мошенничества;</w:t>
      </w:r>
    </w:p>
    <w:p>
      <w:pPr>
        <w:jc w:val="both"/>
      </w:pPr>
      <w:r>
        <w:t xml:space="preserve">— функция «временной заморозки» крупных переводов: возможность для клиента в настройках мобильного приложения установить обязательную задержку 30 минут или более для перевода свыше определённой суммы, в течение которых перевод можно отменить.</w:t>
      </w:r>
    </w:p>
    <w:p>
      <w:pPr>
        <w:jc w:val="both"/>
      </w:pPr>
      <w:r>
        <w:t xml:space="preserve">Направление 5. Адаптация цифровых сервисов для слабо охваченных категорий клиентов. Для пожилых клиентов и других категорий, недостаточно охваченных цифровой средой, рекомендуется:</w:t>
      </w:r>
    </w:p>
    <w:p>
      <w:pPr>
        <w:jc w:val="both"/>
      </w:pPr>
      <w:r>
        <w:t xml:space="preserve">— разработка упрощённого интерфейса мобильного приложения «СберБанк Онлайн Лайт» с крупными шрифтами, голосовым управлением, минимальным количеством функций;</w:t>
      </w:r>
    </w:p>
    <w:p>
      <w:pPr>
        <w:jc w:val="both"/>
      </w:pPr>
      <w:r>
        <w:t xml:space="preserve">— развитие услуги «доверенный клиент»: возможность безопасно делегировать некоторые переводные функции близкому родственнику с ограничениями по суммам;</w:t>
      </w:r>
    </w:p>
    <w:p>
      <w:pPr>
        <w:jc w:val="both"/>
      </w:pPr>
      <w:r>
        <w:t xml:space="preserve">— расширение программ финансовой грамотности через региональные офисы, в том числе совместно с органами социальной защиты и пенсионным фондом;</w:t>
      </w:r>
    </w:p>
    <w:p>
      <w:pPr>
        <w:jc w:val="both"/>
      </w:pPr>
      <w:r>
        <w:t xml:space="preserve">— сохранение и оптимизация кассового обслуживания в сельской местности с применением технологии передвижных офисов и партнёрства с почтовыми отделениями.</w:t>
      </w:r>
    </w:p>
    <w:p>
      <w:pPr>
        <w:jc w:val="both"/>
      </w:pPr>
      <w:r>
        <w:t xml:space="preserve">Направление 6. Развитие облачных технологий и микросервисной архитектуры. Для снижения операционных рисков и повышения масштабируемости предлагается:</w:t>
      </w:r>
    </w:p>
    <w:p>
      <w:pPr>
        <w:jc w:val="both"/>
      </w:pPr>
      <w:r>
        <w:t xml:space="preserve">— продолжить миграцию монолитных систем на микросервисы с применением технологий контейнеризации (Kubernetes);</w:t>
      </w:r>
    </w:p>
    <w:p>
      <w:pPr>
        <w:jc w:val="both"/>
      </w:pPr>
      <w:r>
        <w:t xml:space="preserve">— использовать гибридные облачные модели с распределённой обработкой данных в нескольких ЦОДах России (Москва, Казань, Новосибирск, Краснодар);</w:t>
      </w:r>
    </w:p>
    <w:p>
      <w:pPr>
        <w:jc w:val="both"/>
      </w:pPr>
      <w:r>
        <w:t xml:space="preserve">— внедрить активно-активную репликацию между ЦОДами с автоматическим переключением в случае инцидентов (целевой RTO — менее 1 минуты, RPO — практически 0);</w:t>
      </w:r>
    </w:p>
    <w:p>
      <w:pPr>
        <w:jc w:val="both"/>
      </w:pPr>
      <w:r>
        <w:t xml:space="preserve">— расширить применение методов хаос-инжиниринга (Chaos Engineering) для проактивного выявления уязвимостей в архитектуре.</w:t>
      </w:r>
    </w:p>
    <w:p>
      <w:pPr>
        <w:jc w:val="both"/>
      </w:pPr>
      <w:r>
        <w:t xml:space="preserve">Направление 7. Полноценная интеграция в платформу цифрового рубля. С учётом того, что цифровой рубль становится третьей формой национальной валюты, целесообразно:</w:t>
      </w:r>
    </w:p>
    <w:p>
      <w:pPr>
        <w:jc w:val="both"/>
      </w:pPr>
      <w:r>
        <w:t xml:space="preserve">— завершить разработку интерфейсов открытия и пополнения цифровых кошельков клиентов в мобильном приложении банка;</w:t>
      </w:r>
    </w:p>
    <w:p>
      <w:pPr>
        <w:jc w:val="both"/>
      </w:pPr>
      <w:r>
        <w:t xml:space="preserve">— создать сервисы расчётов по смарт-контрактам для корпоративных клиентов: автоматические выплаты по факту выполнения условий (например, по поставке товара, выполнению работ);</w:t>
      </w:r>
    </w:p>
    <w:p>
      <w:pPr>
        <w:jc w:val="both"/>
      </w:pPr>
      <w:r>
        <w:t xml:space="preserve">— внедрить сервис целевых выплат государственных пособий с автоматическим контролем целевого использования;</w:t>
      </w:r>
    </w:p>
    <w:p>
      <w:pPr>
        <w:jc w:val="both"/>
      </w:pPr>
      <w:r>
        <w:t xml:space="preserve">— разработать продукты для трансграничных расчётов в цифровых рублях в рамках интеграционных проектов БРИКС.</w:t>
      </w:r>
    </w:p>
    <w:p>
      <w:pPr>
        <w:jc w:val="both"/>
      </w:pPr>
      <w:r>
        <w:t xml:space="preserve">Направление 8. Развитие культуры финансовой грамотности клиентов. Включает:</w:t>
      </w:r>
    </w:p>
    <w:p>
      <w:pPr>
        <w:jc w:val="both"/>
      </w:pPr>
      <w:r>
        <w:t xml:space="preserve">— регулярные кампании по информированию о схемах мошенничества и способах безопасного использования переводных сервисов;</w:t>
      </w:r>
    </w:p>
    <w:p>
      <w:pPr>
        <w:jc w:val="both"/>
      </w:pPr>
      <w:r>
        <w:t xml:space="preserve">— геймификацию обучения через мобильное приложение (достижения за прохождение тестов по безопасности);</w:t>
      </w:r>
    </w:p>
    <w:p>
      <w:pPr>
        <w:jc w:val="both"/>
      </w:pPr>
      <w:r>
        <w:t xml:space="preserve">— создание раздела «помощь» в мобильном приложении с видеоинструкциями по основным операциям, в том числе на языках народов России;</w:t>
      </w:r>
    </w:p>
    <w:p>
      <w:pPr>
        <w:jc w:val="both"/>
      </w:pPr>
      <w:r>
        <w:t xml:space="preserve">— партнёрство с образовательными платформами, школами, колледжами по программам финансовой грамотности.</w:t>
      </w:r>
    </w:p>
    <w:p>
      <w:pPr>
        <w:jc w:val="both"/>
      </w:pPr>
      <w:r>
        <w:t xml:space="preserve">Ожидаемые экономические и социальные эффекты от реализации предложенных направлений совершенствования представлены в таблице 2.3.2.</w:t>
      </w:r>
    </w:p>
    <w:p>
      <w:pPr>
        <w:spacing w:line="360" w:lineRule="auto" w:before="120" w:after="60"/>
        <w:ind w:firstLine="0"/>
        <w:jc w:val="left"/>
      </w:pPr>
      <w:r>
        <w:t xml:space="preserve">Таблица 2.3.2 — Ожидаемые эффекты от реализации направлений совершенствования системы переводов ПАО «Сбербанк» в горизонте 2026–2028 гг.</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3213"/>
        <w:gridCol w:w="3213"/>
        <w:gridCol w:w="3213"/>
      </w:tblGrid>
      <w:tr>
        <w:trPr>
          <w:tblHeader/>
        </w:trPr>
        <w:tc>
          <w:tcPr>
            <w:tcW w:w="3213" w:type="dxa"/>
          </w:tcPr>
          <w:p>
            <w:pPr>
              <w:spacing w:line="240" w:lineRule="auto" w:before="0" w:after="0"/>
              <w:ind w:firstLine="0"/>
              <w:jc w:val="center"/>
            </w:pPr>
            <w:r>
              <w:rPr>
                <w:rFonts w:ascii="Times New Roman" w:hAnsi="Times New Roman"/>
                <w:sz w:val="24"/>
                <w:szCs w:val="24"/>
                <w:b/>
                <w:bCs/>
              </w:rPr>
              <w:t xml:space="preserve">Направление</w:t>
            </w:r>
          </w:p>
        </w:tc>
        <w:tc>
          <w:tcPr>
            <w:tcW w:w="3213" w:type="dxa"/>
          </w:tcPr>
          <w:p>
            <w:pPr>
              <w:spacing w:line="240" w:lineRule="auto" w:before="0" w:after="0"/>
              <w:ind w:firstLine="0"/>
              <w:jc w:val="center"/>
            </w:pPr>
            <w:r>
              <w:rPr>
                <w:rFonts w:ascii="Times New Roman" w:hAnsi="Times New Roman"/>
                <w:sz w:val="24"/>
                <w:szCs w:val="24"/>
                <w:b/>
                <w:bCs/>
              </w:rPr>
              <w:t xml:space="preserve">Эффект</w:t>
            </w:r>
          </w:p>
        </w:tc>
        <w:tc>
          <w:tcPr>
            <w:tcW w:w="3213" w:type="dxa"/>
          </w:tcPr>
          <w:p>
            <w:pPr>
              <w:spacing w:line="240" w:lineRule="auto" w:before="0" w:after="0"/>
              <w:ind w:firstLine="0"/>
              <w:jc w:val="center"/>
            </w:pPr>
            <w:r>
              <w:rPr>
                <w:rFonts w:ascii="Times New Roman" w:hAnsi="Times New Roman"/>
                <w:sz w:val="24"/>
                <w:szCs w:val="24"/>
                <w:b/>
                <w:bCs/>
              </w:rPr>
              <w:t xml:space="preserve">Количественная оценка</w:t>
            </w:r>
          </w:p>
        </w:tc>
      </w:tr>
      <w:tr>
        <w:tc>
          <w:tcPr>
            <w:tcW w:w="3213" w:type="dxa"/>
          </w:tcPr>
          <w:p>
            <w:pPr>
              <w:spacing w:line="240" w:lineRule="auto" w:before="0" w:after="0"/>
              <w:ind w:firstLine="0"/>
              <w:jc w:val="left"/>
            </w:pPr>
            <w:r>
              <w:rPr>
                <w:rFonts w:ascii="Times New Roman" w:hAnsi="Times New Roman"/>
                <w:sz w:val="24"/>
                <w:szCs w:val="24"/>
              </w:rPr>
              <w:t xml:space="preserve">Диверсификация моделей монетизации</w:t>
            </w:r>
          </w:p>
        </w:tc>
        <w:tc>
          <w:tcPr>
            <w:tcW w:w="3213" w:type="dxa"/>
          </w:tcPr>
          <w:p>
            <w:pPr>
              <w:spacing w:line="240" w:lineRule="auto" w:before="0" w:after="0"/>
              <w:ind w:firstLine="0"/>
              <w:jc w:val="left"/>
            </w:pPr>
            <w:r>
              <w:rPr>
                <w:rFonts w:ascii="Times New Roman" w:hAnsi="Times New Roman"/>
                <w:sz w:val="24"/>
                <w:szCs w:val="24"/>
              </w:rPr>
              <w:t xml:space="preserve">Прирост комиссионных доходов от переводов</w:t>
            </w:r>
          </w:p>
        </w:tc>
        <w:tc>
          <w:tcPr>
            <w:tcW w:w="3213" w:type="dxa"/>
          </w:tcPr>
          <w:p>
            <w:pPr>
              <w:spacing w:line="240" w:lineRule="auto" w:before="0" w:after="0"/>
              <w:ind w:firstLine="0"/>
              <w:jc w:val="left"/>
            </w:pPr>
            <w:r>
              <w:rPr>
                <w:rFonts w:ascii="Times New Roman" w:hAnsi="Times New Roman"/>
                <w:sz w:val="24"/>
                <w:szCs w:val="24"/>
              </w:rPr>
              <w:t xml:space="preserve">+12–15 млрд руб. в год</w:t>
            </w:r>
          </w:p>
        </w:tc>
      </w:tr>
      <w:tr>
        <w:tc>
          <w:tcPr>
            <w:tcW w:w="3213" w:type="dxa"/>
          </w:tcPr>
          <w:p>
            <w:pPr>
              <w:spacing w:line="240" w:lineRule="auto" w:before="0" w:after="0"/>
              <w:ind w:firstLine="0"/>
              <w:jc w:val="left"/>
            </w:pPr>
            <w:r>
              <w:rPr>
                <w:rFonts w:ascii="Times New Roman" w:hAnsi="Times New Roman"/>
                <w:sz w:val="24"/>
                <w:szCs w:val="24"/>
              </w:rPr>
              <w:t xml:space="preserve">Технологическая модернизация шлюза</w:t>
            </w:r>
          </w:p>
        </w:tc>
        <w:tc>
          <w:tcPr>
            <w:tcW w:w="3213" w:type="dxa"/>
          </w:tcPr>
          <w:p>
            <w:pPr>
              <w:spacing w:line="240" w:lineRule="auto" w:before="0" w:after="0"/>
              <w:ind w:firstLine="0"/>
              <w:jc w:val="left"/>
            </w:pPr>
            <w:r>
              <w:rPr>
                <w:rFonts w:ascii="Times New Roman" w:hAnsi="Times New Roman"/>
                <w:sz w:val="24"/>
                <w:szCs w:val="24"/>
              </w:rPr>
              <w:t xml:space="preserve">Снижение времени СБП-перевода</w:t>
            </w:r>
          </w:p>
        </w:tc>
        <w:tc>
          <w:tcPr>
            <w:tcW w:w="3213" w:type="dxa"/>
          </w:tcPr>
          <w:p>
            <w:pPr>
              <w:spacing w:line="240" w:lineRule="auto" w:before="0" w:after="0"/>
              <w:ind w:firstLine="0"/>
              <w:jc w:val="left"/>
            </w:pPr>
            <w:r>
              <w:rPr>
                <w:rFonts w:ascii="Times New Roman" w:hAnsi="Times New Roman"/>
                <w:sz w:val="24"/>
                <w:szCs w:val="24"/>
              </w:rPr>
              <w:t xml:space="preserve">с 4,8 до 3,5 сек.</w:t>
            </w:r>
          </w:p>
        </w:tc>
      </w:tr>
      <w:tr>
        <w:tc>
          <w:tcPr>
            <w:tcW w:w="3213" w:type="dxa"/>
          </w:tcPr>
          <w:p>
            <w:pPr>
              <w:spacing w:line="240" w:lineRule="auto" w:before="0" w:after="0"/>
              <w:ind w:firstLine="0"/>
              <w:jc w:val="left"/>
            </w:pPr>
            <w:r>
              <w:rPr>
                <w:rFonts w:ascii="Times New Roman" w:hAnsi="Times New Roman"/>
                <w:sz w:val="24"/>
                <w:szCs w:val="24"/>
              </w:rPr>
              <w:t xml:space="preserve">Альтернативные каналы трансграничных переводов</w:t>
            </w:r>
          </w:p>
        </w:tc>
        <w:tc>
          <w:tcPr>
            <w:tcW w:w="3213" w:type="dxa"/>
          </w:tcPr>
          <w:p>
            <w:pPr>
              <w:spacing w:line="240" w:lineRule="auto" w:before="0" w:after="0"/>
              <w:ind w:firstLine="0"/>
              <w:jc w:val="left"/>
            </w:pPr>
            <w:r>
              <w:rPr>
                <w:rFonts w:ascii="Times New Roman" w:hAnsi="Times New Roman"/>
                <w:sz w:val="24"/>
                <w:szCs w:val="24"/>
              </w:rPr>
              <w:t xml:space="preserve">Рост объёма трансграничных операций</w:t>
            </w:r>
          </w:p>
        </w:tc>
        <w:tc>
          <w:tcPr>
            <w:tcW w:w="3213" w:type="dxa"/>
          </w:tcPr>
          <w:p>
            <w:pPr>
              <w:spacing w:line="240" w:lineRule="auto" w:before="0" w:after="0"/>
              <w:ind w:firstLine="0"/>
              <w:jc w:val="left"/>
            </w:pPr>
            <w:r>
              <w:rPr>
                <w:rFonts w:ascii="Times New Roman" w:hAnsi="Times New Roman"/>
                <w:sz w:val="24"/>
                <w:szCs w:val="24"/>
              </w:rPr>
              <w:t xml:space="preserve">+25–30 % в год</w:t>
            </w:r>
          </w:p>
        </w:tc>
      </w:tr>
      <w:tr>
        <w:tc>
          <w:tcPr>
            <w:tcW w:w="3213" w:type="dxa"/>
          </w:tcPr>
          <w:p>
            <w:pPr>
              <w:spacing w:line="240" w:lineRule="auto" w:before="0" w:after="0"/>
              <w:ind w:firstLine="0"/>
              <w:jc w:val="left"/>
            </w:pPr>
            <w:r>
              <w:rPr>
                <w:rFonts w:ascii="Times New Roman" w:hAnsi="Times New Roman"/>
                <w:sz w:val="24"/>
                <w:szCs w:val="24"/>
              </w:rPr>
              <w:t xml:space="preserve">Усиление безопасности</w:t>
            </w:r>
          </w:p>
        </w:tc>
        <w:tc>
          <w:tcPr>
            <w:tcW w:w="3213" w:type="dxa"/>
          </w:tcPr>
          <w:p>
            <w:pPr>
              <w:spacing w:line="240" w:lineRule="auto" w:before="0" w:after="0"/>
              <w:ind w:firstLine="0"/>
              <w:jc w:val="left"/>
            </w:pPr>
            <w:r>
              <w:rPr>
                <w:rFonts w:ascii="Times New Roman" w:hAnsi="Times New Roman"/>
                <w:sz w:val="24"/>
                <w:szCs w:val="24"/>
              </w:rPr>
              <w:t xml:space="preserve">Снижение объёма мошеннических переводов</w:t>
            </w:r>
          </w:p>
        </w:tc>
        <w:tc>
          <w:tcPr>
            <w:tcW w:w="3213" w:type="dxa"/>
          </w:tcPr>
          <w:p>
            <w:pPr>
              <w:spacing w:line="240" w:lineRule="auto" w:before="0" w:after="0"/>
              <w:ind w:firstLine="0"/>
              <w:jc w:val="left"/>
            </w:pPr>
            <w:r>
              <w:rPr>
                <w:rFonts w:ascii="Times New Roman" w:hAnsi="Times New Roman"/>
                <w:sz w:val="24"/>
                <w:szCs w:val="24"/>
              </w:rPr>
              <w:t xml:space="preserve">−30–40 %</w:t>
            </w:r>
          </w:p>
        </w:tc>
      </w:tr>
      <w:tr>
        <w:tc>
          <w:tcPr>
            <w:tcW w:w="3213" w:type="dxa"/>
          </w:tcPr>
          <w:p>
            <w:pPr>
              <w:spacing w:line="240" w:lineRule="auto" w:before="0" w:after="0"/>
              <w:ind w:firstLine="0"/>
              <w:jc w:val="left"/>
            </w:pPr>
            <w:r>
              <w:rPr>
                <w:rFonts w:ascii="Times New Roman" w:hAnsi="Times New Roman"/>
                <w:sz w:val="24"/>
                <w:szCs w:val="24"/>
              </w:rPr>
              <w:t xml:space="preserve">Адаптация для слабо охваченных категорий</w:t>
            </w:r>
          </w:p>
        </w:tc>
        <w:tc>
          <w:tcPr>
            <w:tcW w:w="3213" w:type="dxa"/>
          </w:tcPr>
          <w:p>
            <w:pPr>
              <w:spacing w:line="240" w:lineRule="auto" w:before="0" w:after="0"/>
              <w:ind w:firstLine="0"/>
              <w:jc w:val="left"/>
            </w:pPr>
            <w:r>
              <w:rPr>
                <w:rFonts w:ascii="Times New Roman" w:hAnsi="Times New Roman"/>
                <w:sz w:val="24"/>
                <w:szCs w:val="24"/>
              </w:rPr>
              <w:t xml:space="preserve">Сохранение клиентской базы, снижение оттока</w:t>
            </w:r>
          </w:p>
        </w:tc>
        <w:tc>
          <w:tcPr>
            <w:tcW w:w="3213" w:type="dxa"/>
          </w:tcPr>
          <w:p>
            <w:pPr>
              <w:spacing w:line="240" w:lineRule="auto" w:before="0" w:after="0"/>
              <w:ind w:firstLine="0"/>
              <w:jc w:val="left"/>
            </w:pPr>
            <w:r>
              <w:rPr>
                <w:rFonts w:ascii="Times New Roman" w:hAnsi="Times New Roman"/>
                <w:sz w:val="24"/>
                <w:szCs w:val="24"/>
              </w:rPr>
              <w:t xml:space="preserve">удержание ~5 млн клиентов</w:t>
            </w:r>
          </w:p>
        </w:tc>
      </w:tr>
      <w:tr>
        <w:tc>
          <w:tcPr>
            <w:tcW w:w="3213" w:type="dxa"/>
          </w:tcPr>
          <w:p>
            <w:pPr>
              <w:spacing w:line="240" w:lineRule="auto" w:before="0" w:after="0"/>
              <w:ind w:firstLine="0"/>
              <w:jc w:val="left"/>
            </w:pPr>
            <w:r>
              <w:rPr>
                <w:rFonts w:ascii="Times New Roman" w:hAnsi="Times New Roman"/>
                <w:sz w:val="24"/>
                <w:szCs w:val="24"/>
              </w:rPr>
              <w:t xml:space="preserve">Облачные технологии и микросервисы</w:t>
            </w:r>
          </w:p>
        </w:tc>
        <w:tc>
          <w:tcPr>
            <w:tcW w:w="3213" w:type="dxa"/>
          </w:tcPr>
          <w:p>
            <w:pPr>
              <w:spacing w:line="240" w:lineRule="auto" w:before="0" w:after="0"/>
              <w:ind w:firstLine="0"/>
              <w:jc w:val="left"/>
            </w:pPr>
            <w:r>
              <w:rPr>
                <w:rFonts w:ascii="Times New Roman" w:hAnsi="Times New Roman"/>
                <w:sz w:val="24"/>
                <w:szCs w:val="24"/>
              </w:rPr>
              <w:t xml:space="preserve">Снижение времени восстановления (RTO)</w:t>
            </w:r>
          </w:p>
        </w:tc>
        <w:tc>
          <w:tcPr>
            <w:tcW w:w="3213" w:type="dxa"/>
          </w:tcPr>
          <w:p>
            <w:pPr>
              <w:spacing w:line="240" w:lineRule="auto" w:before="0" w:after="0"/>
              <w:ind w:firstLine="0"/>
              <w:jc w:val="left"/>
            </w:pPr>
            <w:r>
              <w:rPr>
                <w:rFonts w:ascii="Times New Roman" w:hAnsi="Times New Roman"/>
                <w:sz w:val="24"/>
                <w:szCs w:val="24"/>
              </w:rPr>
              <w:t xml:space="preserve">до 1 мин., рост uptime до 99,995 %</w:t>
            </w:r>
          </w:p>
        </w:tc>
      </w:tr>
      <w:tr>
        <w:tc>
          <w:tcPr>
            <w:tcW w:w="3213" w:type="dxa"/>
          </w:tcPr>
          <w:p>
            <w:pPr>
              <w:spacing w:line="240" w:lineRule="auto" w:before="0" w:after="0"/>
              <w:ind w:firstLine="0"/>
              <w:jc w:val="left"/>
            </w:pPr>
            <w:r>
              <w:rPr>
                <w:rFonts w:ascii="Times New Roman" w:hAnsi="Times New Roman"/>
                <w:sz w:val="24"/>
                <w:szCs w:val="24"/>
              </w:rPr>
              <w:t xml:space="preserve">Интеграция цифрового рубля</w:t>
            </w:r>
          </w:p>
        </w:tc>
        <w:tc>
          <w:tcPr>
            <w:tcW w:w="3213" w:type="dxa"/>
          </w:tcPr>
          <w:p>
            <w:pPr>
              <w:spacing w:line="240" w:lineRule="auto" w:before="0" w:after="0"/>
              <w:ind w:firstLine="0"/>
              <w:jc w:val="left"/>
            </w:pPr>
            <w:r>
              <w:rPr>
                <w:rFonts w:ascii="Times New Roman" w:hAnsi="Times New Roman"/>
                <w:sz w:val="24"/>
                <w:szCs w:val="24"/>
              </w:rPr>
              <w:t xml:space="preserve">Доходы от смарт-контрактов и B2B-сервисов</w:t>
            </w:r>
          </w:p>
        </w:tc>
        <w:tc>
          <w:tcPr>
            <w:tcW w:w="3213" w:type="dxa"/>
          </w:tcPr>
          <w:p>
            <w:pPr>
              <w:spacing w:line="240" w:lineRule="auto" w:before="0" w:after="0"/>
              <w:ind w:firstLine="0"/>
              <w:jc w:val="left"/>
            </w:pPr>
            <w:r>
              <w:rPr>
                <w:rFonts w:ascii="Times New Roman" w:hAnsi="Times New Roman"/>
                <w:sz w:val="24"/>
                <w:szCs w:val="24"/>
              </w:rPr>
              <w:t xml:space="preserve">+5–7 млрд руб. в год к 2028 г.</w:t>
            </w:r>
          </w:p>
        </w:tc>
      </w:tr>
      <w:tr>
        <w:tc>
          <w:tcPr>
            <w:tcW w:w="3213" w:type="dxa"/>
          </w:tcPr>
          <w:p>
            <w:pPr>
              <w:spacing w:line="240" w:lineRule="auto" w:before="0" w:after="0"/>
              <w:ind w:firstLine="0"/>
              <w:jc w:val="left"/>
            </w:pPr>
            <w:r>
              <w:rPr>
                <w:rFonts w:ascii="Times New Roman" w:hAnsi="Times New Roman"/>
                <w:sz w:val="24"/>
                <w:szCs w:val="24"/>
              </w:rPr>
              <w:t xml:space="preserve">Финансовая грамотность</w:t>
            </w:r>
          </w:p>
        </w:tc>
        <w:tc>
          <w:tcPr>
            <w:tcW w:w="3213" w:type="dxa"/>
          </w:tcPr>
          <w:p>
            <w:pPr>
              <w:spacing w:line="240" w:lineRule="auto" w:before="0" w:after="0"/>
              <w:ind w:firstLine="0"/>
              <w:jc w:val="left"/>
            </w:pPr>
            <w:r>
              <w:rPr>
                <w:rFonts w:ascii="Times New Roman" w:hAnsi="Times New Roman"/>
                <w:sz w:val="24"/>
                <w:szCs w:val="24"/>
              </w:rPr>
              <w:t xml:space="preserve">Снижение нагрузки на колл-центр, рост NPS</w:t>
            </w:r>
          </w:p>
        </w:tc>
        <w:tc>
          <w:tcPr>
            <w:tcW w:w="3213" w:type="dxa"/>
          </w:tcPr>
          <w:p>
            <w:pPr>
              <w:spacing w:line="240" w:lineRule="auto" w:before="0" w:after="0"/>
              <w:ind w:firstLine="0"/>
              <w:jc w:val="left"/>
            </w:pPr>
            <w:r>
              <w:rPr>
                <w:rFonts w:ascii="Times New Roman" w:hAnsi="Times New Roman"/>
                <w:sz w:val="24"/>
                <w:szCs w:val="24"/>
              </w:rPr>
              <w:t xml:space="preserve">−10 % обращений, +3 пункта NPS</w:t>
            </w:r>
          </w:p>
        </w:tc>
      </w:tr>
    </w:tbl>
    <w:p>
      <w:pPr>
        <w:ind w:firstLine="0"/>
      </w:pPr>
    </w:p>
    <w:p>
      <w:pPr>
        <w:jc w:val="both"/>
      </w:pPr>
      <w:r>
        <w:t xml:space="preserve">Совокупный экономический эффект от реализации предлагаемых направлений за период 2026–2028 гг. оценивается в 40–60 млрд руб. дополнительной чистой прибыли банка, что составляет около 2,5–3,8 % от чистой прибыли 2024 года. Не менее значимыми являются нематериальные эффекты: укрепление лидерских позиций на рынке переводов, рост лояльности клиентов, снижение операционных рисков, повышение устойчивости к технологическим инцидентам, развитие инноваций.</w:t>
      </w:r>
    </w:p>
    <w:p>
      <w:pPr>
        <w:jc w:val="both"/>
      </w:pPr>
      <w:r>
        <w:t xml:space="preserve">Приоритетность реализации направлений рекомендуется устанавливать с учётом следующих критериев:</w:t>
      </w:r>
    </w:p>
    <w:p>
      <w:pPr>
        <w:jc w:val="both"/>
      </w:pPr>
      <w:r>
        <w:t xml:space="preserve">— срочность (степень влияния на текущие бизнес-результаты);</w:t>
      </w:r>
    </w:p>
    <w:p>
      <w:pPr>
        <w:jc w:val="both"/>
      </w:pPr>
      <w:r>
        <w:t xml:space="preserve">— инвестиционная ёмкость (объём требуемых вложений);</w:t>
      </w:r>
    </w:p>
    <w:p>
      <w:pPr>
        <w:jc w:val="both"/>
      </w:pPr>
      <w:r>
        <w:t xml:space="preserve">— стратегическая значимость (соответствие стратегии банка и стратегии развития финансового рынка России);</w:t>
      </w:r>
    </w:p>
    <w:p>
      <w:pPr>
        <w:jc w:val="both"/>
      </w:pPr>
      <w:r>
        <w:t xml:space="preserve">— реалистичность реализации (наличие технологических и кадровых ресурсов).</w:t>
      </w:r>
    </w:p>
    <w:p>
      <w:pPr>
        <w:jc w:val="both"/>
      </w:pPr>
      <w:r>
        <w:t xml:space="preserve">С учётом перечисленных критериев в краткосрочной перспективе (2026 г.) рекомендуется концентрация усилий на направлениях 2 (модернизация шлюза), 4 (усиление безопасности) и 7 (цифровой рубль). В среднесрочной перспективе (2027 г.) — на направлениях 1 (диверсификация монетизации), 6 (облачные технологии). В долгосрочной перспективе (2028 г.) — на направлениях 3 (альтернативные международные каналы), 5 (адаптация для слабо охваченных категорий) и 8 (финансовая грамотность).</w:t>
      </w:r>
    </w:p>
    <w:p>
      <w:pPr>
        <w:jc w:val="both"/>
      </w:pPr>
      <w:r>
        <w:t xml:space="preserve">Реализация комплекса предложенных направлений позволит ПАО «Сбербанк» сохранить и укрепить лидирующие позиции на национальном рынке переводов денежных средств, повысить эффективность операционной модели, укрепить безопасность переводов клиентов, успешно адаптироваться к технологическим изменениям и геополитическим вызовам, обеспечить устойчивое развитие в долгосрочной перспективе.</w:t>
      </w:r>
    </w:p>
    <w:p>
      <w:pPr>
        <w:jc w:val="both"/>
      </w:pPr>
      <w:r>
        <w:t xml:space="preserve">Подводя итог второй главе, необходимо отметить следующее. Проведённый анализ показал, что ПАО «Сбербанк» является крупнейшим оператором переводов денежных средств в стране, демонстрирующим устойчивый рост количественных показателей и высокий уровень качества обслуживания. Вместе с тем выявлены проблемы, ограничивающие эффективность системы переводов: снижение маржинальности, отставание по скорости от лидеров отрасли в сегменте СБП, сложности трансграничных расчётов, угрозы кибербезопасности, необходимость адаптации к цифровому рублю. Сформулированные восемь направлений совершенствования охватывают технологические, продуктовые, рисковые, клиентские, инфраструктурные и образовательные аспекты деятельности банка и при их комплексной реализации обеспечивают значимый экономический эффект и повышение качества обслуживания клиентов.</w:t>
      </w:r>
    </w:p>
    <w:p>
      <w:pPr>
        <w:pStyle w:val="Heading1"/>
        <w:pageBreakBefore/>
        <w:ind w:firstLine="0"/>
        <w:jc w:val="center"/>
      </w:pPr>
      <w:r>
        <w:rPr>
          <w:b/>
          <w:bCs/>
        </w:rPr>
        <w:t xml:space="preserve">ЗАКЛЮЧЕНИЕ</w:t>
      </w:r>
    </w:p>
    <w:p>
      <w:pPr>
        <w:jc w:val="both"/>
      </w:pPr>
      <w:r>
        <w:t xml:space="preserve">В выпускной квалификационной работе проведено комплексное исследование организации переводов денежных средств в коммерческих банках на примере ПАО «Сбербанк». В процессе выполнения работы решены все поставленные во введении задачи, что позволило достичь её основной цели — исследовать теоретические основы и практику организации переводов денежных средств и разработать предложения по их совершенствованию.</w:t>
      </w:r>
    </w:p>
    <w:p>
      <w:pPr>
        <w:jc w:val="both"/>
      </w:pPr>
      <w:r>
        <w:t xml:space="preserve">В первой главе, носящей теоретический характер, раскрыты понятие, сущность и виды переводов денежных средств, изучена нормативно-правовая база и рассмотрены организационно-технологические основы их осуществления в коммерческих банках. Установлено, что перевод денежных средств представляет собой комплексное экономико-правовое явление, объединяющее юридическую сделку, бухгалтерскую операцию, технологическую процедуру и банковскую услугу. В соответствии с Федеральным законом № 161-ФЗ «О национальной платёжной системе» перевод определяется как действия оператора по переводу денежных средств в рамках применяемых форм безналичных расчётов по предоставлению получателю средств денежных средств плательщика. Сущностными признаками перевода являются безналичный характер, участие профессионального посредника, документарность, возмездность, срочность и окончательность. Перевод реализует перераспределительную, расчётную, контрольную и информационную функции в экономике.</w:t>
      </w:r>
    </w:p>
    <w:p>
      <w:pPr>
        <w:jc w:val="both"/>
      </w:pPr>
      <w:r>
        <w:t xml:space="preserve">Систематизированы виды переводов по следующим основным классификационным признакам: субъектный состав (P2P, P2B, B2B, B2P, G2P, P2G), территориальный признак (внутрибанковские, межбанковские внутрироссийские, трансграничные), валюта (в национальной и иностранной валюте), сроки исполнения (срочные, стандартные, регулярные), способ инициирования (кредитовые и дебетовые), форма расчётов (платёжными поручениями, по аккредитиву, инкассо и др.), канал инициирования и цель использования. Обоснована возрастающая роль розничных переводов физических лиц, которые в 2024 году составляют свыше 80 % общего количества операций при доле цифровых каналов 95 %.</w:t>
      </w:r>
    </w:p>
    <w:p>
      <w:pPr>
        <w:jc w:val="both"/>
      </w:pPr>
      <w:r>
        <w:t xml:space="preserve">Выявлено, что нормативно-правовое регулирование переводов денежных средств в Российской Федерации имеет многоуровневую структуру: Конституция РФ — Гражданский кодекс РФ — федеральные законы (№ 161-ФЗ, № 395-1, № 86-ФЗ, № 115-ФЗ, № 152-ФЗ, № 173-ФЗ) — указы Президента и постановления Правительства — нормативные акты Банка России (Положения № 762-П, № 732-П, № 683-П, № 829-П) — внутренние документы кредитных организаций. За период 2022–2024 гг. законодательство претерпело существенные изменения, направленные на обеспечение независимости национальной платёжной инфраструктуры, противодействие мошенничеству и социальной инженерии, развитие цифровых форм денег (Федеральный закон № 339-ФЗ от 24 июля 2023 г. о цифровом рубле), гармонизацию с международными стандартами и регулирование переводов в условиях санкционного давления.</w:t>
      </w:r>
    </w:p>
    <w:p>
      <w:pPr>
        <w:jc w:val="both"/>
      </w:pPr>
      <w:r>
        <w:t xml:space="preserve">Раскрыт технологический процесс осуществления перевода в коммерческом банке, включающий семь основных стадий: приём распоряжения клиента, проверку и акцепт, списание средств со счёта плательщика, маршрутизацию и исполнение в платёжной системе, зачисление средств получателю, информирование клиентов и учётно-архивные процедуры. Описана инфраструктура национальной платёжной системы — платёжная система Банка России, Система быстрых платежей (СБП), Система передачи финансовых сообщений (СПФС), национальная платёжная система «Мир», а также её использование российскими коммерческими банками. Особое внимание уделено цифровому рублю как третьей форме национальной валюты и трансграничным переводам в условиях санкций.</w:t>
      </w:r>
    </w:p>
    <w:p>
      <w:pPr>
        <w:jc w:val="both"/>
      </w:pPr>
      <w:r>
        <w:t xml:space="preserve">Во второй главе на материалах ПАО «Сбербанк» проведён практический анализ организации переводов денежных средств клиентов и разработаны направления совершенствования. Установлено, что ПАО «Сбербанк» является крупнейшей кредитной организацией страны: совокупные активы выросли с 41,7 трлн руб. в 2022 году до 56,8 трлн руб. в 2024 году (темп роста 136,2 %), средства клиентов превысили 41 трлн руб., чистая прибыль составила 1 580 млрд руб., рентабельность капитала — 24 %. Банк обслуживает свыше 110 млн розничных и 3,2 млн корпоративных клиентов, эмитировал более 220 млн платёжных карт, имеет ежемесячно активную аудиторию мобильного приложения свыше 90 млн пользователей.</w:t>
      </w:r>
    </w:p>
    <w:p>
      <w:pPr>
        <w:jc w:val="both"/>
      </w:pPr>
      <w:r>
        <w:t xml:space="preserve">В части переводных операций выявлено, что количество переводов клиентов банка выросло с 41,7 млрд операций в 2022 году до 60,5 млрд в 2024 году (рост на 45,1 %), а их объём — со 105,2 трлн руб. до 132,4 трлн руб. (рост на 25,9 %). Снижение среднего размера операции с 2,5 тыс. до 2,2 тыс. руб. свидетельствует о массовизации переводов. Доминирующее положение в структуре операций по количеству занимают внутрибанковские переводы (53,1 %) и переводы через СБП (19,5 %). Сегмент СБП растёт наиболее быстро: за 2022–2024 гг. количество операций увеличилось в 2,6 раза. По объёму наибольшая доля приходится на внутрибанковские переводы (31,6 %) и корпоративные расчёты (22,5 %).</w:t>
      </w:r>
    </w:p>
    <w:p>
      <w:pPr>
        <w:jc w:val="both"/>
      </w:pPr>
      <w:r>
        <w:t xml:space="preserve">Анализ комиссионных доходов от расчётно-кассового обслуживания и переводов (436,5 млрд руб. в 2024 году) показал, что основной их источник — эквайринг (32,7 %) и обслуживание юридических лиц (27,8 %). Доля комиссий по переводам физических лиц вне СБП относительно невелика (8,2 %), что объясняется бесплатностью большинства розничных операций. Расчёт коэффициента комиссионной доходности переводных операций показал его снижение с 0,035 % в 2022 году до 0,027 % в 2024 году, что свидетельствует о падении маржинальности данного сегмента бизнеса.</w:t>
      </w:r>
    </w:p>
    <w:p>
      <w:pPr>
        <w:jc w:val="both"/>
      </w:pPr>
      <w:r>
        <w:t xml:space="preserve">Сравнительный анализ показателей работы по переводам ПАО «Сбербанк» с банками-конкурентами (ВТБ, Альфа-Банк, Т-Банк) выявил, что банк удерживает лидирующие позиции по абсолютному количеству операций, однако имеет резервы по скорости СБП-перевода (4,8 секунды против 3,1 секунды у Т-Банка) и уровню цифровизации (96,3 % против 99,5 % у Т-Банка).</w:t>
      </w:r>
    </w:p>
    <w:p>
      <w:pPr>
        <w:jc w:val="both"/>
      </w:pPr>
      <w:r>
        <w:t xml:space="preserve">В работе выявлено восемь ключевых проблем системы переводов ПАО «Сбербанк»:</w:t>
      </w:r>
    </w:p>
    <w:p>
      <w:pPr>
        <w:jc w:val="both"/>
      </w:pPr>
      <w:r>
        <w:t xml:space="preserve">1) снижение маржинальности переводных операций; 2) скорость СБП-переводов ниже, чем у конкурентов; 3) сложности трансграничных переводов в условиях санкций; 4) высокий уровень мошеннических операций и социальной инженерии; 5) недостаточная цифровизация в отдельных сегментах (пожилые клиенты, удалённые территории); 6) технологические риски и нагрузка на инфраструктуру; 7) недостаточная финансовая грамотность клиентов; 8) необходимость адаптации к внедрению цифрового рубля.</w:t>
      </w:r>
    </w:p>
    <w:p>
      <w:pPr>
        <w:jc w:val="both"/>
      </w:pPr>
      <w:r>
        <w:t xml:space="preserve">Для решения выявленных проблем разработаны и обоснованы восемь взаимосвязанных направлений совершенствования системы переводов:</w:t>
      </w:r>
    </w:p>
    <w:p>
      <w:pPr>
        <w:jc w:val="both"/>
      </w:pPr>
      <w:r>
        <w:t xml:space="preserve">— диверсификация моделей монетизации переводных операций (премиальные тарифы, кросс-продажи);</w:t>
      </w:r>
    </w:p>
    <w:p>
      <w:pPr>
        <w:jc w:val="both"/>
      </w:pPr>
      <w:r>
        <w:t xml:space="preserve">— технологическая модернизация платёжного шлюза (event-driven архитектура, in-memory базы, оптимизация антифрода для снижения времени СБП-перевода до 3,5 секунды);</w:t>
      </w:r>
    </w:p>
    <w:p>
      <w:pPr>
        <w:jc w:val="both"/>
      </w:pPr>
      <w:r>
        <w:t xml:space="preserve">— расширение альтернативных каналов трансграничных переводов (прямые корреспондентские отношения с банками дружественных стран, развитие СПФС, интеграция с CIPS, использование цифрового рубля во ВЭД);</w:t>
      </w:r>
    </w:p>
    <w:p>
      <w:pPr>
        <w:jc w:val="both"/>
      </w:pPr>
      <w:r>
        <w:t xml:space="preserve">— усиление безопасности и борьбы с социальной инженерией (поведенческая биометрия, голосовой антифрод, функция временной заморозки крупных переводов, расширение работы с базой ФинЦЕРТ);</w:t>
      </w:r>
    </w:p>
    <w:p>
      <w:pPr>
        <w:jc w:val="both"/>
      </w:pPr>
      <w:r>
        <w:t xml:space="preserve">— адаптация цифровых сервисов для слабо охваченных категорий клиентов (упрощённый интерфейс «СберБанк Онлайн Лайт», сервис «доверенный клиент», программы финансовой грамотности);</w:t>
      </w:r>
    </w:p>
    <w:p>
      <w:pPr>
        <w:jc w:val="both"/>
      </w:pPr>
      <w:r>
        <w:t xml:space="preserve">— развитие облачных технологий и микросервисной архитектуры (контейнеризация, гибридные облачные модели, активно- активная репликация между ЦОДами);</w:t>
      </w:r>
    </w:p>
    <w:p>
      <w:pPr>
        <w:jc w:val="both"/>
      </w:pPr>
      <w:r>
        <w:t xml:space="preserve">— полноценная интеграция в платформу цифрового рубля (сервисы смарт-контрактов, целевых выплат, расчётов БРИКС);</w:t>
      </w:r>
    </w:p>
    <w:p>
      <w:pPr>
        <w:jc w:val="both"/>
      </w:pPr>
      <w:r>
        <w:t xml:space="preserve">— развитие культуры финансовой грамотности клиентов (информационные кампании, геймификация обучения, партнёрство с образовательными учреждениями).</w:t>
      </w:r>
    </w:p>
    <w:p>
      <w:pPr>
        <w:jc w:val="both"/>
      </w:pPr>
      <w:r>
        <w:t xml:space="preserve">Совокупный экономический эффект от реализации предлагаемых направлений за 2026–2028 гг. оценивается в 40–60 млрд руб. дополнительной чистой прибыли (около 2,5–3,8 % от чистой прибыли 2024 года). Не менее значимыми являются нематериальные эффекты: укрепление лидерства на рынке переводов, рост лояльности клиентов, снижение операционных рисков, повышение устойчивости к технологическим инцидентам и расширение спектра инновационных сервисов.</w:t>
      </w:r>
    </w:p>
    <w:p>
      <w:pPr>
        <w:jc w:val="both"/>
      </w:pPr>
      <w:r>
        <w:t xml:space="preserve">Приоритетность реализации направлений рекомендуется устанавливать поэтапно: в 2026 году — модернизация платёжного шлюза, усиление безопасности, цифровой рубль; в 2027 году — диверсификация моделей монетизации, облачные технологии; в 2028 году — альтернативные международные каналы, адаптация для слабо охваченных категорий, финансовая грамотность.</w:t>
      </w:r>
    </w:p>
    <w:p>
      <w:pPr>
        <w:jc w:val="both"/>
      </w:pPr>
      <w:r>
        <w:t xml:space="preserve">Практическая значимость выполненной работы заключается в том, что её результаты могут быть использованы ПАО «Сбербанк» и другими коммерческими банками при разработке стратегии развития расчётно-кассового обслуживания, повышении качества и безопасности переводных операций, совершенствовании тарифной политики и продуктовой линейки. Предложенные направления отражают современные тренды развития банковской деятельности и национальной платёжной системы Российской Федерации, учитывают санкционные ограничения, требования регулятора и ожидания клиентов в условиях цифровой экономики.</w:t>
      </w:r>
    </w:p>
    <w:p>
      <w:pPr>
        <w:jc w:val="both"/>
      </w:pPr>
      <w:r>
        <w:t xml:space="preserve">Таким образом, цель выпускной квалификационной работы достигнута: проведено исследование теоретических основ и практики организации переводов денежных средств в коммерческих банках, осуществлён анализ системы переводов на материалах ПАО «Сбербанк» и разработаны обоснованные предложения по её совершенствованию. Поставленные задачи решены в полном объёме. Полученные результаты подтверждают практическую ценность работы для деятельности коммерческих банков Российской Федерации в современных условиях.</w:t>
      </w:r>
    </w:p>
    <w:p>
      <w:pPr>
        <w:pStyle w:val="Heading1"/>
        <w:pageBreakBefore/>
        <w:ind w:firstLine="0"/>
        <w:jc w:val="center"/>
      </w:pPr>
      <w:r>
        <w:rPr>
          <w:b/>
          <w:bCs/>
        </w:rPr>
        <w:t xml:space="preserve">СПИСОК ИСПОЛЬЗОВАННЫХ ИСТОЧНИКОВ</w:t>
      </w:r>
    </w:p>
    <w:p>
      <w:pPr>
        <w:jc w:val="both"/>
      </w:pPr>
      <w:r>
        <w:t xml:space="preserve">Нормативные правовые акты</w:t>
      </w:r>
    </w:p>
    <w:p>
      <w:pPr>
        <w:jc w:val="both"/>
      </w:pPr>
      <w:r>
        <w:t xml:space="preserve">1. Конституция Российской Федерации (принята всенародным голосованием 12.12.1993 с изменениями, одобренными в ходе общероссийского голосования 01.07.2020) [Электронный ресурс] // Справочно-правовая система «КонсультантПлюс». Режим доступа: http://www.consultant.ru/</w:t>
      </w:r>
    </w:p>
    <w:p>
      <w:pPr>
        <w:jc w:val="both"/>
      </w:pPr>
      <w:r>
        <w:t xml:space="preserve">2. Гражданский кодекс Российской Федерации (часть вторая) от 26.01.1996 № 14-ФЗ (ред. от 24.07.2023) [Электронный ресурс] // Справочно-правовая система «КонсультантПлюс». Режим доступа: http://www.consultant.ru/</w:t>
      </w:r>
    </w:p>
    <w:p>
      <w:pPr>
        <w:jc w:val="both"/>
      </w:pPr>
      <w:r>
        <w:t xml:space="preserve">3. О национальной платёжной системе: Федеральный закон от 27.06.2011 № 161-ФЗ (ред. от 25.07.2024) [Электронный ресурс] // Справочно-правовая система «КонсультантПлюс». Режим доступа: http://www.consultant.ru/</w:t>
      </w:r>
    </w:p>
    <w:p>
      <w:pPr>
        <w:jc w:val="both"/>
      </w:pPr>
      <w:r>
        <w:t xml:space="preserve">4. О правилах осуществления перевода денежных средств: Положение Банка России от 29.06.2021 № 762-П (ред. от 03.08.2023) [Электронный ресурс] // Справочно-правовая система «КонсультантПлюс». Режим доступа: http://www.consultant.ru/</w:t>
      </w:r>
    </w:p>
    <w:p>
      <w:pPr>
        <w:jc w:val="both"/>
      </w:pPr>
      <w:r>
        <w:t xml:space="preserve">5. О банках и банковской деятельности: Федеральный закон от 02.12.1990 № 395-1 (ред. от 04.08.2023) [Электронный ресурс] // Справочно-правовая система «КонсультантПлюс». Режим доступа: http://www.consultant.ru/</w:t>
      </w:r>
    </w:p>
    <w:p>
      <w:pPr>
        <w:jc w:val="both"/>
      </w:pPr>
      <w:r>
        <w:t xml:space="preserve">6. О цифровом рубле: Федеральный закон от 24.07.2023 № 339-ФЗ «О внесении изменений в отдельные законодательные акты Российской Федерации» [Электронный ресурс] // Справочно- правовая система «КонсультантПлюс». Режим доступа: http://www.consultant.ru/</w:t>
      </w:r>
    </w:p>
    <w:p>
      <w:pPr>
        <w:jc w:val="both"/>
      </w:pPr>
      <w:r>
        <w:t xml:space="preserve">7. О Центральном банке Российской Федерации (Банке России): Федеральный закон от 10.07.2002 № 86-ФЗ (ред. от 25.07.2024) [Электронный ресурс] // Справочно-правовая система «КонсультантПлюс». Режим доступа: http://www.consultant.ru/</w:t>
      </w:r>
    </w:p>
    <w:p>
      <w:pPr>
        <w:jc w:val="both"/>
      </w:pPr>
      <w:r>
        <w:t xml:space="preserve">8. Налоговый кодекс Российской Федерации (часть первая) от 31.07.1998 № 146-ФЗ (ред. от 28.04.2024) [Электронный ресурс] // Справочно-правовая система «КонсультантПлюс». Режим доступа: http://www.consultant.ru/</w:t>
      </w:r>
    </w:p>
    <w:p>
      <w:pPr>
        <w:jc w:val="both"/>
      </w:pPr>
      <w:r>
        <w:t xml:space="preserve">9. О противодействии легализации (отмыванию) доходов, полученных преступным путём, и финансированию терроризма: Федеральный закон от 07.08.2001 № 115-ФЗ (ред. от 25.12.2023) [Электронный ресурс] // Справочно-правовая система «КонсультантПлюс». Режим доступа: http://www.consultant.ru/</w:t>
      </w:r>
    </w:p>
    <w:p>
      <w:pPr>
        <w:jc w:val="both"/>
      </w:pPr>
      <w:r>
        <w:t xml:space="preserve">10. О персональных данных: Федеральный закон от 27.07.2006 № 152-ФЗ (ред. от 06.02.2023) [Электронный ресурс] // Справочно-правовая система «КонсультантПлюс». Режим доступа: http://www.consultant.ru/</w:t>
      </w:r>
    </w:p>
    <w:p>
      <w:pPr>
        <w:jc w:val="both"/>
      </w:pPr>
      <w:r>
        <w:t xml:space="preserve">11. О валютном регулировании и валютном контроле: Федеральный закон от 10.12.2003 № 173-ФЗ (ред. от 22.07.2024) [Электронный ресурс] // Справочно-правовая система «КонсультантПлюс». Режим доступа: http://www.consultant.ru/</w:t>
      </w:r>
    </w:p>
    <w:p>
      <w:pPr>
        <w:jc w:val="both"/>
      </w:pPr>
      <w:r>
        <w:t xml:space="preserve">12. О защите прав потребителей: Закон Российской Федерации от 07.02.1992 № 2300-1 (ред. от 04.08.2023) [Электронный ресурс] // Справочно-правовая система «КонсультантПлюс». Режим доступа: http://www.consultant.ru/</w:t>
      </w:r>
    </w:p>
    <w:p>
      <w:pPr>
        <w:jc w:val="both"/>
      </w:pPr>
      <w:r>
        <w:t xml:space="preserve">13. О платёжной системе Банка России: Положение Банка России от 24.09.2020 № 732-П (ред. от 25.03.2024) [Электронный ресурс] // Справочно-правовая система «КонсультантПлюс». Режим доступа: http://www.consultant.ru/</w:t>
      </w:r>
    </w:p>
    <w:p>
      <w:pPr>
        <w:jc w:val="both"/>
      </w:pPr>
      <w:r>
        <w:t xml:space="preserve">14. Об установлении обязательных для кредитных организаций требований к обеспечению защиты информации при осуществлении банковской деятельности в целях противодействия осуществлению переводов денежных средств без согласия клиента: Положение Банка России от 17.04.2019 № 683-П (ред. от 22.05.2024) [Электронный ресурс] // Официальный сайт Банка России. Режим доступа: https://www.cbr.ru/</w:t>
      </w:r>
    </w:p>
    <w:p>
      <w:pPr>
        <w:jc w:val="both"/>
      </w:pPr>
      <w:r>
        <w:t xml:space="preserve">15. О плане счетов бухгалтерского учёта для кредитных организаций и порядке его применения: Положение Банка России от 27.02.2017 № 579-П (ред. от 28.02.2023) [Электронный ресурс] // Справочно-правовая система «КонсультантПлюс». Режим доступа: http://www.consultant.ru/</w:t>
      </w:r>
    </w:p>
    <w:p>
      <w:pPr>
        <w:jc w:val="both"/>
      </w:pPr>
      <w:r>
        <w:t xml:space="preserve">16. О требованиях к функциональным возможностям, иным условиям осуществления оператором по переводу денежных средств перевода денежных средств с использованием системы быстрых платежей: Положение Банка России от 04.12.2023 № 829-П [Электронный ресурс] // Официальный сайт Банка России. Режим доступа: https://www.cbr.ru/</w:t>
      </w:r>
    </w:p>
    <w:p>
      <w:pPr>
        <w:jc w:val="both"/>
      </w:pPr>
      <w:r>
        <w:t xml:space="preserve">17. О форме и порядке информирования Банка России об инцидентах, связанных с нарушением требований к обеспечению защиты информации: Указание Банка России от 08.10.2018 № 4926-У (ред. от 12.05.2023) [Электронный ресурс] // Официальный сайт Банка России. Режим доступа: https://www.cbr.ru/</w:t>
      </w:r>
    </w:p>
    <w:p>
      <w:pPr>
        <w:jc w:val="both"/>
      </w:pPr>
      <w:r>
        <w:t xml:space="preserve">18. О применении специальных экономических мер в финансовой и топливно-энергетической сферах в связи с недружественными действиями некоторых иностранных государств и международных организаций: Указ Президента РФ от 28.02.2022 № 79 [Электронный ресурс] // Справочно-правовая система «КонсультантПлюс». Режим доступа: http://www.consultant.ru/</w:t>
      </w:r>
    </w:p>
    <w:p>
      <w:pPr>
        <w:jc w:val="both"/>
      </w:pPr>
      <w:r>
        <w:t xml:space="preserve">19. Об определении системно значимых кредитных организаций: Указание Банка России от 22.07.2015 № 3737-У (ред. от 03.04.2017) [Электронный ресурс] // Официальный сайт Банка России. Режим доступа: https://www.cbr.ru/</w:t>
      </w:r>
    </w:p>
    <w:p>
      <w:pPr>
        <w:jc w:val="both"/>
      </w:pPr>
      <w:r>
        <w:t xml:space="preserve">20.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2017. — 32 с.</w:t>
      </w:r>
    </w:p>
    <w:p>
      <w:pPr>
        <w:jc w:val="both"/>
      </w:pPr>
      <w:r>
        <w:t xml:space="preserve">Специальная литература</w:t>
      </w:r>
    </w:p>
    <w:p>
      <w:pPr>
        <w:jc w:val="both"/>
      </w:pPr>
      <w:r>
        <w:t xml:space="preserve">21. Банковское дело: учебник / под ред. О.И. Лаврушина. — 13-е изд., перераб. и доп. — М.: КНОРУС, 2021. — 800 с.</w:t>
      </w:r>
    </w:p>
    <w:p>
      <w:pPr>
        <w:jc w:val="both"/>
      </w:pPr>
      <w:r>
        <w:t xml:space="preserve">22. Банковские операции: учебное пособие / под ред. Ю.И. Коробова. — М.: Магистр: ИНФРА-М, 2020. — 448 с.</w:t>
      </w:r>
    </w:p>
    <w:p>
      <w:pPr>
        <w:jc w:val="both"/>
      </w:pPr>
      <w:r>
        <w:t xml:space="preserve">23. Белоглазова, Г.Н. Банковское дело. Организация деятельности коммерческого банка: учебник для вузов / Г.Н. Белоглазова, Л.П. Кроливецкая. — 4-е изд., перераб. и доп. — М.: Юрайт, 2022. — 545 с.</w:t>
      </w:r>
    </w:p>
    <w:p>
      <w:pPr>
        <w:jc w:val="both"/>
      </w:pPr>
      <w:r>
        <w:t xml:space="preserve">24. Бурлачков, В.К. Денежно-кредитное регулирование в условиях финансовых санкций: монография / В.К. Бурлачков. — М.: Перо, 2023. — 256 с.</w:t>
      </w:r>
    </w:p>
    <w:p>
      <w:pPr>
        <w:jc w:val="both"/>
      </w:pPr>
      <w:r>
        <w:t xml:space="preserve">25. Деньги, кредит, банки: учебник / под ред. Е.Ф. Жукова. — 5-е изд., перераб. и доп. — М.: ЮНИТИ-ДАНА, 2021. — 783 с.</w:t>
      </w:r>
    </w:p>
    <w:p>
      <w:pPr>
        <w:jc w:val="both"/>
      </w:pPr>
      <w:r>
        <w:t xml:space="preserve">26. Достов, А.В. Платёжные и расчётные системы: учебное пособие / А.В. Достов, П.М. Шуст. — М.: ИД «КноРус», 2022. — 312 с.</w:t>
      </w:r>
    </w:p>
    <w:p>
      <w:pPr>
        <w:jc w:val="both"/>
      </w:pPr>
      <w:r>
        <w:t xml:space="preserve">27. Жуков, Е.Ф. Банковское дело: учебник / Е.Ф. Жуков, Н.Д. Эриашвили. — 4-е изд., перераб. и доп. — М.: ЮНИТИ- ДАНА, 2020. — 681 с.</w:t>
      </w:r>
    </w:p>
    <w:p>
      <w:pPr>
        <w:jc w:val="both"/>
      </w:pPr>
      <w:r>
        <w:t xml:space="preserve">28. Иванов, В.В. Деньги, кредит, банки: учебник / В.В. Иванов, Б.И. Соколов. — М.: Проспект, 2023. — 624 с.</w:t>
      </w:r>
    </w:p>
    <w:p>
      <w:pPr>
        <w:jc w:val="both"/>
      </w:pPr>
      <w:r>
        <w:t xml:space="preserve">29. Коробова, Г.Г. Банковское дело: учебник для бакалавров / Г.Г. Коробова. — 2-е изд., перераб. и доп. — М.: Магистр: ИНФРА-М, 2021. — 592 с.</w:t>
      </w:r>
    </w:p>
    <w:p>
      <w:pPr>
        <w:jc w:val="both"/>
      </w:pPr>
      <w:r>
        <w:t xml:space="preserve">30. Красавина, Л.Н. Международные валютно-кредитные отношения: учебник для бакалавриата и магистратуры / Л.Н. Красавина. — 5-е изд., перераб. и доп. — М.: Юрайт, 2022. — 534 с.</w:t>
      </w:r>
    </w:p>
    <w:p>
      <w:pPr>
        <w:jc w:val="both"/>
      </w:pPr>
      <w:r>
        <w:t xml:space="preserve">31. Лаврушин, О.И. Организация и регулирование деятельности коммерческого банка: учебник / О.И. Лаврушин, А.М. Ольхова. — М.: КНОРУС, 2023. — 408 с.</w:t>
      </w:r>
    </w:p>
    <w:p>
      <w:pPr>
        <w:jc w:val="both"/>
      </w:pPr>
      <w:r>
        <w:t xml:space="preserve">32. Обаева, А.С. Развитие национальной платёжной системы России в условиях цифровой трансформации / А.С. Обаева // Деньги и кредит. — 2023. — № 4. — С. 14–28.</w:t>
      </w:r>
    </w:p>
    <w:p>
      <w:pPr>
        <w:jc w:val="both"/>
      </w:pPr>
      <w:r>
        <w:t xml:space="preserve">33. Печалова, М.Ю. Современные тенденции и инструменты регулирования национальной платёжной системы / М.Ю. Печалова // Банковское дело. — 2024. — № 2. — С. 21–29.</w:t>
      </w:r>
    </w:p>
    <w:p>
      <w:pPr>
        <w:jc w:val="both"/>
      </w:pPr>
      <w:r>
        <w:t xml:space="preserve">34. Платёжные системы и расчёты: учебник / под ред. А.С. Обаевой. — М.: Финансовый университет, 2022. — 520 с.</w:t>
      </w:r>
    </w:p>
    <w:p>
      <w:pPr>
        <w:jc w:val="both"/>
      </w:pPr>
      <w:r>
        <w:t xml:space="preserve">35. Симановский, А.Ю. Банковское регулирование в условиях цифровизации: монография / А.Ю. Симановский. — М.: ИНФРА-М, 2023. — 287 с.</w:t>
      </w:r>
    </w:p>
    <w:p>
      <w:pPr>
        <w:jc w:val="both"/>
      </w:pPr>
      <w:r>
        <w:t xml:space="preserve">36. Тавасиев, А.М. Банковское дело: словарь официальных терминов с комментариями / А.М. Тавасиев, Н.К. Алексеев. — 3-е изд., перераб. и доп. — М.: Дашков и К, 2022. — 656 с.</w:t>
      </w:r>
    </w:p>
    <w:p>
      <w:pPr>
        <w:jc w:val="both"/>
      </w:pPr>
      <w:r>
        <w:t xml:space="preserve">37. Тавасиев, А.М. Банковское дело: учебник для бакалавров / А.М. Тавасиев. — 3-е изд., перераб. и доп. — М.: Дашков и К, 2021. — 694 с.</w:t>
      </w:r>
    </w:p>
    <w:p>
      <w:pPr>
        <w:jc w:val="both"/>
      </w:pPr>
      <w:r>
        <w:t xml:space="preserve">38. Усоскин, В.М. Современный коммерческий банк: управление и операции / В.М. Усоскин. — М.: ЛЕНАНД, 2022. — 328 с.</w:t>
      </w:r>
    </w:p>
    <w:p>
      <w:pPr>
        <w:jc w:val="both"/>
      </w:pPr>
      <w:r>
        <w:t xml:space="preserve">Статьи в периодических изданиях</w:t>
      </w:r>
    </w:p>
    <w:p>
      <w:pPr>
        <w:jc w:val="both"/>
      </w:pPr>
      <w:r>
        <w:t xml:space="preserve">39. Аксаков, А.Г. Развитие законодательства о национальной платёжной системе: новые вызовы и решения / А.Г. Аксаков // Деньги и кредит. — 2024. — № 1. — С. 5–18.</w:t>
      </w:r>
    </w:p>
    <w:p>
      <w:pPr>
        <w:jc w:val="both"/>
      </w:pPr>
      <w:r>
        <w:t xml:space="preserve">40. Андрюшин, С.А. Цифровой рубль: правовые и технологические аспекты / С.А. Андрюшин // Банковское дело. — 2023. — № 9. — С. 32–41.</w:t>
      </w:r>
    </w:p>
    <w:p>
      <w:pPr>
        <w:jc w:val="both"/>
      </w:pPr>
      <w:r>
        <w:t xml:space="preserve">41. Бычкова, А.А. Анализ функционирования Системы быстрых платежей в Российской Федерации / А.А. Бычкова, И.В. Поленов // Финансы и кредит. — 2024. — № 3 (831). — С. 511–528.</w:t>
      </w:r>
    </w:p>
    <w:p>
      <w:pPr>
        <w:jc w:val="both"/>
      </w:pPr>
      <w:r>
        <w:t xml:space="preserve">42. Зеленева, Е.С. Развитие безналичных расчётов в России в условиях санкций / Е.С. Зеленева, Т.В. Никитина // Вопросы экономики. — 2023. — № 12. — С. 78–95.</w:t>
      </w:r>
    </w:p>
    <w:p>
      <w:pPr>
        <w:jc w:val="both"/>
      </w:pPr>
      <w:r>
        <w:t xml:space="preserve">43. Скляр, Е.Н. Кибербезопасность переводов денежных средств в коммерческих банках / Е.Н. Скляр // Банковское дело. — 2024. — № 5. — С. 44–52.</w:t>
      </w:r>
    </w:p>
    <w:p>
      <w:pPr>
        <w:jc w:val="both"/>
      </w:pPr>
      <w:r>
        <w:t xml:space="preserve">44. Усоскин, В.М. Трансграничные переводы в условиях геоэкономической трансформации / В.М. Усоскин, И.А. Белоусова // Деньги и кредит. — 2024. — № 2. — С. 26–40.</w:t>
      </w:r>
    </w:p>
    <w:p>
      <w:pPr>
        <w:jc w:val="both"/>
      </w:pPr>
      <w:r>
        <w:t xml:space="preserve">Интернет-ресурсы</w:t>
      </w:r>
    </w:p>
    <w:p>
      <w:pPr>
        <w:jc w:val="both"/>
      </w:pPr>
      <w:r>
        <w:t xml:space="preserve">45. Официальный сайт Банка России [Электронный ресурс]. — Режим доступа: https://www.cbr.ru/</w:t>
      </w:r>
    </w:p>
    <w:p>
      <w:pPr>
        <w:jc w:val="both"/>
      </w:pPr>
      <w:r>
        <w:t xml:space="preserve">46. Официальный сайт ПАО «Сбербанк». Раздел «Раскрытие информации» [Электронный ресурс]. — Режим доступа: https://www.sberbank.com/ru/investor-relations</w:t>
      </w:r>
    </w:p>
    <w:p>
      <w:pPr>
        <w:jc w:val="both"/>
      </w:pPr>
      <w:r>
        <w:t xml:space="preserve">47. Официальный сайт АО «Национальная система платёжных карт» [Электронный ресурс]. — Режим доступа: https://www.nspk.ru/</w:t>
      </w:r>
    </w:p>
    <w:p>
      <w:pPr>
        <w:pStyle w:val="Heading1"/>
        <w:pageBreakBefore/>
        <w:ind w:firstLine="0"/>
        <w:jc w:val="center"/>
      </w:pPr>
      <w:r>
        <w:rPr>
          <w:b/>
          <w:bCs/>
        </w:rPr>
        <w:t xml:space="preserve">ПРИЛОЖЕНИЯ</w:t>
      </w:r>
    </w:p>
    <w:p>
      <w:pPr>
        <w:pStyle w:val="Heading1"/>
        <w:pageBreakBefore/>
        <w:ind w:firstLine="0"/>
        <w:jc w:val="center"/>
      </w:pPr>
      <w:r>
        <w:rPr>
          <w:b/>
          <w:bCs/>
        </w:rPr>
        <w:t xml:space="preserve">ПРИЛОЖЕНИЕ А</w:t>
      </w:r>
    </w:p>
    <w:p>
      <w:pPr>
        <w:jc w:val="both"/>
      </w:pPr>
      <w:r>
        <w:t xml:space="preserve">Образец платёжного поручения (форма по ОКУД 0401060)</w:t>
      </w:r>
    </w:p>
    <w:p>
      <w:pPr>
        <w:jc w:val="both"/>
      </w:pPr>
      <w:r>
        <w:t xml:space="preserve">Поступ. в банк плат.                  Списано со сч. плат. ______________________                ______________________</w:t>
      </w:r>
    </w:p>
    <w:p>
      <w:pPr>
        <w:jc w:val="both"/>
      </w:pPr>
      <w:r>
        <w:t xml:space="preserve">ПЛАТЁЖНОЕ ПОРУЧЕНИЕ № _______      Дата ____________________   Вид платежа</w:t>
      </w:r>
    </w:p>
    <w:p>
      <w:pPr>
        <w:jc w:val="both"/>
      </w:pPr>
      <w:r>
        <w:t xml:space="preserve">Сумма прописью ___________________________________________________________</w:t>
      </w:r>
    </w:p>
    <w:p>
      <w:pPr>
        <w:jc w:val="both"/>
      </w:pPr>
      <w:r>
        <w:t xml:space="preserve">ИНН ______________ КПП _____________  Сумма        | _____________________</w:t>
      </w:r>
    </w:p>
    <w:p>
      <w:pPr>
        <w:jc w:val="both"/>
      </w:pPr>
      <w:r>
        <w:t xml:space="preserve">____________________________________               | _____________________</w:t>
      </w:r>
    </w:p>
    <w:p>
      <w:pPr>
        <w:jc w:val="both"/>
      </w:pPr>
      <w:r>
        <w:t xml:space="preserve">Сч. №                                              |</w:t>
      </w:r>
    </w:p>
    <w:p>
      <w:pPr>
        <w:jc w:val="both"/>
      </w:pPr>
      <w:r>
        <w:t xml:space="preserve">Плательщик</w:t>
      </w:r>
    </w:p>
    <w:p>
      <w:pPr>
        <w:jc w:val="both"/>
      </w:pPr>
      <w:r>
        <w:t xml:space="preserve">____________________________________  БИК           | ____________________________________  Сч. №         | Банк плательщика</w:t>
      </w:r>
    </w:p>
    <w:p>
      <w:pPr>
        <w:jc w:val="both"/>
      </w:pPr>
      <w:r>
        <w:t xml:space="preserve">____________________________________  БИК           | ____________________________________  Сч. №         | Банк получателя</w:t>
      </w:r>
    </w:p>
    <w:p>
      <w:pPr>
        <w:jc w:val="both"/>
      </w:pPr>
      <w:r>
        <w:t xml:space="preserve">ИНН ______________ КПП _____________  Сч. №         | ____________________________________  Вид оп.       | Срок плат. ______ ____________________________________  Наз. пл.      | Очер. плат. ______ Код           | Рез. поле ______ Получатель</w:t>
      </w:r>
    </w:p>
    <w:p>
      <w:pPr>
        <w:jc w:val="both"/>
      </w:pPr>
      <w:r>
        <w:t xml:space="preserve">Назначение платежа                                                Подписи</w:t>
      </w:r>
    </w:p>
    <w:p>
      <w:pPr>
        <w:jc w:val="both"/>
      </w:pPr>
      <w:r>
        <w:t xml:space="preserve">Отметки банка</w:t>
      </w:r>
    </w:p>
    <w:p>
      <w:pPr>
        <w:spacing w:line="360" w:lineRule="auto" w:before="60" w:after="60"/>
        <w:jc w:val="both"/>
      </w:pPr>
      <w:r>
        <w:rPr>
          <w:i/>
          <w:iCs/>
        </w:rPr>
        <w:t xml:space="preserve">Примечание. Реквизиты платёжного поручения соответствуют требованиям приложения 1 к Положению Банка России от 29 июня 2021 г. № 762-П «О правилах осуществления перевода денежных средств».</w:t>
      </w:r>
    </w:p>
    <w:p>
      <w:pPr>
        <w:pStyle w:val="Heading1"/>
        <w:pageBreakBefore/>
        <w:ind w:firstLine="0"/>
        <w:jc w:val="center"/>
      </w:pPr>
      <w:r>
        <w:rPr>
          <w:b/>
          <w:bCs/>
        </w:rPr>
        <w:t xml:space="preserve">ПРИЛОЖЕНИЕ Б</w:t>
      </w:r>
    </w:p>
    <w:p>
      <w:pPr>
        <w:jc w:val="both"/>
      </w:pPr>
      <w:r>
        <w:t xml:space="preserve">Бухгалтерский баланс ПАО «Сбербанк» (выдержка) на 31 декабря 2024 года, млрд руб.</w:t>
      </w:r>
    </w:p>
    <w:p>
      <w:pPr>
        <w:spacing w:line="360" w:lineRule="auto" w:before="120" w:after="60"/>
        <w:ind w:firstLine="0"/>
        <w:jc w:val="left"/>
      </w:pPr>
      <w:r>
        <w:t xml:space="preserve">Таблица Б.1 — Бухгалтерский баланс ПАО «Сбербанк» (агрегированный), на 31 декабря 2022, 2023 и 2024 гг., млрд руб.</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w:t>
            </w:r>
          </w:p>
        </w:tc>
        <w:tc>
          <w:tcPr>
            <w:tcW w:w="1927" w:type="dxa"/>
          </w:tcPr>
          <w:p>
            <w:pPr>
              <w:spacing w:line="240" w:lineRule="auto" w:before="0" w:after="0"/>
              <w:ind w:firstLine="0"/>
              <w:jc w:val="center"/>
            </w:pPr>
            <w:r>
              <w:rPr>
                <w:rFonts w:ascii="Times New Roman" w:hAnsi="Times New Roman"/>
                <w:sz w:val="24"/>
                <w:szCs w:val="24"/>
                <w:b/>
                <w:bCs/>
              </w:rPr>
              <w:t xml:space="preserve">Наименование статьи</w:t>
            </w:r>
          </w:p>
        </w:tc>
        <w:tc>
          <w:tcPr>
            <w:tcW w:w="1927" w:type="dxa"/>
          </w:tcPr>
          <w:p>
            <w:pPr>
              <w:spacing w:line="240" w:lineRule="auto" w:before="0" w:after="0"/>
              <w:ind w:firstLine="0"/>
              <w:jc w:val="center"/>
            </w:pPr>
            <w:r>
              <w:rPr>
                <w:rFonts w:ascii="Times New Roman" w:hAnsi="Times New Roman"/>
                <w:sz w:val="24"/>
                <w:szCs w:val="24"/>
                <w:b/>
                <w:bCs/>
              </w:rPr>
              <w:t xml:space="preserve">31.12.2022</w:t>
            </w:r>
          </w:p>
        </w:tc>
        <w:tc>
          <w:tcPr>
            <w:tcW w:w="1927" w:type="dxa"/>
          </w:tcPr>
          <w:p>
            <w:pPr>
              <w:spacing w:line="240" w:lineRule="auto" w:before="0" w:after="0"/>
              <w:ind w:firstLine="0"/>
              <w:jc w:val="center"/>
            </w:pPr>
            <w:r>
              <w:rPr>
                <w:rFonts w:ascii="Times New Roman" w:hAnsi="Times New Roman"/>
                <w:sz w:val="24"/>
                <w:szCs w:val="24"/>
                <w:b/>
                <w:bCs/>
              </w:rPr>
              <w:t xml:space="preserve">31.12.2023</w:t>
            </w:r>
          </w:p>
        </w:tc>
        <w:tc>
          <w:tcPr>
            <w:tcW w:w="1927" w:type="dxa"/>
          </w:tcPr>
          <w:p>
            <w:pPr>
              <w:spacing w:line="240" w:lineRule="auto" w:before="0" w:after="0"/>
              <w:ind w:firstLine="0"/>
              <w:jc w:val="center"/>
            </w:pPr>
            <w:r>
              <w:rPr>
                <w:rFonts w:ascii="Times New Roman" w:hAnsi="Times New Roman"/>
                <w:sz w:val="24"/>
                <w:szCs w:val="24"/>
                <w:b/>
                <w:bCs/>
              </w:rPr>
              <w:t xml:space="preserve">31.12.2024</w:t>
            </w:r>
          </w:p>
        </w:tc>
      </w:tr>
      <w:tr>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rPr>
              <w:t xml:space="preserve">АКТИВЫ</w:t>
            </w:r>
          </w:p>
        </w:tc>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rPr>
              <w:t xml:space="preserve"/>
            </w:r>
          </w:p>
        </w:tc>
      </w:tr>
      <w:tr>
        <w:tc>
          <w:tcPr>
            <w:tcW w:w="1927" w:type="dxa"/>
          </w:tcPr>
          <w:p>
            <w:pPr>
              <w:spacing w:line="240" w:lineRule="auto" w:before="0" w:after="0"/>
              <w:ind w:firstLine="0"/>
              <w:jc w:val="left"/>
            </w:pPr>
            <w:r>
              <w:rPr>
                <w:rFonts w:ascii="Times New Roman" w:hAnsi="Times New Roman"/>
                <w:sz w:val="24"/>
                <w:szCs w:val="24"/>
              </w:rPr>
              <w:t xml:space="preserve">1</w:t>
            </w:r>
          </w:p>
        </w:tc>
        <w:tc>
          <w:tcPr>
            <w:tcW w:w="1927" w:type="dxa"/>
          </w:tcPr>
          <w:p>
            <w:pPr>
              <w:spacing w:line="240" w:lineRule="auto" w:before="0" w:after="0"/>
              <w:ind w:firstLine="0"/>
              <w:jc w:val="left"/>
            </w:pPr>
            <w:r>
              <w:rPr>
                <w:rFonts w:ascii="Times New Roman" w:hAnsi="Times New Roman"/>
                <w:sz w:val="24"/>
                <w:szCs w:val="24"/>
              </w:rPr>
              <w:t xml:space="preserve">Денежные средства и их эквиваленты</w:t>
            </w:r>
          </w:p>
        </w:tc>
        <w:tc>
          <w:tcPr>
            <w:tcW w:w="1927" w:type="dxa"/>
          </w:tcPr>
          <w:p>
            <w:pPr>
              <w:spacing w:line="240" w:lineRule="auto" w:before="0" w:after="0"/>
              <w:ind w:firstLine="0"/>
              <w:jc w:val="left"/>
            </w:pPr>
            <w:r>
              <w:rPr>
                <w:rFonts w:ascii="Times New Roman" w:hAnsi="Times New Roman"/>
                <w:sz w:val="24"/>
                <w:szCs w:val="24"/>
              </w:rPr>
              <w:t xml:space="preserve">2 308</w:t>
            </w:r>
          </w:p>
        </w:tc>
        <w:tc>
          <w:tcPr>
            <w:tcW w:w="1927" w:type="dxa"/>
          </w:tcPr>
          <w:p>
            <w:pPr>
              <w:spacing w:line="240" w:lineRule="auto" w:before="0" w:after="0"/>
              <w:ind w:firstLine="0"/>
              <w:jc w:val="left"/>
            </w:pPr>
            <w:r>
              <w:rPr>
                <w:rFonts w:ascii="Times New Roman" w:hAnsi="Times New Roman"/>
                <w:sz w:val="24"/>
                <w:szCs w:val="24"/>
              </w:rPr>
              <w:t xml:space="preserve">2 754</w:t>
            </w:r>
          </w:p>
        </w:tc>
        <w:tc>
          <w:tcPr>
            <w:tcW w:w="1927" w:type="dxa"/>
          </w:tcPr>
          <w:p>
            <w:pPr>
              <w:spacing w:line="240" w:lineRule="auto" w:before="0" w:after="0"/>
              <w:ind w:firstLine="0"/>
              <w:jc w:val="left"/>
            </w:pPr>
            <w:r>
              <w:rPr>
                <w:rFonts w:ascii="Times New Roman" w:hAnsi="Times New Roman"/>
                <w:sz w:val="24"/>
                <w:szCs w:val="24"/>
              </w:rPr>
              <w:t xml:space="preserve">2 980</w:t>
            </w:r>
          </w:p>
        </w:tc>
      </w:tr>
      <w:tr>
        <w:tc>
          <w:tcPr>
            <w:tcW w:w="1927" w:type="dxa"/>
          </w:tcPr>
          <w:p>
            <w:pPr>
              <w:spacing w:line="240" w:lineRule="auto" w:before="0" w:after="0"/>
              <w:ind w:firstLine="0"/>
              <w:jc w:val="left"/>
            </w:pPr>
            <w:r>
              <w:rPr>
                <w:rFonts w:ascii="Times New Roman" w:hAnsi="Times New Roman"/>
                <w:sz w:val="24"/>
                <w:szCs w:val="24"/>
              </w:rPr>
              <w:t xml:space="preserve">2</w:t>
            </w:r>
          </w:p>
        </w:tc>
        <w:tc>
          <w:tcPr>
            <w:tcW w:w="1927" w:type="dxa"/>
          </w:tcPr>
          <w:p>
            <w:pPr>
              <w:spacing w:line="240" w:lineRule="auto" w:before="0" w:after="0"/>
              <w:ind w:firstLine="0"/>
              <w:jc w:val="left"/>
            </w:pPr>
            <w:r>
              <w:rPr>
                <w:rFonts w:ascii="Times New Roman" w:hAnsi="Times New Roman"/>
                <w:sz w:val="24"/>
                <w:szCs w:val="24"/>
              </w:rPr>
              <w:t xml:space="preserve">Обязательные резервы в Банке России</w:t>
            </w:r>
          </w:p>
        </w:tc>
        <w:tc>
          <w:tcPr>
            <w:tcW w:w="1927" w:type="dxa"/>
          </w:tcPr>
          <w:p>
            <w:pPr>
              <w:spacing w:line="240" w:lineRule="auto" w:before="0" w:after="0"/>
              <w:ind w:firstLine="0"/>
              <w:jc w:val="left"/>
            </w:pPr>
            <w:r>
              <w:rPr>
                <w:rFonts w:ascii="Times New Roman" w:hAnsi="Times New Roman"/>
                <w:sz w:val="24"/>
                <w:szCs w:val="24"/>
              </w:rPr>
              <w:t xml:space="preserve">342</w:t>
            </w:r>
          </w:p>
        </w:tc>
        <w:tc>
          <w:tcPr>
            <w:tcW w:w="1927" w:type="dxa"/>
          </w:tcPr>
          <w:p>
            <w:pPr>
              <w:spacing w:line="240" w:lineRule="auto" w:before="0" w:after="0"/>
              <w:ind w:firstLine="0"/>
              <w:jc w:val="left"/>
            </w:pPr>
            <w:r>
              <w:rPr>
                <w:rFonts w:ascii="Times New Roman" w:hAnsi="Times New Roman"/>
                <w:sz w:val="24"/>
                <w:szCs w:val="24"/>
              </w:rPr>
              <w:t xml:space="preserve">421</w:t>
            </w:r>
          </w:p>
        </w:tc>
        <w:tc>
          <w:tcPr>
            <w:tcW w:w="1927" w:type="dxa"/>
          </w:tcPr>
          <w:p>
            <w:pPr>
              <w:spacing w:line="240" w:lineRule="auto" w:before="0" w:after="0"/>
              <w:ind w:firstLine="0"/>
              <w:jc w:val="left"/>
            </w:pPr>
            <w:r>
              <w:rPr>
                <w:rFonts w:ascii="Times New Roman" w:hAnsi="Times New Roman"/>
                <w:sz w:val="24"/>
                <w:szCs w:val="24"/>
              </w:rPr>
              <w:t xml:space="preserve">498</w:t>
            </w:r>
          </w:p>
        </w:tc>
      </w:tr>
      <w:tr>
        <w:tc>
          <w:tcPr>
            <w:tcW w:w="1927" w:type="dxa"/>
          </w:tcPr>
          <w:p>
            <w:pPr>
              <w:spacing w:line="240" w:lineRule="auto" w:before="0" w:after="0"/>
              <w:ind w:firstLine="0"/>
              <w:jc w:val="left"/>
            </w:pPr>
            <w:r>
              <w:rPr>
                <w:rFonts w:ascii="Times New Roman" w:hAnsi="Times New Roman"/>
                <w:sz w:val="24"/>
                <w:szCs w:val="24"/>
              </w:rPr>
              <w:t xml:space="preserve">3</w:t>
            </w:r>
          </w:p>
        </w:tc>
        <w:tc>
          <w:tcPr>
            <w:tcW w:w="1927" w:type="dxa"/>
          </w:tcPr>
          <w:p>
            <w:pPr>
              <w:spacing w:line="240" w:lineRule="auto" w:before="0" w:after="0"/>
              <w:ind w:firstLine="0"/>
              <w:jc w:val="left"/>
            </w:pPr>
            <w:r>
              <w:rPr>
                <w:rFonts w:ascii="Times New Roman" w:hAnsi="Times New Roman"/>
                <w:sz w:val="24"/>
                <w:szCs w:val="24"/>
              </w:rPr>
              <w:t xml:space="preserve">Средства в банках</w:t>
            </w:r>
          </w:p>
        </w:tc>
        <w:tc>
          <w:tcPr>
            <w:tcW w:w="1927" w:type="dxa"/>
          </w:tcPr>
          <w:p>
            <w:pPr>
              <w:spacing w:line="240" w:lineRule="auto" w:before="0" w:after="0"/>
              <w:ind w:firstLine="0"/>
              <w:jc w:val="left"/>
            </w:pPr>
            <w:r>
              <w:rPr>
                <w:rFonts w:ascii="Times New Roman" w:hAnsi="Times New Roman"/>
                <w:sz w:val="24"/>
                <w:szCs w:val="24"/>
              </w:rPr>
              <w:t xml:space="preserve">1 056</w:t>
            </w:r>
          </w:p>
        </w:tc>
        <w:tc>
          <w:tcPr>
            <w:tcW w:w="1927" w:type="dxa"/>
          </w:tcPr>
          <w:p>
            <w:pPr>
              <w:spacing w:line="240" w:lineRule="auto" w:before="0" w:after="0"/>
              <w:ind w:firstLine="0"/>
              <w:jc w:val="left"/>
            </w:pPr>
            <w:r>
              <w:rPr>
                <w:rFonts w:ascii="Times New Roman" w:hAnsi="Times New Roman"/>
                <w:sz w:val="24"/>
                <w:szCs w:val="24"/>
              </w:rPr>
              <w:t xml:space="preserve">1 318</w:t>
            </w:r>
          </w:p>
        </w:tc>
        <w:tc>
          <w:tcPr>
            <w:tcW w:w="1927" w:type="dxa"/>
          </w:tcPr>
          <w:p>
            <w:pPr>
              <w:spacing w:line="240" w:lineRule="auto" w:before="0" w:after="0"/>
              <w:ind w:firstLine="0"/>
              <w:jc w:val="left"/>
            </w:pPr>
            <w:r>
              <w:rPr>
                <w:rFonts w:ascii="Times New Roman" w:hAnsi="Times New Roman"/>
                <w:sz w:val="24"/>
                <w:szCs w:val="24"/>
              </w:rPr>
              <w:t xml:space="preserve">1 537</w:t>
            </w:r>
          </w:p>
        </w:tc>
      </w:tr>
      <w:tr>
        <w:tc>
          <w:tcPr>
            <w:tcW w:w="1927" w:type="dxa"/>
          </w:tcPr>
          <w:p>
            <w:pPr>
              <w:spacing w:line="240" w:lineRule="auto" w:before="0" w:after="0"/>
              <w:ind w:firstLine="0"/>
              <w:jc w:val="left"/>
            </w:pPr>
            <w:r>
              <w:rPr>
                <w:rFonts w:ascii="Times New Roman" w:hAnsi="Times New Roman"/>
                <w:sz w:val="24"/>
                <w:szCs w:val="24"/>
              </w:rPr>
              <w:t xml:space="preserve">4</w:t>
            </w:r>
          </w:p>
        </w:tc>
        <w:tc>
          <w:tcPr>
            <w:tcW w:w="1927" w:type="dxa"/>
          </w:tcPr>
          <w:p>
            <w:pPr>
              <w:spacing w:line="240" w:lineRule="auto" w:before="0" w:after="0"/>
              <w:ind w:firstLine="0"/>
              <w:jc w:val="left"/>
            </w:pPr>
            <w:r>
              <w:rPr>
                <w:rFonts w:ascii="Times New Roman" w:hAnsi="Times New Roman"/>
                <w:sz w:val="24"/>
                <w:szCs w:val="24"/>
              </w:rPr>
              <w:t xml:space="preserve">Кредиты, выданные клиентам (нетто)</w:t>
            </w:r>
          </w:p>
        </w:tc>
        <w:tc>
          <w:tcPr>
            <w:tcW w:w="1927" w:type="dxa"/>
          </w:tcPr>
          <w:p>
            <w:pPr>
              <w:spacing w:line="240" w:lineRule="auto" w:before="0" w:after="0"/>
              <w:ind w:firstLine="0"/>
              <w:jc w:val="left"/>
            </w:pPr>
            <w:r>
              <w:rPr>
                <w:rFonts w:ascii="Times New Roman" w:hAnsi="Times New Roman"/>
                <w:sz w:val="24"/>
                <w:szCs w:val="24"/>
              </w:rPr>
              <w:t xml:space="preserve">27 863</w:t>
            </w:r>
          </w:p>
        </w:tc>
        <w:tc>
          <w:tcPr>
            <w:tcW w:w="1927" w:type="dxa"/>
          </w:tcPr>
          <w:p>
            <w:pPr>
              <w:spacing w:line="240" w:lineRule="auto" w:before="0" w:after="0"/>
              <w:ind w:firstLine="0"/>
              <w:jc w:val="left"/>
            </w:pPr>
            <w:r>
              <w:rPr>
                <w:rFonts w:ascii="Times New Roman" w:hAnsi="Times New Roman"/>
                <w:sz w:val="24"/>
                <w:szCs w:val="24"/>
              </w:rPr>
              <w:t xml:space="preserve">34 110</w:t>
            </w:r>
          </w:p>
        </w:tc>
        <w:tc>
          <w:tcPr>
            <w:tcW w:w="1927" w:type="dxa"/>
          </w:tcPr>
          <w:p>
            <w:pPr>
              <w:spacing w:line="240" w:lineRule="auto" w:before="0" w:after="0"/>
              <w:ind w:firstLine="0"/>
              <w:jc w:val="left"/>
            </w:pPr>
            <w:r>
              <w:rPr>
                <w:rFonts w:ascii="Times New Roman" w:hAnsi="Times New Roman"/>
                <w:sz w:val="24"/>
                <w:szCs w:val="24"/>
              </w:rPr>
              <w:t xml:space="preserve">38 920</w:t>
            </w:r>
          </w:p>
        </w:tc>
      </w:tr>
      <w:tr>
        <w:tc>
          <w:tcPr>
            <w:tcW w:w="1927" w:type="dxa"/>
          </w:tcPr>
          <w:p>
            <w:pPr>
              <w:spacing w:line="240" w:lineRule="auto" w:before="0" w:after="0"/>
              <w:ind w:firstLine="0"/>
              <w:jc w:val="left"/>
            </w:pPr>
            <w:r>
              <w:rPr>
                <w:rFonts w:ascii="Times New Roman" w:hAnsi="Times New Roman"/>
                <w:sz w:val="24"/>
                <w:szCs w:val="24"/>
              </w:rPr>
              <w:t xml:space="preserve">5</w:t>
            </w:r>
          </w:p>
        </w:tc>
        <w:tc>
          <w:tcPr>
            <w:tcW w:w="1927" w:type="dxa"/>
          </w:tcPr>
          <w:p>
            <w:pPr>
              <w:spacing w:line="240" w:lineRule="auto" w:before="0" w:after="0"/>
              <w:ind w:firstLine="0"/>
              <w:jc w:val="left"/>
            </w:pPr>
            <w:r>
              <w:rPr>
                <w:rFonts w:ascii="Times New Roman" w:hAnsi="Times New Roman"/>
                <w:sz w:val="24"/>
                <w:szCs w:val="24"/>
              </w:rPr>
              <w:t xml:space="preserve">Финансовые активы, оцениваемые по справедливой стоимости</w:t>
            </w:r>
          </w:p>
        </w:tc>
        <w:tc>
          <w:tcPr>
            <w:tcW w:w="1927" w:type="dxa"/>
          </w:tcPr>
          <w:p>
            <w:pPr>
              <w:spacing w:line="240" w:lineRule="auto" w:before="0" w:after="0"/>
              <w:ind w:firstLine="0"/>
              <w:jc w:val="left"/>
            </w:pPr>
            <w:r>
              <w:rPr>
                <w:rFonts w:ascii="Times New Roman" w:hAnsi="Times New Roman"/>
                <w:sz w:val="24"/>
                <w:szCs w:val="24"/>
              </w:rPr>
              <w:t xml:space="preserve">4 521</w:t>
            </w:r>
          </w:p>
        </w:tc>
        <w:tc>
          <w:tcPr>
            <w:tcW w:w="1927" w:type="dxa"/>
          </w:tcPr>
          <w:p>
            <w:pPr>
              <w:spacing w:line="240" w:lineRule="auto" w:before="0" w:after="0"/>
              <w:ind w:firstLine="0"/>
              <w:jc w:val="left"/>
            </w:pPr>
            <w:r>
              <w:rPr>
                <w:rFonts w:ascii="Times New Roman" w:hAnsi="Times New Roman"/>
                <w:sz w:val="24"/>
                <w:szCs w:val="24"/>
              </w:rPr>
              <w:t xml:space="preserve">5 230</w:t>
            </w:r>
          </w:p>
        </w:tc>
        <w:tc>
          <w:tcPr>
            <w:tcW w:w="1927" w:type="dxa"/>
          </w:tcPr>
          <w:p>
            <w:pPr>
              <w:spacing w:line="240" w:lineRule="auto" w:before="0" w:after="0"/>
              <w:ind w:firstLine="0"/>
              <w:jc w:val="left"/>
            </w:pPr>
            <w:r>
              <w:rPr>
                <w:rFonts w:ascii="Times New Roman" w:hAnsi="Times New Roman"/>
                <w:sz w:val="24"/>
                <w:szCs w:val="24"/>
              </w:rPr>
              <w:t xml:space="preserve">5 962</w:t>
            </w:r>
          </w:p>
        </w:tc>
      </w:tr>
      <w:tr>
        <w:tc>
          <w:tcPr>
            <w:tcW w:w="1927" w:type="dxa"/>
          </w:tcPr>
          <w:p>
            <w:pPr>
              <w:spacing w:line="240" w:lineRule="auto" w:before="0" w:after="0"/>
              <w:ind w:firstLine="0"/>
              <w:jc w:val="left"/>
            </w:pPr>
            <w:r>
              <w:rPr>
                <w:rFonts w:ascii="Times New Roman" w:hAnsi="Times New Roman"/>
                <w:sz w:val="24"/>
                <w:szCs w:val="24"/>
              </w:rPr>
              <w:t xml:space="preserve">6</w:t>
            </w:r>
          </w:p>
        </w:tc>
        <w:tc>
          <w:tcPr>
            <w:tcW w:w="1927" w:type="dxa"/>
          </w:tcPr>
          <w:p>
            <w:pPr>
              <w:spacing w:line="240" w:lineRule="auto" w:before="0" w:after="0"/>
              <w:ind w:firstLine="0"/>
              <w:jc w:val="left"/>
            </w:pPr>
            <w:r>
              <w:rPr>
                <w:rFonts w:ascii="Times New Roman" w:hAnsi="Times New Roman"/>
                <w:sz w:val="24"/>
                <w:szCs w:val="24"/>
              </w:rPr>
              <w:t xml:space="preserve">Инвестиции в дочерние и ассоциированные компании</w:t>
            </w:r>
          </w:p>
        </w:tc>
        <w:tc>
          <w:tcPr>
            <w:tcW w:w="1927" w:type="dxa"/>
          </w:tcPr>
          <w:p>
            <w:pPr>
              <w:spacing w:line="240" w:lineRule="auto" w:before="0" w:after="0"/>
              <w:ind w:firstLine="0"/>
              <w:jc w:val="left"/>
            </w:pPr>
            <w:r>
              <w:rPr>
                <w:rFonts w:ascii="Times New Roman" w:hAnsi="Times New Roman"/>
                <w:sz w:val="24"/>
                <w:szCs w:val="24"/>
              </w:rPr>
              <w:t xml:space="preserve">618</w:t>
            </w:r>
          </w:p>
        </w:tc>
        <w:tc>
          <w:tcPr>
            <w:tcW w:w="1927" w:type="dxa"/>
          </w:tcPr>
          <w:p>
            <w:pPr>
              <w:spacing w:line="240" w:lineRule="auto" w:before="0" w:after="0"/>
              <w:ind w:firstLine="0"/>
              <w:jc w:val="left"/>
            </w:pPr>
            <w:r>
              <w:rPr>
                <w:rFonts w:ascii="Times New Roman" w:hAnsi="Times New Roman"/>
                <w:sz w:val="24"/>
                <w:szCs w:val="24"/>
              </w:rPr>
              <w:t xml:space="preserve">690</w:t>
            </w:r>
          </w:p>
        </w:tc>
        <w:tc>
          <w:tcPr>
            <w:tcW w:w="1927" w:type="dxa"/>
          </w:tcPr>
          <w:p>
            <w:pPr>
              <w:spacing w:line="240" w:lineRule="auto" w:before="0" w:after="0"/>
              <w:ind w:firstLine="0"/>
              <w:jc w:val="left"/>
            </w:pPr>
            <w:r>
              <w:rPr>
                <w:rFonts w:ascii="Times New Roman" w:hAnsi="Times New Roman"/>
                <w:sz w:val="24"/>
                <w:szCs w:val="24"/>
              </w:rPr>
              <w:t xml:space="preserve">762</w:t>
            </w:r>
          </w:p>
        </w:tc>
      </w:tr>
      <w:tr>
        <w:tc>
          <w:tcPr>
            <w:tcW w:w="1927" w:type="dxa"/>
          </w:tcPr>
          <w:p>
            <w:pPr>
              <w:spacing w:line="240" w:lineRule="auto" w:before="0" w:after="0"/>
              <w:ind w:firstLine="0"/>
              <w:jc w:val="left"/>
            </w:pPr>
            <w:r>
              <w:rPr>
                <w:rFonts w:ascii="Times New Roman" w:hAnsi="Times New Roman"/>
                <w:sz w:val="24"/>
                <w:szCs w:val="24"/>
              </w:rPr>
              <w:t xml:space="preserve">7</w:t>
            </w:r>
          </w:p>
        </w:tc>
        <w:tc>
          <w:tcPr>
            <w:tcW w:w="1927" w:type="dxa"/>
          </w:tcPr>
          <w:p>
            <w:pPr>
              <w:spacing w:line="240" w:lineRule="auto" w:before="0" w:after="0"/>
              <w:ind w:firstLine="0"/>
              <w:jc w:val="left"/>
            </w:pPr>
            <w:r>
              <w:rPr>
                <w:rFonts w:ascii="Times New Roman" w:hAnsi="Times New Roman"/>
                <w:sz w:val="24"/>
                <w:szCs w:val="24"/>
              </w:rPr>
              <w:t xml:space="preserve">Основные средства и нематериальные активы</w:t>
            </w:r>
          </w:p>
        </w:tc>
        <w:tc>
          <w:tcPr>
            <w:tcW w:w="1927" w:type="dxa"/>
          </w:tcPr>
          <w:p>
            <w:pPr>
              <w:spacing w:line="240" w:lineRule="auto" w:before="0" w:after="0"/>
              <w:ind w:firstLine="0"/>
              <w:jc w:val="left"/>
            </w:pPr>
            <w:r>
              <w:rPr>
                <w:rFonts w:ascii="Times New Roman" w:hAnsi="Times New Roman"/>
                <w:sz w:val="24"/>
                <w:szCs w:val="24"/>
              </w:rPr>
              <w:t xml:space="preserve">832</w:t>
            </w:r>
          </w:p>
        </w:tc>
        <w:tc>
          <w:tcPr>
            <w:tcW w:w="1927" w:type="dxa"/>
          </w:tcPr>
          <w:p>
            <w:pPr>
              <w:spacing w:line="240" w:lineRule="auto" w:before="0" w:after="0"/>
              <w:ind w:firstLine="0"/>
              <w:jc w:val="left"/>
            </w:pPr>
            <w:r>
              <w:rPr>
                <w:rFonts w:ascii="Times New Roman" w:hAnsi="Times New Roman"/>
                <w:sz w:val="24"/>
                <w:szCs w:val="24"/>
              </w:rPr>
              <w:t xml:space="preserve">915</w:t>
            </w:r>
          </w:p>
        </w:tc>
        <w:tc>
          <w:tcPr>
            <w:tcW w:w="1927" w:type="dxa"/>
          </w:tcPr>
          <w:p>
            <w:pPr>
              <w:spacing w:line="240" w:lineRule="auto" w:before="0" w:after="0"/>
              <w:ind w:firstLine="0"/>
              <w:jc w:val="left"/>
            </w:pPr>
            <w:r>
              <w:rPr>
                <w:rFonts w:ascii="Times New Roman" w:hAnsi="Times New Roman"/>
                <w:sz w:val="24"/>
                <w:szCs w:val="24"/>
              </w:rPr>
              <w:t xml:space="preserve">1 048</w:t>
            </w:r>
          </w:p>
        </w:tc>
      </w:tr>
      <w:tr>
        <w:tc>
          <w:tcPr>
            <w:tcW w:w="1927" w:type="dxa"/>
          </w:tcPr>
          <w:p>
            <w:pPr>
              <w:spacing w:line="240" w:lineRule="auto" w:before="0" w:after="0"/>
              <w:ind w:firstLine="0"/>
              <w:jc w:val="left"/>
            </w:pPr>
            <w:r>
              <w:rPr>
                <w:rFonts w:ascii="Times New Roman" w:hAnsi="Times New Roman"/>
                <w:sz w:val="24"/>
                <w:szCs w:val="24"/>
              </w:rPr>
              <w:t xml:space="preserve">8</w:t>
            </w:r>
          </w:p>
        </w:tc>
        <w:tc>
          <w:tcPr>
            <w:tcW w:w="1927" w:type="dxa"/>
          </w:tcPr>
          <w:p>
            <w:pPr>
              <w:spacing w:line="240" w:lineRule="auto" w:before="0" w:after="0"/>
              <w:ind w:firstLine="0"/>
              <w:jc w:val="left"/>
            </w:pPr>
            <w:r>
              <w:rPr>
                <w:rFonts w:ascii="Times New Roman" w:hAnsi="Times New Roman"/>
                <w:sz w:val="24"/>
                <w:szCs w:val="24"/>
              </w:rPr>
              <w:t xml:space="preserve">Прочие активы</w:t>
            </w:r>
          </w:p>
        </w:tc>
        <w:tc>
          <w:tcPr>
            <w:tcW w:w="1927" w:type="dxa"/>
          </w:tcPr>
          <w:p>
            <w:pPr>
              <w:spacing w:line="240" w:lineRule="auto" w:before="0" w:after="0"/>
              <w:ind w:firstLine="0"/>
              <w:jc w:val="left"/>
            </w:pPr>
            <w:r>
              <w:rPr>
                <w:rFonts w:ascii="Times New Roman" w:hAnsi="Times New Roman"/>
                <w:sz w:val="24"/>
                <w:szCs w:val="24"/>
              </w:rPr>
              <w:t xml:space="preserve">4 186</w:t>
            </w:r>
          </w:p>
        </w:tc>
        <w:tc>
          <w:tcPr>
            <w:tcW w:w="1927" w:type="dxa"/>
          </w:tcPr>
          <w:p>
            <w:pPr>
              <w:spacing w:line="240" w:lineRule="auto" w:before="0" w:after="0"/>
              <w:ind w:firstLine="0"/>
              <w:jc w:val="left"/>
            </w:pPr>
            <w:r>
              <w:rPr>
                <w:rFonts w:ascii="Times New Roman" w:hAnsi="Times New Roman"/>
                <w:sz w:val="24"/>
                <w:szCs w:val="24"/>
              </w:rPr>
              <w:t xml:space="preserve">6 249</w:t>
            </w:r>
          </w:p>
        </w:tc>
        <w:tc>
          <w:tcPr>
            <w:tcW w:w="1927" w:type="dxa"/>
          </w:tcPr>
          <w:p>
            <w:pPr>
              <w:spacing w:line="240" w:lineRule="auto" w:before="0" w:after="0"/>
              <w:ind w:firstLine="0"/>
              <w:jc w:val="left"/>
            </w:pPr>
            <w:r>
              <w:rPr>
                <w:rFonts w:ascii="Times New Roman" w:hAnsi="Times New Roman"/>
                <w:sz w:val="24"/>
                <w:szCs w:val="24"/>
              </w:rPr>
              <w:t xml:space="preserve">5 115</w:t>
            </w:r>
          </w:p>
        </w:tc>
      </w:tr>
      <w:tr>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b/>
                <w:bCs/>
              </w:rPr>
              <w:t xml:space="preserve">Итого активов</w:t>
            </w:r>
          </w:p>
        </w:tc>
        <w:tc>
          <w:tcPr>
            <w:tcW w:w="1927" w:type="dxa"/>
          </w:tcPr>
          <w:p>
            <w:pPr>
              <w:spacing w:line="240" w:lineRule="auto" w:before="0" w:after="0"/>
              <w:ind w:firstLine="0"/>
              <w:jc w:val="left"/>
            </w:pPr>
            <w:r>
              <w:rPr>
                <w:rFonts w:ascii="Times New Roman" w:hAnsi="Times New Roman"/>
                <w:sz w:val="24"/>
                <w:szCs w:val="24"/>
                <w:b/>
                <w:bCs/>
              </w:rPr>
              <w:t xml:space="preserve">41 726</w:t>
            </w:r>
          </w:p>
        </w:tc>
        <w:tc>
          <w:tcPr>
            <w:tcW w:w="1927" w:type="dxa"/>
          </w:tcPr>
          <w:p>
            <w:pPr>
              <w:spacing w:line="240" w:lineRule="auto" w:before="0" w:after="0"/>
              <w:ind w:firstLine="0"/>
              <w:jc w:val="left"/>
            </w:pPr>
            <w:r>
              <w:rPr>
                <w:rFonts w:ascii="Times New Roman" w:hAnsi="Times New Roman"/>
                <w:sz w:val="24"/>
                <w:szCs w:val="24"/>
                <w:b/>
                <w:bCs/>
              </w:rPr>
              <w:t xml:space="preserve">51 687</w:t>
            </w:r>
          </w:p>
        </w:tc>
        <w:tc>
          <w:tcPr>
            <w:tcW w:w="1927" w:type="dxa"/>
          </w:tcPr>
          <w:p>
            <w:pPr>
              <w:spacing w:line="240" w:lineRule="auto" w:before="0" w:after="0"/>
              <w:ind w:firstLine="0"/>
              <w:jc w:val="left"/>
            </w:pPr>
            <w:r>
              <w:rPr>
                <w:rFonts w:ascii="Times New Roman" w:hAnsi="Times New Roman"/>
                <w:sz w:val="24"/>
                <w:szCs w:val="24"/>
                <w:b/>
                <w:bCs/>
              </w:rPr>
              <w:t xml:space="preserve">56 822</w:t>
            </w:r>
          </w:p>
        </w:tc>
      </w:tr>
      <w:tr>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rPr>
              <w:t xml:space="preserve">ОБЯЗАТЕЛЬСТВА</w:t>
            </w:r>
          </w:p>
        </w:tc>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rPr>
              <w:t xml:space="preserve"/>
            </w:r>
          </w:p>
        </w:tc>
      </w:tr>
      <w:tr>
        <w:tc>
          <w:tcPr>
            <w:tcW w:w="1927" w:type="dxa"/>
          </w:tcPr>
          <w:p>
            <w:pPr>
              <w:spacing w:line="240" w:lineRule="auto" w:before="0" w:after="0"/>
              <w:ind w:firstLine="0"/>
              <w:jc w:val="left"/>
            </w:pPr>
            <w:r>
              <w:rPr>
                <w:rFonts w:ascii="Times New Roman" w:hAnsi="Times New Roman"/>
                <w:sz w:val="24"/>
                <w:szCs w:val="24"/>
              </w:rPr>
              <w:t xml:space="preserve">9</w:t>
            </w:r>
          </w:p>
        </w:tc>
        <w:tc>
          <w:tcPr>
            <w:tcW w:w="1927" w:type="dxa"/>
          </w:tcPr>
          <w:p>
            <w:pPr>
              <w:spacing w:line="240" w:lineRule="auto" w:before="0" w:after="0"/>
              <w:ind w:firstLine="0"/>
              <w:jc w:val="left"/>
            </w:pPr>
            <w:r>
              <w:rPr>
                <w:rFonts w:ascii="Times New Roman" w:hAnsi="Times New Roman"/>
                <w:sz w:val="24"/>
                <w:szCs w:val="24"/>
              </w:rPr>
              <w:t xml:space="preserve">Средства Банка России</w:t>
            </w:r>
          </w:p>
        </w:tc>
        <w:tc>
          <w:tcPr>
            <w:tcW w:w="1927" w:type="dxa"/>
          </w:tcPr>
          <w:p>
            <w:pPr>
              <w:spacing w:line="240" w:lineRule="auto" w:before="0" w:after="0"/>
              <w:ind w:firstLine="0"/>
              <w:jc w:val="left"/>
            </w:pPr>
            <w:r>
              <w:rPr>
                <w:rFonts w:ascii="Times New Roman" w:hAnsi="Times New Roman"/>
                <w:sz w:val="24"/>
                <w:szCs w:val="24"/>
              </w:rPr>
              <w:t xml:space="preserve">287</w:t>
            </w:r>
          </w:p>
        </w:tc>
        <w:tc>
          <w:tcPr>
            <w:tcW w:w="1927" w:type="dxa"/>
          </w:tcPr>
          <w:p>
            <w:pPr>
              <w:spacing w:line="240" w:lineRule="auto" w:before="0" w:after="0"/>
              <w:ind w:firstLine="0"/>
              <w:jc w:val="left"/>
            </w:pPr>
            <w:r>
              <w:rPr>
                <w:rFonts w:ascii="Times New Roman" w:hAnsi="Times New Roman"/>
                <w:sz w:val="24"/>
                <w:szCs w:val="24"/>
              </w:rPr>
              <w:t xml:space="preserve">615</w:t>
            </w:r>
          </w:p>
        </w:tc>
        <w:tc>
          <w:tcPr>
            <w:tcW w:w="1927" w:type="dxa"/>
          </w:tcPr>
          <w:p>
            <w:pPr>
              <w:spacing w:line="240" w:lineRule="auto" w:before="0" w:after="0"/>
              <w:ind w:firstLine="0"/>
              <w:jc w:val="left"/>
            </w:pPr>
            <w:r>
              <w:rPr>
                <w:rFonts w:ascii="Times New Roman" w:hAnsi="Times New Roman"/>
                <w:sz w:val="24"/>
                <w:szCs w:val="24"/>
              </w:rPr>
              <w:t xml:space="preserve">752</w:t>
            </w:r>
          </w:p>
        </w:tc>
      </w:tr>
      <w:tr>
        <w:tc>
          <w:tcPr>
            <w:tcW w:w="1927" w:type="dxa"/>
          </w:tcPr>
          <w:p>
            <w:pPr>
              <w:spacing w:line="240" w:lineRule="auto" w:before="0" w:after="0"/>
              <w:ind w:firstLine="0"/>
              <w:jc w:val="left"/>
            </w:pPr>
            <w:r>
              <w:rPr>
                <w:rFonts w:ascii="Times New Roman" w:hAnsi="Times New Roman"/>
                <w:sz w:val="24"/>
                <w:szCs w:val="24"/>
              </w:rPr>
              <w:t xml:space="preserve">10</w:t>
            </w:r>
          </w:p>
        </w:tc>
        <w:tc>
          <w:tcPr>
            <w:tcW w:w="1927" w:type="dxa"/>
          </w:tcPr>
          <w:p>
            <w:pPr>
              <w:spacing w:line="240" w:lineRule="auto" w:before="0" w:after="0"/>
              <w:ind w:firstLine="0"/>
              <w:jc w:val="left"/>
            </w:pPr>
            <w:r>
              <w:rPr>
                <w:rFonts w:ascii="Times New Roman" w:hAnsi="Times New Roman"/>
                <w:sz w:val="24"/>
                <w:szCs w:val="24"/>
              </w:rPr>
              <w:t xml:space="preserve">Средства банков</w:t>
            </w:r>
          </w:p>
        </w:tc>
        <w:tc>
          <w:tcPr>
            <w:tcW w:w="1927" w:type="dxa"/>
          </w:tcPr>
          <w:p>
            <w:pPr>
              <w:spacing w:line="240" w:lineRule="auto" w:before="0" w:after="0"/>
              <w:ind w:firstLine="0"/>
              <w:jc w:val="left"/>
            </w:pPr>
            <w:r>
              <w:rPr>
                <w:rFonts w:ascii="Times New Roman" w:hAnsi="Times New Roman"/>
                <w:sz w:val="24"/>
                <w:szCs w:val="24"/>
              </w:rPr>
              <w:t xml:space="preserve">1 873</w:t>
            </w:r>
          </w:p>
        </w:tc>
        <w:tc>
          <w:tcPr>
            <w:tcW w:w="1927" w:type="dxa"/>
          </w:tcPr>
          <w:p>
            <w:pPr>
              <w:spacing w:line="240" w:lineRule="auto" w:before="0" w:after="0"/>
              <w:ind w:firstLine="0"/>
              <w:jc w:val="left"/>
            </w:pPr>
            <w:r>
              <w:rPr>
                <w:rFonts w:ascii="Times New Roman" w:hAnsi="Times New Roman"/>
                <w:sz w:val="24"/>
                <w:szCs w:val="24"/>
              </w:rPr>
              <w:t xml:space="preserve">2 540</w:t>
            </w:r>
          </w:p>
        </w:tc>
        <w:tc>
          <w:tcPr>
            <w:tcW w:w="1927" w:type="dxa"/>
          </w:tcPr>
          <w:p>
            <w:pPr>
              <w:spacing w:line="240" w:lineRule="auto" w:before="0" w:after="0"/>
              <w:ind w:firstLine="0"/>
              <w:jc w:val="left"/>
            </w:pPr>
            <w:r>
              <w:rPr>
                <w:rFonts w:ascii="Times New Roman" w:hAnsi="Times New Roman"/>
                <w:sz w:val="24"/>
                <w:szCs w:val="24"/>
              </w:rPr>
              <w:t xml:space="preserve">2 985</w:t>
            </w:r>
          </w:p>
        </w:tc>
      </w:tr>
      <w:tr>
        <w:tc>
          <w:tcPr>
            <w:tcW w:w="1927" w:type="dxa"/>
          </w:tcPr>
          <w:p>
            <w:pPr>
              <w:spacing w:line="240" w:lineRule="auto" w:before="0" w:after="0"/>
              <w:ind w:firstLine="0"/>
              <w:jc w:val="left"/>
            </w:pPr>
            <w:r>
              <w:rPr>
                <w:rFonts w:ascii="Times New Roman" w:hAnsi="Times New Roman"/>
                <w:sz w:val="24"/>
                <w:szCs w:val="24"/>
              </w:rPr>
              <w:t xml:space="preserve">11</w:t>
            </w:r>
          </w:p>
        </w:tc>
        <w:tc>
          <w:tcPr>
            <w:tcW w:w="1927" w:type="dxa"/>
          </w:tcPr>
          <w:p>
            <w:pPr>
              <w:spacing w:line="240" w:lineRule="auto" w:before="0" w:after="0"/>
              <w:ind w:firstLine="0"/>
              <w:jc w:val="left"/>
            </w:pPr>
            <w:r>
              <w:rPr>
                <w:rFonts w:ascii="Times New Roman" w:hAnsi="Times New Roman"/>
                <w:sz w:val="24"/>
                <w:szCs w:val="24"/>
              </w:rPr>
              <w:t xml:space="preserve">Средства физических лиц (вклады и счета)</w:t>
            </w:r>
          </w:p>
        </w:tc>
        <w:tc>
          <w:tcPr>
            <w:tcW w:w="1927" w:type="dxa"/>
          </w:tcPr>
          <w:p>
            <w:pPr>
              <w:spacing w:line="240" w:lineRule="auto" w:before="0" w:after="0"/>
              <w:ind w:firstLine="0"/>
              <w:jc w:val="left"/>
            </w:pPr>
            <w:r>
              <w:rPr>
                <w:rFonts w:ascii="Times New Roman" w:hAnsi="Times New Roman"/>
                <w:sz w:val="24"/>
                <w:szCs w:val="24"/>
              </w:rPr>
              <w:t xml:space="preserve">18 632</w:t>
            </w:r>
          </w:p>
        </w:tc>
        <w:tc>
          <w:tcPr>
            <w:tcW w:w="1927" w:type="dxa"/>
          </w:tcPr>
          <w:p>
            <w:pPr>
              <w:spacing w:line="240" w:lineRule="auto" w:before="0" w:after="0"/>
              <w:ind w:firstLine="0"/>
              <w:jc w:val="left"/>
            </w:pPr>
            <w:r>
              <w:rPr>
                <w:rFonts w:ascii="Times New Roman" w:hAnsi="Times New Roman"/>
                <w:sz w:val="24"/>
                <w:szCs w:val="24"/>
              </w:rPr>
              <w:t xml:space="preserve">23 415</w:t>
            </w:r>
          </w:p>
        </w:tc>
        <w:tc>
          <w:tcPr>
            <w:tcW w:w="1927" w:type="dxa"/>
          </w:tcPr>
          <w:p>
            <w:pPr>
              <w:spacing w:line="240" w:lineRule="auto" w:before="0" w:after="0"/>
              <w:ind w:firstLine="0"/>
              <w:jc w:val="left"/>
            </w:pPr>
            <w:r>
              <w:rPr>
                <w:rFonts w:ascii="Times New Roman" w:hAnsi="Times New Roman"/>
                <w:sz w:val="24"/>
                <w:szCs w:val="24"/>
              </w:rPr>
              <w:t xml:space="preserve">26 080</w:t>
            </w:r>
          </w:p>
        </w:tc>
      </w:tr>
      <w:tr>
        <w:tc>
          <w:tcPr>
            <w:tcW w:w="1927" w:type="dxa"/>
          </w:tcPr>
          <w:p>
            <w:pPr>
              <w:spacing w:line="240" w:lineRule="auto" w:before="0" w:after="0"/>
              <w:ind w:firstLine="0"/>
              <w:jc w:val="left"/>
            </w:pPr>
            <w:r>
              <w:rPr>
                <w:rFonts w:ascii="Times New Roman" w:hAnsi="Times New Roman"/>
                <w:sz w:val="24"/>
                <w:szCs w:val="24"/>
              </w:rPr>
              <w:t xml:space="preserve">12</w:t>
            </w:r>
          </w:p>
        </w:tc>
        <w:tc>
          <w:tcPr>
            <w:tcW w:w="1927" w:type="dxa"/>
          </w:tcPr>
          <w:p>
            <w:pPr>
              <w:spacing w:line="240" w:lineRule="auto" w:before="0" w:after="0"/>
              <w:ind w:firstLine="0"/>
              <w:jc w:val="left"/>
            </w:pPr>
            <w:r>
              <w:rPr>
                <w:rFonts w:ascii="Times New Roman" w:hAnsi="Times New Roman"/>
                <w:sz w:val="24"/>
                <w:szCs w:val="24"/>
              </w:rPr>
              <w:t xml:space="preserve">Средства корпоративных клиентов</w:t>
            </w:r>
          </w:p>
        </w:tc>
        <w:tc>
          <w:tcPr>
            <w:tcW w:w="1927" w:type="dxa"/>
          </w:tcPr>
          <w:p>
            <w:pPr>
              <w:spacing w:line="240" w:lineRule="auto" w:before="0" w:after="0"/>
              <w:ind w:firstLine="0"/>
              <w:jc w:val="left"/>
            </w:pPr>
            <w:r>
              <w:rPr>
                <w:rFonts w:ascii="Times New Roman" w:hAnsi="Times New Roman"/>
                <w:sz w:val="24"/>
                <w:szCs w:val="24"/>
              </w:rPr>
              <w:t xml:space="preserve">9 761</w:t>
            </w:r>
          </w:p>
        </w:tc>
        <w:tc>
          <w:tcPr>
            <w:tcW w:w="1927" w:type="dxa"/>
          </w:tcPr>
          <w:p>
            <w:pPr>
              <w:spacing w:line="240" w:lineRule="auto" w:before="0" w:after="0"/>
              <w:ind w:firstLine="0"/>
              <w:jc w:val="left"/>
            </w:pPr>
            <w:r>
              <w:rPr>
                <w:rFonts w:ascii="Times New Roman" w:hAnsi="Times New Roman"/>
                <w:sz w:val="24"/>
                <w:szCs w:val="24"/>
              </w:rPr>
              <w:t xml:space="preserve">13 576</w:t>
            </w:r>
          </w:p>
        </w:tc>
        <w:tc>
          <w:tcPr>
            <w:tcW w:w="1927" w:type="dxa"/>
          </w:tcPr>
          <w:p>
            <w:pPr>
              <w:spacing w:line="240" w:lineRule="auto" w:before="0" w:after="0"/>
              <w:ind w:firstLine="0"/>
              <w:jc w:val="left"/>
            </w:pPr>
            <w:r>
              <w:rPr>
                <w:rFonts w:ascii="Times New Roman" w:hAnsi="Times New Roman"/>
                <w:sz w:val="24"/>
                <w:szCs w:val="24"/>
              </w:rPr>
              <w:t xml:space="preserve">15 308</w:t>
            </w:r>
          </w:p>
        </w:tc>
      </w:tr>
      <w:tr>
        <w:tc>
          <w:tcPr>
            <w:tcW w:w="1927" w:type="dxa"/>
          </w:tcPr>
          <w:p>
            <w:pPr>
              <w:spacing w:line="240" w:lineRule="auto" w:before="0" w:after="0"/>
              <w:ind w:firstLine="0"/>
              <w:jc w:val="left"/>
            </w:pPr>
            <w:r>
              <w:rPr>
                <w:rFonts w:ascii="Times New Roman" w:hAnsi="Times New Roman"/>
                <w:sz w:val="24"/>
                <w:szCs w:val="24"/>
              </w:rPr>
              <w:t xml:space="preserve">13</w:t>
            </w:r>
          </w:p>
        </w:tc>
        <w:tc>
          <w:tcPr>
            <w:tcW w:w="1927" w:type="dxa"/>
          </w:tcPr>
          <w:p>
            <w:pPr>
              <w:spacing w:line="240" w:lineRule="auto" w:before="0" w:after="0"/>
              <w:ind w:firstLine="0"/>
              <w:jc w:val="left"/>
            </w:pPr>
            <w:r>
              <w:rPr>
                <w:rFonts w:ascii="Times New Roman" w:hAnsi="Times New Roman"/>
                <w:sz w:val="24"/>
                <w:szCs w:val="24"/>
              </w:rPr>
              <w:t xml:space="preserve">Выпущенные долговые обязательства</w:t>
            </w:r>
          </w:p>
        </w:tc>
        <w:tc>
          <w:tcPr>
            <w:tcW w:w="1927" w:type="dxa"/>
          </w:tcPr>
          <w:p>
            <w:pPr>
              <w:spacing w:line="240" w:lineRule="auto" w:before="0" w:after="0"/>
              <w:ind w:firstLine="0"/>
              <w:jc w:val="left"/>
            </w:pPr>
            <w:r>
              <w:rPr>
                <w:rFonts w:ascii="Times New Roman" w:hAnsi="Times New Roman"/>
                <w:sz w:val="24"/>
                <w:szCs w:val="24"/>
              </w:rPr>
              <w:t xml:space="preserve">1 587</w:t>
            </w:r>
          </w:p>
        </w:tc>
        <w:tc>
          <w:tcPr>
            <w:tcW w:w="1927" w:type="dxa"/>
          </w:tcPr>
          <w:p>
            <w:pPr>
              <w:spacing w:line="240" w:lineRule="auto" w:before="0" w:after="0"/>
              <w:ind w:firstLine="0"/>
              <w:jc w:val="left"/>
            </w:pPr>
            <w:r>
              <w:rPr>
                <w:rFonts w:ascii="Times New Roman" w:hAnsi="Times New Roman"/>
                <w:sz w:val="24"/>
                <w:szCs w:val="24"/>
              </w:rPr>
              <w:t xml:space="preserve">1 942</w:t>
            </w:r>
          </w:p>
        </w:tc>
        <w:tc>
          <w:tcPr>
            <w:tcW w:w="1927" w:type="dxa"/>
          </w:tcPr>
          <w:p>
            <w:pPr>
              <w:spacing w:line="240" w:lineRule="auto" w:before="0" w:after="0"/>
              <w:ind w:firstLine="0"/>
              <w:jc w:val="left"/>
            </w:pPr>
            <w:r>
              <w:rPr>
                <w:rFonts w:ascii="Times New Roman" w:hAnsi="Times New Roman"/>
                <w:sz w:val="24"/>
                <w:szCs w:val="24"/>
              </w:rPr>
              <w:t xml:space="preserve">2 124</w:t>
            </w:r>
          </w:p>
        </w:tc>
      </w:tr>
      <w:tr>
        <w:tc>
          <w:tcPr>
            <w:tcW w:w="1927" w:type="dxa"/>
          </w:tcPr>
          <w:p>
            <w:pPr>
              <w:spacing w:line="240" w:lineRule="auto" w:before="0" w:after="0"/>
              <w:ind w:firstLine="0"/>
              <w:jc w:val="left"/>
            </w:pPr>
            <w:r>
              <w:rPr>
                <w:rFonts w:ascii="Times New Roman" w:hAnsi="Times New Roman"/>
                <w:sz w:val="24"/>
                <w:szCs w:val="24"/>
              </w:rPr>
              <w:t xml:space="preserve">14</w:t>
            </w:r>
          </w:p>
        </w:tc>
        <w:tc>
          <w:tcPr>
            <w:tcW w:w="1927" w:type="dxa"/>
          </w:tcPr>
          <w:p>
            <w:pPr>
              <w:spacing w:line="240" w:lineRule="auto" w:before="0" w:after="0"/>
              <w:ind w:firstLine="0"/>
              <w:jc w:val="left"/>
            </w:pPr>
            <w:r>
              <w:rPr>
                <w:rFonts w:ascii="Times New Roman" w:hAnsi="Times New Roman"/>
                <w:sz w:val="24"/>
                <w:szCs w:val="24"/>
              </w:rPr>
              <w:t xml:space="preserve">Прочие обязательства</w:t>
            </w:r>
          </w:p>
        </w:tc>
        <w:tc>
          <w:tcPr>
            <w:tcW w:w="1927" w:type="dxa"/>
          </w:tcPr>
          <w:p>
            <w:pPr>
              <w:spacing w:line="240" w:lineRule="auto" w:before="0" w:after="0"/>
              <w:ind w:firstLine="0"/>
              <w:jc w:val="left"/>
            </w:pPr>
            <w:r>
              <w:rPr>
                <w:rFonts w:ascii="Times New Roman" w:hAnsi="Times New Roman"/>
                <w:sz w:val="24"/>
                <w:szCs w:val="24"/>
              </w:rPr>
              <w:t xml:space="preserve">3 771</w:t>
            </w:r>
          </w:p>
        </w:tc>
        <w:tc>
          <w:tcPr>
            <w:tcW w:w="1927" w:type="dxa"/>
          </w:tcPr>
          <w:p>
            <w:pPr>
              <w:spacing w:line="240" w:lineRule="auto" w:before="0" w:after="0"/>
              <w:ind w:firstLine="0"/>
              <w:jc w:val="left"/>
            </w:pPr>
            <w:r>
              <w:rPr>
                <w:rFonts w:ascii="Times New Roman" w:hAnsi="Times New Roman"/>
                <w:sz w:val="24"/>
                <w:szCs w:val="24"/>
              </w:rPr>
              <w:t xml:space="preserve">3 062</w:t>
            </w:r>
          </w:p>
        </w:tc>
        <w:tc>
          <w:tcPr>
            <w:tcW w:w="1927" w:type="dxa"/>
          </w:tcPr>
          <w:p>
            <w:pPr>
              <w:spacing w:line="240" w:lineRule="auto" w:before="0" w:after="0"/>
              <w:ind w:firstLine="0"/>
              <w:jc w:val="left"/>
            </w:pPr>
            <w:r>
              <w:rPr>
                <w:rFonts w:ascii="Times New Roman" w:hAnsi="Times New Roman"/>
                <w:sz w:val="24"/>
                <w:szCs w:val="24"/>
              </w:rPr>
              <w:t xml:space="preserve">2 115</w:t>
            </w:r>
          </w:p>
        </w:tc>
      </w:tr>
      <w:tr>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b/>
                <w:bCs/>
              </w:rPr>
              <w:t xml:space="preserve">Итого обязательств</w:t>
            </w:r>
          </w:p>
        </w:tc>
        <w:tc>
          <w:tcPr>
            <w:tcW w:w="1927" w:type="dxa"/>
          </w:tcPr>
          <w:p>
            <w:pPr>
              <w:spacing w:line="240" w:lineRule="auto" w:before="0" w:after="0"/>
              <w:ind w:firstLine="0"/>
              <w:jc w:val="left"/>
            </w:pPr>
            <w:r>
              <w:rPr>
                <w:rFonts w:ascii="Times New Roman" w:hAnsi="Times New Roman"/>
                <w:sz w:val="24"/>
                <w:szCs w:val="24"/>
                <w:b/>
                <w:bCs/>
              </w:rPr>
              <w:t xml:space="preserve">35 911</w:t>
            </w:r>
          </w:p>
        </w:tc>
        <w:tc>
          <w:tcPr>
            <w:tcW w:w="1927" w:type="dxa"/>
          </w:tcPr>
          <w:p>
            <w:pPr>
              <w:spacing w:line="240" w:lineRule="auto" w:before="0" w:after="0"/>
              <w:ind w:firstLine="0"/>
              <w:jc w:val="left"/>
            </w:pPr>
            <w:r>
              <w:rPr>
                <w:rFonts w:ascii="Times New Roman" w:hAnsi="Times New Roman"/>
                <w:sz w:val="24"/>
                <w:szCs w:val="24"/>
                <w:b/>
                <w:bCs/>
              </w:rPr>
              <w:t xml:space="preserve">45 150</w:t>
            </w:r>
          </w:p>
        </w:tc>
        <w:tc>
          <w:tcPr>
            <w:tcW w:w="1927" w:type="dxa"/>
          </w:tcPr>
          <w:p>
            <w:pPr>
              <w:spacing w:line="240" w:lineRule="auto" w:before="0" w:after="0"/>
              <w:ind w:firstLine="0"/>
              <w:jc w:val="left"/>
            </w:pPr>
            <w:r>
              <w:rPr>
                <w:rFonts w:ascii="Times New Roman" w:hAnsi="Times New Roman"/>
                <w:sz w:val="24"/>
                <w:szCs w:val="24"/>
                <w:b/>
                <w:bCs/>
              </w:rPr>
              <w:t xml:space="preserve">49 364</w:t>
            </w:r>
          </w:p>
        </w:tc>
      </w:tr>
      <w:tr>
        <w:tc>
          <w:tcPr>
            <w:tcW w:w="1927" w:type="dxa"/>
          </w:tcPr>
          <w:p>
            <w:pPr>
              <w:spacing w:line="240" w:lineRule="auto" w:before="0" w:after="0"/>
              <w:ind w:firstLine="0"/>
              <w:jc w:val="left"/>
            </w:pPr>
            <w:r>
              <w:rPr>
                <w:rFonts w:ascii="Times New Roman" w:hAnsi="Times New Roman"/>
                <w:sz w:val="24"/>
                <w:szCs w:val="24"/>
              </w:rPr>
              <w:t xml:space="preserve">15</w:t>
            </w:r>
          </w:p>
        </w:tc>
        <w:tc>
          <w:tcPr>
            <w:tcW w:w="1927" w:type="dxa"/>
          </w:tcPr>
          <w:p>
            <w:pPr>
              <w:spacing w:line="240" w:lineRule="auto" w:before="0" w:after="0"/>
              <w:ind w:firstLine="0"/>
              <w:jc w:val="left"/>
            </w:pPr>
            <w:r>
              <w:rPr>
                <w:rFonts w:ascii="Times New Roman" w:hAnsi="Times New Roman"/>
                <w:sz w:val="24"/>
                <w:szCs w:val="24"/>
              </w:rPr>
              <w:t xml:space="preserve">СОБСТВЕННЫЙ КАПИТАЛ</w:t>
            </w:r>
          </w:p>
        </w:tc>
        <w:tc>
          <w:tcPr>
            <w:tcW w:w="1927" w:type="dxa"/>
          </w:tcPr>
          <w:p>
            <w:pPr>
              <w:spacing w:line="240" w:lineRule="auto" w:before="0" w:after="0"/>
              <w:ind w:firstLine="0"/>
              <w:jc w:val="left"/>
            </w:pPr>
            <w:r>
              <w:rPr>
                <w:rFonts w:ascii="Times New Roman" w:hAnsi="Times New Roman"/>
                <w:sz w:val="24"/>
                <w:szCs w:val="24"/>
              </w:rPr>
              <w:t xml:space="preserve">5 815</w:t>
            </w:r>
          </w:p>
        </w:tc>
        <w:tc>
          <w:tcPr>
            <w:tcW w:w="1927" w:type="dxa"/>
          </w:tcPr>
          <w:p>
            <w:pPr>
              <w:spacing w:line="240" w:lineRule="auto" w:before="0" w:after="0"/>
              <w:ind w:firstLine="0"/>
              <w:jc w:val="left"/>
            </w:pPr>
            <w:r>
              <w:rPr>
                <w:rFonts w:ascii="Times New Roman" w:hAnsi="Times New Roman"/>
                <w:sz w:val="24"/>
                <w:szCs w:val="24"/>
              </w:rPr>
              <w:t xml:space="preserve">6 537</w:t>
            </w:r>
          </w:p>
        </w:tc>
        <w:tc>
          <w:tcPr>
            <w:tcW w:w="1927" w:type="dxa"/>
          </w:tcPr>
          <w:p>
            <w:pPr>
              <w:spacing w:line="240" w:lineRule="auto" w:before="0" w:after="0"/>
              <w:ind w:firstLine="0"/>
              <w:jc w:val="left"/>
            </w:pPr>
            <w:r>
              <w:rPr>
                <w:rFonts w:ascii="Times New Roman" w:hAnsi="Times New Roman"/>
                <w:sz w:val="24"/>
                <w:szCs w:val="24"/>
              </w:rPr>
              <w:t xml:space="preserve">7 458</w:t>
            </w:r>
          </w:p>
        </w:tc>
      </w:tr>
      <w:tr>
        <w:tc>
          <w:tcPr>
            <w:tcW w:w="1927" w:type="dxa"/>
          </w:tcPr>
          <w:p>
            <w:pPr>
              <w:spacing w:line="240" w:lineRule="auto" w:before="0" w:after="0"/>
              <w:ind w:firstLine="0"/>
              <w:jc w:val="left"/>
            </w:pPr>
            <w:r>
              <w:rPr>
                <w:rFonts w:ascii="Times New Roman" w:hAnsi="Times New Roman"/>
                <w:sz w:val="24"/>
                <w:szCs w:val="24"/>
              </w:rPr>
              <w:t xml:space="preserve"/>
            </w:r>
          </w:p>
        </w:tc>
        <w:tc>
          <w:tcPr>
            <w:tcW w:w="1927" w:type="dxa"/>
          </w:tcPr>
          <w:p>
            <w:pPr>
              <w:spacing w:line="240" w:lineRule="auto" w:before="0" w:after="0"/>
              <w:ind w:firstLine="0"/>
              <w:jc w:val="left"/>
            </w:pPr>
            <w:r>
              <w:rPr>
                <w:rFonts w:ascii="Times New Roman" w:hAnsi="Times New Roman"/>
                <w:sz w:val="24"/>
                <w:szCs w:val="24"/>
                <w:b/>
                <w:bCs/>
              </w:rPr>
              <w:t xml:space="preserve">Итого пассивов</w:t>
            </w:r>
          </w:p>
        </w:tc>
        <w:tc>
          <w:tcPr>
            <w:tcW w:w="1927" w:type="dxa"/>
          </w:tcPr>
          <w:p>
            <w:pPr>
              <w:spacing w:line="240" w:lineRule="auto" w:before="0" w:after="0"/>
              <w:ind w:firstLine="0"/>
              <w:jc w:val="left"/>
            </w:pPr>
            <w:r>
              <w:rPr>
                <w:rFonts w:ascii="Times New Roman" w:hAnsi="Times New Roman"/>
                <w:sz w:val="24"/>
                <w:szCs w:val="24"/>
                <w:b/>
                <w:bCs/>
              </w:rPr>
              <w:t xml:space="preserve">41 726</w:t>
            </w:r>
          </w:p>
        </w:tc>
        <w:tc>
          <w:tcPr>
            <w:tcW w:w="1927" w:type="dxa"/>
          </w:tcPr>
          <w:p>
            <w:pPr>
              <w:spacing w:line="240" w:lineRule="auto" w:before="0" w:after="0"/>
              <w:ind w:firstLine="0"/>
              <w:jc w:val="left"/>
            </w:pPr>
            <w:r>
              <w:rPr>
                <w:rFonts w:ascii="Times New Roman" w:hAnsi="Times New Roman"/>
                <w:sz w:val="24"/>
                <w:szCs w:val="24"/>
                <w:b/>
                <w:bCs/>
              </w:rPr>
              <w:t xml:space="preserve">51 687</w:t>
            </w:r>
          </w:p>
        </w:tc>
        <w:tc>
          <w:tcPr>
            <w:tcW w:w="1927" w:type="dxa"/>
          </w:tcPr>
          <w:p>
            <w:pPr>
              <w:spacing w:line="240" w:lineRule="auto" w:before="0" w:after="0"/>
              <w:ind w:firstLine="0"/>
              <w:jc w:val="left"/>
            </w:pPr>
            <w:r>
              <w:rPr>
                <w:rFonts w:ascii="Times New Roman" w:hAnsi="Times New Roman"/>
                <w:sz w:val="24"/>
                <w:szCs w:val="24"/>
                <w:b/>
                <w:bCs/>
              </w:rPr>
              <w:t xml:space="preserve">56 822</w:t>
            </w:r>
          </w:p>
        </w:tc>
      </w:tr>
    </w:tbl>
    <w:p>
      <w:pPr>
        <w:ind w:firstLine="0"/>
      </w:pPr>
    </w:p>
    <w:p>
      <w:pPr>
        <w:spacing w:line="360" w:lineRule="auto" w:before="60" w:after="120"/>
        <w:ind w:firstLine="0"/>
        <w:jc w:val="left"/>
      </w:pPr>
      <w:r>
        <w:rPr>
          <w:i/>
          <w:iCs/>
        </w:rPr>
        <w:t xml:space="preserve">Источник: годовая консолидированная финансовая отчётность ПАО «Сбербанк» по МСФО за 2022, 2023, 2024 гг.</w:t>
      </w:r>
    </w:p>
    <w:p>
      <w:pPr>
        <w:pStyle w:val="Heading1"/>
        <w:pageBreakBefore/>
        <w:ind w:firstLine="0"/>
        <w:jc w:val="center"/>
      </w:pPr>
      <w:r>
        <w:rPr>
          <w:b/>
          <w:bCs/>
        </w:rPr>
        <w:t xml:space="preserve">ПРИЛОЖЕНИЕ В</w:t>
      </w:r>
    </w:p>
    <w:p>
      <w:pPr>
        <w:jc w:val="both"/>
      </w:pPr>
      <w:r>
        <w:t xml:space="preserve">Отчёт о финансовых результатах ПАО «Сбербанк» за 2022–2024 гг. (агрегированный), млрд руб.</w:t>
      </w:r>
    </w:p>
    <w:p>
      <w:pPr>
        <w:spacing w:line="360" w:lineRule="auto" w:before="120" w:after="60"/>
        <w:ind w:firstLine="0"/>
        <w:jc w:val="left"/>
      </w:pPr>
      <w:r>
        <w:t xml:space="preserve">Таблица В.1 — Отчёт о финансовых результатах ПАО «Сбербанк» за 2022–2024 гг., млрд руб.</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927"/>
        <w:gridCol w:w="1927"/>
        <w:gridCol w:w="1927"/>
        <w:gridCol w:w="1927"/>
        <w:gridCol w:w="1927"/>
      </w:tblGrid>
      <w:tr>
        <w:trPr>
          <w:tblHeader/>
        </w:trPr>
        <w:tc>
          <w:tcPr>
            <w:tcW w:w="1927" w:type="dxa"/>
          </w:tcPr>
          <w:p>
            <w:pPr>
              <w:spacing w:line="240" w:lineRule="auto" w:before="0" w:after="0"/>
              <w:ind w:firstLine="0"/>
              <w:jc w:val="center"/>
            </w:pPr>
            <w:r>
              <w:rPr>
                <w:rFonts w:ascii="Times New Roman" w:hAnsi="Times New Roman"/>
                <w:sz w:val="24"/>
                <w:szCs w:val="24"/>
                <w:b/>
                <w:bCs/>
              </w:rPr>
              <w:t xml:space="preserve">№</w:t>
            </w:r>
          </w:p>
        </w:tc>
        <w:tc>
          <w:tcPr>
            <w:tcW w:w="1927" w:type="dxa"/>
          </w:tcPr>
          <w:p>
            <w:pPr>
              <w:spacing w:line="240" w:lineRule="auto" w:before="0" w:after="0"/>
              <w:ind w:firstLine="0"/>
              <w:jc w:val="center"/>
            </w:pPr>
            <w:r>
              <w:rPr>
                <w:rFonts w:ascii="Times New Roman" w:hAnsi="Times New Roman"/>
                <w:sz w:val="24"/>
                <w:szCs w:val="24"/>
                <w:b/>
                <w:bCs/>
              </w:rPr>
              <w:t xml:space="preserve">Наименование статьи</w:t>
            </w:r>
          </w:p>
        </w:tc>
        <w:tc>
          <w:tcPr>
            <w:tcW w:w="1927" w:type="dxa"/>
          </w:tcPr>
          <w:p>
            <w:pPr>
              <w:spacing w:line="240" w:lineRule="auto" w:before="0" w:after="0"/>
              <w:ind w:firstLine="0"/>
              <w:jc w:val="center"/>
            </w:pPr>
            <w:r>
              <w:rPr>
                <w:rFonts w:ascii="Times New Roman" w:hAnsi="Times New Roman"/>
                <w:sz w:val="24"/>
                <w:szCs w:val="24"/>
                <w:b/>
                <w:bCs/>
              </w:rPr>
              <w:t xml:space="preserve">2022</w:t>
            </w:r>
          </w:p>
        </w:tc>
        <w:tc>
          <w:tcPr>
            <w:tcW w:w="1927" w:type="dxa"/>
          </w:tcPr>
          <w:p>
            <w:pPr>
              <w:spacing w:line="240" w:lineRule="auto" w:before="0" w:after="0"/>
              <w:ind w:firstLine="0"/>
              <w:jc w:val="center"/>
            </w:pPr>
            <w:r>
              <w:rPr>
                <w:rFonts w:ascii="Times New Roman" w:hAnsi="Times New Roman"/>
                <w:sz w:val="24"/>
                <w:szCs w:val="24"/>
                <w:b/>
                <w:bCs/>
              </w:rPr>
              <w:t xml:space="preserve">2023</w:t>
            </w:r>
          </w:p>
        </w:tc>
        <w:tc>
          <w:tcPr>
            <w:tcW w:w="1927" w:type="dxa"/>
          </w:tcPr>
          <w:p>
            <w:pPr>
              <w:spacing w:line="240" w:lineRule="auto" w:before="0" w:after="0"/>
              <w:ind w:firstLine="0"/>
              <w:jc w:val="center"/>
            </w:pPr>
            <w:r>
              <w:rPr>
                <w:rFonts w:ascii="Times New Roman" w:hAnsi="Times New Roman"/>
                <w:sz w:val="24"/>
                <w:szCs w:val="24"/>
                <w:b/>
                <w:bCs/>
              </w:rPr>
              <w:t xml:space="preserve">2024</w:t>
            </w:r>
          </w:p>
        </w:tc>
      </w:tr>
      <w:tr>
        <w:tc>
          <w:tcPr>
            <w:tcW w:w="1927" w:type="dxa"/>
          </w:tcPr>
          <w:p>
            <w:pPr>
              <w:spacing w:line="240" w:lineRule="auto" w:before="0" w:after="0"/>
              <w:ind w:firstLine="0"/>
              <w:jc w:val="left"/>
            </w:pPr>
            <w:r>
              <w:rPr>
                <w:rFonts w:ascii="Times New Roman" w:hAnsi="Times New Roman"/>
                <w:sz w:val="24"/>
                <w:szCs w:val="24"/>
              </w:rPr>
              <w:t xml:space="preserve">1</w:t>
            </w:r>
          </w:p>
        </w:tc>
        <w:tc>
          <w:tcPr>
            <w:tcW w:w="1927" w:type="dxa"/>
          </w:tcPr>
          <w:p>
            <w:pPr>
              <w:spacing w:line="240" w:lineRule="auto" w:before="0" w:after="0"/>
              <w:ind w:firstLine="0"/>
              <w:jc w:val="left"/>
            </w:pPr>
            <w:r>
              <w:rPr>
                <w:rFonts w:ascii="Times New Roman" w:hAnsi="Times New Roman"/>
                <w:sz w:val="24"/>
                <w:szCs w:val="24"/>
              </w:rPr>
              <w:t xml:space="preserve">Процентные доходы</w:t>
            </w:r>
          </w:p>
        </w:tc>
        <w:tc>
          <w:tcPr>
            <w:tcW w:w="1927" w:type="dxa"/>
          </w:tcPr>
          <w:p>
            <w:pPr>
              <w:spacing w:line="240" w:lineRule="auto" w:before="0" w:after="0"/>
              <w:ind w:firstLine="0"/>
              <w:jc w:val="left"/>
            </w:pPr>
            <w:r>
              <w:rPr>
                <w:rFonts w:ascii="Times New Roman" w:hAnsi="Times New Roman"/>
                <w:sz w:val="24"/>
                <w:szCs w:val="24"/>
              </w:rPr>
              <w:t xml:space="preserve">3 108</w:t>
            </w:r>
          </w:p>
        </w:tc>
        <w:tc>
          <w:tcPr>
            <w:tcW w:w="1927" w:type="dxa"/>
          </w:tcPr>
          <w:p>
            <w:pPr>
              <w:spacing w:line="240" w:lineRule="auto" w:before="0" w:after="0"/>
              <w:ind w:firstLine="0"/>
              <w:jc w:val="left"/>
            </w:pPr>
            <w:r>
              <w:rPr>
                <w:rFonts w:ascii="Times New Roman" w:hAnsi="Times New Roman"/>
                <w:sz w:val="24"/>
                <w:szCs w:val="24"/>
              </w:rPr>
              <w:t xml:space="preserve">4 230</w:t>
            </w:r>
          </w:p>
        </w:tc>
        <w:tc>
          <w:tcPr>
            <w:tcW w:w="1927" w:type="dxa"/>
          </w:tcPr>
          <w:p>
            <w:pPr>
              <w:spacing w:line="240" w:lineRule="auto" w:before="0" w:after="0"/>
              <w:ind w:firstLine="0"/>
              <w:jc w:val="left"/>
            </w:pPr>
            <w:r>
              <w:rPr>
                <w:rFonts w:ascii="Times New Roman" w:hAnsi="Times New Roman"/>
                <w:sz w:val="24"/>
                <w:szCs w:val="24"/>
              </w:rPr>
              <w:t xml:space="preserve">5 162</w:t>
            </w:r>
          </w:p>
        </w:tc>
      </w:tr>
      <w:tr>
        <w:tc>
          <w:tcPr>
            <w:tcW w:w="1927" w:type="dxa"/>
          </w:tcPr>
          <w:p>
            <w:pPr>
              <w:spacing w:line="240" w:lineRule="auto" w:before="0" w:after="0"/>
              <w:ind w:firstLine="0"/>
              <w:jc w:val="left"/>
            </w:pPr>
            <w:r>
              <w:rPr>
                <w:rFonts w:ascii="Times New Roman" w:hAnsi="Times New Roman"/>
                <w:sz w:val="24"/>
                <w:szCs w:val="24"/>
              </w:rPr>
              <w:t xml:space="preserve">2</w:t>
            </w:r>
          </w:p>
        </w:tc>
        <w:tc>
          <w:tcPr>
            <w:tcW w:w="1927" w:type="dxa"/>
          </w:tcPr>
          <w:p>
            <w:pPr>
              <w:spacing w:line="240" w:lineRule="auto" w:before="0" w:after="0"/>
              <w:ind w:firstLine="0"/>
              <w:jc w:val="left"/>
            </w:pPr>
            <w:r>
              <w:rPr>
                <w:rFonts w:ascii="Times New Roman" w:hAnsi="Times New Roman"/>
                <w:sz w:val="24"/>
                <w:szCs w:val="24"/>
              </w:rPr>
              <w:t xml:space="preserve">Процентные расходы</w:t>
            </w:r>
          </w:p>
        </w:tc>
        <w:tc>
          <w:tcPr>
            <w:tcW w:w="1927" w:type="dxa"/>
          </w:tcPr>
          <w:p>
            <w:pPr>
              <w:spacing w:line="240" w:lineRule="auto" w:before="0" w:after="0"/>
              <w:ind w:firstLine="0"/>
              <w:jc w:val="left"/>
            </w:pPr>
            <w:r>
              <w:rPr>
                <w:rFonts w:ascii="Times New Roman" w:hAnsi="Times New Roman"/>
                <w:sz w:val="24"/>
                <w:szCs w:val="24"/>
              </w:rPr>
              <w:t xml:space="preserve">(1 233)</w:t>
            </w:r>
          </w:p>
        </w:tc>
        <w:tc>
          <w:tcPr>
            <w:tcW w:w="1927" w:type="dxa"/>
          </w:tcPr>
          <w:p>
            <w:pPr>
              <w:spacing w:line="240" w:lineRule="auto" w:before="0" w:after="0"/>
              <w:ind w:firstLine="0"/>
              <w:jc w:val="left"/>
            </w:pPr>
            <w:r>
              <w:rPr>
                <w:rFonts w:ascii="Times New Roman" w:hAnsi="Times New Roman"/>
                <w:sz w:val="24"/>
                <w:szCs w:val="24"/>
              </w:rPr>
              <w:t xml:space="preserve">(1 665)</w:t>
            </w:r>
          </w:p>
        </w:tc>
        <w:tc>
          <w:tcPr>
            <w:tcW w:w="1927" w:type="dxa"/>
          </w:tcPr>
          <w:p>
            <w:pPr>
              <w:spacing w:line="240" w:lineRule="auto" w:before="0" w:after="0"/>
              <w:ind w:firstLine="0"/>
              <w:jc w:val="left"/>
            </w:pPr>
            <w:r>
              <w:rPr>
                <w:rFonts w:ascii="Times New Roman" w:hAnsi="Times New Roman"/>
                <w:sz w:val="24"/>
                <w:szCs w:val="24"/>
              </w:rPr>
              <w:t xml:space="preserve">(2 065)</w:t>
            </w:r>
          </w:p>
        </w:tc>
      </w:tr>
      <w:tr>
        <w:tc>
          <w:tcPr>
            <w:tcW w:w="1927" w:type="dxa"/>
          </w:tcPr>
          <w:p>
            <w:pPr>
              <w:spacing w:line="240" w:lineRule="auto" w:before="0" w:after="0"/>
              <w:ind w:firstLine="0"/>
              <w:jc w:val="left"/>
            </w:pPr>
            <w:r>
              <w:rPr>
                <w:rFonts w:ascii="Times New Roman" w:hAnsi="Times New Roman"/>
                <w:sz w:val="24"/>
                <w:szCs w:val="24"/>
              </w:rPr>
              <w:t xml:space="preserve">3</w:t>
            </w:r>
          </w:p>
        </w:tc>
        <w:tc>
          <w:tcPr>
            <w:tcW w:w="1927" w:type="dxa"/>
          </w:tcPr>
          <w:p>
            <w:pPr>
              <w:spacing w:line="240" w:lineRule="auto" w:before="0" w:after="0"/>
              <w:ind w:firstLine="0"/>
              <w:jc w:val="left"/>
            </w:pPr>
            <w:r>
              <w:rPr>
                <w:rFonts w:ascii="Times New Roman" w:hAnsi="Times New Roman"/>
                <w:sz w:val="24"/>
                <w:szCs w:val="24"/>
              </w:rPr>
              <w:t xml:space="preserve">Чистые процентные доходы (стр. 1 + стр. 2)</w:t>
            </w:r>
          </w:p>
        </w:tc>
        <w:tc>
          <w:tcPr>
            <w:tcW w:w="1927" w:type="dxa"/>
          </w:tcPr>
          <w:p>
            <w:pPr>
              <w:spacing w:line="240" w:lineRule="auto" w:before="0" w:after="0"/>
              <w:ind w:firstLine="0"/>
              <w:jc w:val="left"/>
            </w:pPr>
            <w:r>
              <w:rPr>
                <w:rFonts w:ascii="Times New Roman" w:hAnsi="Times New Roman"/>
                <w:sz w:val="24"/>
                <w:szCs w:val="24"/>
              </w:rPr>
              <w:t xml:space="preserve">1 875</w:t>
            </w:r>
          </w:p>
        </w:tc>
        <w:tc>
          <w:tcPr>
            <w:tcW w:w="1927" w:type="dxa"/>
          </w:tcPr>
          <w:p>
            <w:pPr>
              <w:spacing w:line="240" w:lineRule="auto" w:before="0" w:after="0"/>
              <w:ind w:firstLine="0"/>
              <w:jc w:val="left"/>
            </w:pPr>
            <w:r>
              <w:rPr>
                <w:rFonts w:ascii="Times New Roman" w:hAnsi="Times New Roman"/>
                <w:sz w:val="24"/>
                <w:szCs w:val="24"/>
              </w:rPr>
              <w:t xml:space="preserve">2 565</w:t>
            </w:r>
          </w:p>
        </w:tc>
        <w:tc>
          <w:tcPr>
            <w:tcW w:w="1927" w:type="dxa"/>
          </w:tcPr>
          <w:p>
            <w:pPr>
              <w:spacing w:line="240" w:lineRule="auto" w:before="0" w:after="0"/>
              <w:ind w:firstLine="0"/>
              <w:jc w:val="left"/>
            </w:pPr>
            <w:r>
              <w:rPr>
                <w:rFonts w:ascii="Times New Roman" w:hAnsi="Times New Roman"/>
                <w:sz w:val="24"/>
                <w:szCs w:val="24"/>
              </w:rPr>
              <w:t xml:space="preserve">3 097</w:t>
            </w:r>
          </w:p>
        </w:tc>
      </w:tr>
      <w:tr>
        <w:tc>
          <w:tcPr>
            <w:tcW w:w="1927" w:type="dxa"/>
          </w:tcPr>
          <w:p>
            <w:pPr>
              <w:spacing w:line="240" w:lineRule="auto" w:before="0" w:after="0"/>
              <w:ind w:firstLine="0"/>
              <w:jc w:val="left"/>
            </w:pPr>
            <w:r>
              <w:rPr>
                <w:rFonts w:ascii="Times New Roman" w:hAnsi="Times New Roman"/>
                <w:sz w:val="24"/>
                <w:szCs w:val="24"/>
              </w:rPr>
              <w:t xml:space="preserve">4</w:t>
            </w:r>
          </w:p>
        </w:tc>
        <w:tc>
          <w:tcPr>
            <w:tcW w:w="1927" w:type="dxa"/>
          </w:tcPr>
          <w:p>
            <w:pPr>
              <w:spacing w:line="240" w:lineRule="auto" w:before="0" w:after="0"/>
              <w:ind w:firstLine="0"/>
              <w:jc w:val="left"/>
            </w:pPr>
            <w:r>
              <w:rPr>
                <w:rFonts w:ascii="Times New Roman" w:hAnsi="Times New Roman"/>
                <w:sz w:val="24"/>
                <w:szCs w:val="24"/>
              </w:rPr>
              <w:t xml:space="preserve">Резервы под обесценение кредитного портфеля</w:t>
            </w:r>
          </w:p>
        </w:tc>
        <w:tc>
          <w:tcPr>
            <w:tcW w:w="1927" w:type="dxa"/>
          </w:tcPr>
          <w:p>
            <w:pPr>
              <w:spacing w:line="240" w:lineRule="auto" w:before="0" w:after="0"/>
              <w:ind w:firstLine="0"/>
              <w:jc w:val="left"/>
            </w:pPr>
            <w:r>
              <w:rPr>
                <w:rFonts w:ascii="Times New Roman" w:hAnsi="Times New Roman"/>
                <w:sz w:val="24"/>
                <w:szCs w:val="24"/>
              </w:rPr>
              <w:t xml:space="preserve">(555)</w:t>
            </w:r>
          </w:p>
        </w:tc>
        <w:tc>
          <w:tcPr>
            <w:tcW w:w="1927" w:type="dxa"/>
          </w:tcPr>
          <w:p>
            <w:pPr>
              <w:spacing w:line="240" w:lineRule="auto" w:before="0" w:after="0"/>
              <w:ind w:firstLine="0"/>
              <w:jc w:val="left"/>
            </w:pPr>
            <w:r>
              <w:rPr>
                <w:rFonts w:ascii="Times New Roman" w:hAnsi="Times New Roman"/>
                <w:sz w:val="24"/>
                <w:szCs w:val="24"/>
              </w:rPr>
              <w:t xml:space="preserve">(43)</w:t>
            </w:r>
          </w:p>
        </w:tc>
        <w:tc>
          <w:tcPr>
            <w:tcW w:w="1927" w:type="dxa"/>
          </w:tcPr>
          <w:p>
            <w:pPr>
              <w:spacing w:line="240" w:lineRule="auto" w:before="0" w:after="0"/>
              <w:ind w:firstLine="0"/>
              <w:jc w:val="left"/>
            </w:pPr>
            <w:r>
              <w:rPr>
                <w:rFonts w:ascii="Times New Roman" w:hAnsi="Times New Roman"/>
                <w:sz w:val="24"/>
                <w:szCs w:val="24"/>
              </w:rPr>
              <w:t xml:space="preserve">(149)</w:t>
            </w:r>
          </w:p>
        </w:tc>
      </w:tr>
      <w:tr>
        <w:tc>
          <w:tcPr>
            <w:tcW w:w="1927" w:type="dxa"/>
          </w:tcPr>
          <w:p>
            <w:pPr>
              <w:spacing w:line="240" w:lineRule="auto" w:before="0" w:after="0"/>
              <w:ind w:firstLine="0"/>
              <w:jc w:val="left"/>
            </w:pPr>
            <w:r>
              <w:rPr>
                <w:rFonts w:ascii="Times New Roman" w:hAnsi="Times New Roman"/>
                <w:sz w:val="24"/>
                <w:szCs w:val="24"/>
              </w:rPr>
              <w:t xml:space="preserve">5</w:t>
            </w:r>
          </w:p>
        </w:tc>
        <w:tc>
          <w:tcPr>
            <w:tcW w:w="1927" w:type="dxa"/>
          </w:tcPr>
          <w:p>
            <w:pPr>
              <w:spacing w:line="240" w:lineRule="auto" w:before="0" w:after="0"/>
              <w:ind w:firstLine="0"/>
              <w:jc w:val="left"/>
            </w:pPr>
            <w:r>
              <w:rPr>
                <w:rFonts w:ascii="Times New Roman" w:hAnsi="Times New Roman"/>
                <w:sz w:val="24"/>
                <w:szCs w:val="24"/>
              </w:rPr>
              <w:t xml:space="preserve">Чистые процентные доходы после создания резервов</w:t>
            </w:r>
          </w:p>
        </w:tc>
        <w:tc>
          <w:tcPr>
            <w:tcW w:w="1927" w:type="dxa"/>
          </w:tcPr>
          <w:p>
            <w:pPr>
              <w:spacing w:line="240" w:lineRule="auto" w:before="0" w:after="0"/>
              <w:ind w:firstLine="0"/>
              <w:jc w:val="left"/>
            </w:pPr>
            <w:r>
              <w:rPr>
                <w:rFonts w:ascii="Times New Roman" w:hAnsi="Times New Roman"/>
                <w:sz w:val="24"/>
                <w:szCs w:val="24"/>
              </w:rPr>
              <w:t xml:space="preserve">1 320</w:t>
            </w:r>
          </w:p>
        </w:tc>
        <w:tc>
          <w:tcPr>
            <w:tcW w:w="1927" w:type="dxa"/>
          </w:tcPr>
          <w:p>
            <w:pPr>
              <w:spacing w:line="240" w:lineRule="auto" w:before="0" w:after="0"/>
              <w:ind w:firstLine="0"/>
              <w:jc w:val="left"/>
            </w:pPr>
            <w:r>
              <w:rPr>
                <w:rFonts w:ascii="Times New Roman" w:hAnsi="Times New Roman"/>
                <w:sz w:val="24"/>
                <w:szCs w:val="24"/>
              </w:rPr>
              <w:t xml:space="preserve">2 522</w:t>
            </w:r>
          </w:p>
        </w:tc>
        <w:tc>
          <w:tcPr>
            <w:tcW w:w="1927" w:type="dxa"/>
          </w:tcPr>
          <w:p>
            <w:pPr>
              <w:spacing w:line="240" w:lineRule="auto" w:before="0" w:after="0"/>
              <w:ind w:firstLine="0"/>
              <w:jc w:val="left"/>
            </w:pPr>
            <w:r>
              <w:rPr>
                <w:rFonts w:ascii="Times New Roman" w:hAnsi="Times New Roman"/>
                <w:sz w:val="24"/>
                <w:szCs w:val="24"/>
              </w:rPr>
              <w:t xml:space="preserve">2 948</w:t>
            </w:r>
          </w:p>
        </w:tc>
      </w:tr>
      <w:tr>
        <w:tc>
          <w:tcPr>
            <w:tcW w:w="1927" w:type="dxa"/>
          </w:tcPr>
          <w:p>
            <w:pPr>
              <w:spacing w:line="240" w:lineRule="auto" w:before="0" w:after="0"/>
              <w:ind w:firstLine="0"/>
              <w:jc w:val="left"/>
            </w:pPr>
            <w:r>
              <w:rPr>
                <w:rFonts w:ascii="Times New Roman" w:hAnsi="Times New Roman"/>
                <w:sz w:val="24"/>
                <w:szCs w:val="24"/>
              </w:rPr>
              <w:t xml:space="preserve">6</w:t>
            </w:r>
          </w:p>
        </w:tc>
        <w:tc>
          <w:tcPr>
            <w:tcW w:w="1927" w:type="dxa"/>
          </w:tcPr>
          <w:p>
            <w:pPr>
              <w:spacing w:line="240" w:lineRule="auto" w:before="0" w:after="0"/>
              <w:ind w:firstLine="0"/>
              <w:jc w:val="left"/>
            </w:pPr>
            <w:r>
              <w:rPr>
                <w:rFonts w:ascii="Times New Roman" w:hAnsi="Times New Roman"/>
                <w:sz w:val="24"/>
                <w:szCs w:val="24"/>
              </w:rPr>
              <w:t xml:space="preserve">Чистые комиссионные доходы</w:t>
            </w:r>
          </w:p>
        </w:tc>
        <w:tc>
          <w:tcPr>
            <w:tcW w:w="1927" w:type="dxa"/>
          </w:tcPr>
          <w:p>
            <w:pPr>
              <w:spacing w:line="240" w:lineRule="auto" w:before="0" w:after="0"/>
              <w:ind w:firstLine="0"/>
              <w:jc w:val="left"/>
            </w:pPr>
            <w:r>
              <w:rPr>
                <w:rFonts w:ascii="Times New Roman" w:hAnsi="Times New Roman"/>
                <w:sz w:val="24"/>
                <w:szCs w:val="24"/>
              </w:rPr>
              <w:t xml:space="preserve">697</w:t>
            </w:r>
          </w:p>
        </w:tc>
        <w:tc>
          <w:tcPr>
            <w:tcW w:w="1927" w:type="dxa"/>
          </w:tcPr>
          <w:p>
            <w:pPr>
              <w:spacing w:line="240" w:lineRule="auto" w:before="0" w:after="0"/>
              <w:ind w:firstLine="0"/>
              <w:jc w:val="left"/>
            </w:pPr>
            <w:r>
              <w:rPr>
                <w:rFonts w:ascii="Times New Roman" w:hAnsi="Times New Roman"/>
                <w:sz w:val="24"/>
                <w:szCs w:val="24"/>
              </w:rPr>
              <w:t xml:space="preserve">764</w:t>
            </w:r>
          </w:p>
        </w:tc>
        <w:tc>
          <w:tcPr>
            <w:tcW w:w="1927" w:type="dxa"/>
          </w:tcPr>
          <w:p>
            <w:pPr>
              <w:spacing w:line="240" w:lineRule="auto" w:before="0" w:after="0"/>
              <w:ind w:firstLine="0"/>
              <w:jc w:val="left"/>
            </w:pPr>
            <w:r>
              <w:rPr>
                <w:rFonts w:ascii="Times New Roman" w:hAnsi="Times New Roman"/>
                <w:sz w:val="24"/>
                <w:szCs w:val="24"/>
              </w:rPr>
              <w:t xml:space="preserve">843</w:t>
            </w:r>
          </w:p>
        </w:tc>
      </w:tr>
      <w:tr>
        <w:tc>
          <w:tcPr>
            <w:tcW w:w="1927" w:type="dxa"/>
          </w:tcPr>
          <w:p>
            <w:pPr>
              <w:spacing w:line="240" w:lineRule="auto" w:before="0" w:after="0"/>
              <w:ind w:firstLine="0"/>
              <w:jc w:val="left"/>
            </w:pPr>
            <w:r>
              <w:rPr>
                <w:rFonts w:ascii="Times New Roman" w:hAnsi="Times New Roman"/>
                <w:sz w:val="24"/>
                <w:szCs w:val="24"/>
              </w:rPr>
              <w:t xml:space="preserve">7</w:t>
            </w:r>
          </w:p>
        </w:tc>
        <w:tc>
          <w:tcPr>
            <w:tcW w:w="1927" w:type="dxa"/>
          </w:tcPr>
          <w:p>
            <w:pPr>
              <w:spacing w:line="240" w:lineRule="auto" w:before="0" w:after="0"/>
              <w:ind w:firstLine="0"/>
              <w:jc w:val="left"/>
            </w:pPr>
            <w:r>
              <w:rPr>
                <w:rFonts w:ascii="Times New Roman" w:hAnsi="Times New Roman"/>
                <w:sz w:val="24"/>
                <w:szCs w:val="24"/>
              </w:rPr>
              <w:t xml:space="preserve">в т. ч. от расчётно-кассового обслуживания и переводов</w:t>
            </w:r>
          </w:p>
        </w:tc>
        <w:tc>
          <w:tcPr>
            <w:tcW w:w="1927" w:type="dxa"/>
          </w:tcPr>
          <w:p>
            <w:pPr>
              <w:spacing w:line="240" w:lineRule="auto" w:before="0" w:after="0"/>
              <w:ind w:firstLine="0"/>
              <w:jc w:val="left"/>
            </w:pPr>
            <w:r>
              <w:rPr>
                <w:rFonts w:ascii="Times New Roman" w:hAnsi="Times New Roman"/>
                <w:sz w:val="24"/>
                <w:szCs w:val="24"/>
              </w:rPr>
              <w:t xml:space="preserve">351</w:t>
            </w:r>
          </w:p>
        </w:tc>
        <w:tc>
          <w:tcPr>
            <w:tcW w:w="1927" w:type="dxa"/>
          </w:tcPr>
          <w:p>
            <w:pPr>
              <w:spacing w:line="240" w:lineRule="auto" w:before="0" w:after="0"/>
              <w:ind w:firstLine="0"/>
              <w:jc w:val="left"/>
            </w:pPr>
            <w:r>
              <w:rPr>
                <w:rFonts w:ascii="Times New Roman" w:hAnsi="Times New Roman"/>
                <w:sz w:val="24"/>
                <w:szCs w:val="24"/>
              </w:rPr>
              <w:t xml:space="preserve">389</w:t>
            </w:r>
          </w:p>
        </w:tc>
        <w:tc>
          <w:tcPr>
            <w:tcW w:w="1927" w:type="dxa"/>
          </w:tcPr>
          <w:p>
            <w:pPr>
              <w:spacing w:line="240" w:lineRule="auto" w:before="0" w:after="0"/>
              <w:ind w:firstLine="0"/>
              <w:jc w:val="left"/>
            </w:pPr>
            <w:r>
              <w:rPr>
                <w:rFonts w:ascii="Times New Roman" w:hAnsi="Times New Roman"/>
                <w:sz w:val="24"/>
                <w:szCs w:val="24"/>
              </w:rPr>
              <w:t xml:space="preserve">436,5</w:t>
            </w:r>
          </w:p>
        </w:tc>
      </w:tr>
      <w:tr>
        <w:tc>
          <w:tcPr>
            <w:tcW w:w="1927" w:type="dxa"/>
          </w:tcPr>
          <w:p>
            <w:pPr>
              <w:spacing w:line="240" w:lineRule="auto" w:before="0" w:after="0"/>
              <w:ind w:firstLine="0"/>
              <w:jc w:val="left"/>
            </w:pPr>
            <w:r>
              <w:rPr>
                <w:rFonts w:ascii="Times New Roman" w:hAnsi="Times New Roman"/>
                <w:sz w:val="24"/>
                <w:szCs w:val="24"/>
              </w:rPr>
              <w:t xml:space="preserve">8</w:t>
            </w:r>
          </w:p>
        </w:tc>
        <w:tc>
          <w:tcPr>
            <w:tcW w:w="1927" w:type="dxa"/>
          </w:tcPr>
          <w:p>
            <w:pPr>
              <w:spacing w:line="240" w:lineRule="auto" w:before="0" w:after="0"/>
              <w:ind w:firstLine="0"/>
              <w:jc w:val="left"/>
            </w:pPr>
            <w:r>
              <w:rPr>
                <w:rFonts w:ascii="Times New Roman" w:hAnsi="Times New Roman"/>
                <w:sz w:val="24"/>
                <w:szCs w:val="24"/>
              </w:rPr>
              <w:t xml:space="preserve">Чистый доход от операций с финансовыми инструментами и валютой</w:t>
            </w:r>
          </w:p>
        </w:tc>
        <w:tc>
          <w:tcPr>
            <w:tcW w:w="1927" w:type="dxa"/>
          </w:tcPr>
          <w:p>
            <w:pPr>
              <w:spacing w:line="240" w:lineRule="auto" w:before="0" w:after="0"/>
              <w:ind w:firstLine="0"/>
              <w:jc w:val="left"/>
            </w:pPr>
            <w:r>
              <w:rPr>
                <w:rFonts w:ascii="Times New Roman" w:hAnsi="Times New Roman"/>
                <w:sz w:val="24"/>
                <w:szCs w:val="24"/>
              </w:rPr>
              <w:t xml:space="preserve">85</w:t>
            </w:r>
          </w:p>
        </w:tc>
        <w:tc>
          <w:tcPr>
            <w:tcW w:w="1927" w:type="dxa"/>
          </w:tcPr>
          <w:p>
            <w:pPr>
              <w:spacing w:line="240" w:lineRule="auto" w:before="0" w:after="0"/>
              <w:ind w:firstLine="0"/>
              <w:jc w:val="left"/>
            </w:pPr>
            <w:r>
              <w:rPr>
                <w:rFonts w:ascii="Times New Roman" w:hAnsi="Times New Roman"/>
                <w:sz w:val="24"/>
                <w:szCs w:val="24"/>
              </w:rPr>
              <w:t xml:space="preserve">106</w:t>
            </w:r>
          </w:p>
        </w:tc>
        <w:tc>
          <w:tcPr>
            <w:tcW w:w="1927" w:type="dxa"/>
          </w:tcPr>
          <w:p>
            <w:pPr>
              <w:spacing w:line="240" w:lineRule="auto" w:before="0" w:after="0"/>
              <w:ind w:firstLine="0"/>
              <w:jc w:val="left"/>
            </w:pPr>
            <w:r>
              <w:rPr>
                <w:rFonts w:ascii="Times New Roman" w:hAnsi="Times New Roman"/>
                <w:sz w:val="24"/>
                <w:szCs w:val="24"/>
              </w:rPr>
              <w:t xml:space="preserve">127</w:t>
            </w:r>
          </w:p>
        </w:tc>
      </w:tr>
      <w:tr>
        <w:tc>
          <w:tcPr>
            <w:tcW w:w="1927" w:type="dxa"/>
          </w:tcPr>
          <w:p>
            <w:pPr>
              <w:spacing w:line="240" w:lineRule="auto" w:before="0" w:after="0"/>
              <w:ind w:firstLine="0"/>
              <w:jc w:val="left"/>
            </w:pPr>
            <w:r>
              <w:rPr>
                <w:rFonts w:ascii="Times New Roman" w:hAnsi="Times New Roman"/>
                <w:sz w:val="24"/>
                <w:szCs w:val="24"/>
              </w:rPr>
              <w:t xml:space="preserve">9</w:t>
            </w:r>
          </w:p>
        </w:tc>
        <w:tc>
          <w:tcPr>
            <w:tcW w:w="1927" w:type="dxa"/>
          </w:tcPr>
          <w:p>
            <w:pPr>
              <w:spacing w:line="240" w:lineRule="auto" w:before="0" w:after="0"/>
              <w:ind w:firstLine="0"/>
              <w:jc w:val="left"/>
            </w:pPr>
            <w:r>
              <w:rPr>
                <w:rFonts w:ascii="Times New Roman" w:hAnsi="Times New Roman"/>
                <w:sz w:val="24"/>
                <w:szCs w:val="24"/>
              </w:rPr>
              <w:t xml:space="preserve">Прочие операционные доходы</w:t>
            </w:r>
          </w:p>
        </w:tc>
        <w:tc>
          <w:tcPr>
            <w:tcW w:w="1927" w:type="dxa"/>
          </w:tcPr>
          <w:p>
            <w:pPr>
              <w:spacing w:line="240" w:lineRule="auto" w:before="0" w:after="0"/>
              <w:ind w:firstLine="0"/>
              <w:jc w:val="left"/>
            </w:pPr>
            <w:r>
              <w:rPr>
                <w:rFonts w:ascii="Times New Roman" w:hAnsi="Times New Roman"/>
                <w:sz w:val="24"/>
                <w:szCs w:val="24"/>
              </w:rPr>
              <w:t xml:space="preserve">54</w:t>
            </w:r>
          </w:p>
        </w:tc>
        <w:tc>
          <w:tcPr>
            <w:tcW w:w="1927" w:type="dxa"/>
          </w:tcPr>
          <w:p>
            <w:pPr>
              <w:spacing w:line="240" w:lineRule="auto" w:before="0" w:after="0"/>
              <w:ind w:firstLine="0"/>
              <w:jc w:val="left"/>
            </w:pPr>
            <w:r>
              <w:rPr>
                <w:rFonts w:ascii="Times New Roman" w:hAnsi="Times New Roman"/>
                <w:sz w:val="24"/>
                <w:szCs w:val="24"/>
              </w:rPr>
              <w:t xml:space="preserve">72</w:t>
            </w:r>
          </w:p>
        </w:tc>
        <w:tc>
          <w:tcPr>
            <w:tcW w:w="1927" w:type="dxa"/>
          </w:tcPr>
          <w:p>
            <w:pPr>
              <w:spacing w:line="240" w:lineRule="auto" w:before="0" w:after="0"/>
              <w:ind w:firstLine="0"/>
              <w:jc w:val="left"/>
            </w:pPr>
            <w:r>
              <w:rPr>
                <w:rFonts w:ascii="Times New Roman" w:hAnsi="Times New Roman"/>
                <w:sz w:val="24"/>
                <w:szCs w:val="24"/>
              </w:rPr>
              <w:t xml:space="preserve">91</w:t>
            </w:r>
          </w:p>
        </w:tc>
      </w:tr>
      <w:tr>
        <w:tc>
          <w:tcPr>
            <w:tcW w:w="1927" w:type="dxa"/>
          </w:tcPr>
          <w:p>
            <w:pPr>
              <w:spacing w:line="240" w:lineRule="auto" w:before="0" w:after="0"/>
              <w:ind w:firstLine="0"/>
              <w:jc w:val="left"/>
            </w:pPr>
            <w:r>
              <w:rPr>
                <w:rFonts w:ascii="Times New Roman" w:hAnsi="Times New Roman"/>
                <w:sz w:val="24"/>
                <w:szCs w:val="24"/>
              </w:rPr>
              <w:t xml:space="preserve">10</w:t>
            </w:r>
          </w:p>
        </w:tc>
        <w:tc>
          <w:tcPr>
            <w:tcW w:w="1927" w:type="dxa"/>
          </w:tcPr>
          <w:p>
            <w:pPr>
              <w:spacing w:line="240" w:lineRule="auto" w:before="0" w:after="0"/>
              <w:ind w:firstLine="0"/>
              <w:jc w:val="left"/>
            </w:pPr>
            <w:r>
              <w:rPr>
                <w:rFonts w:ascii="Times New Roman" w:hAnsi="Times New Roman"/>
                <w:sz w:val="24"/>
                <w:szCs w:val="24"/>
              </w:rPr>
              <w:t xml:space="preserve">Операционные расходы</w:t>
            </w:r>
          </w:p>
        </w:tc>
        <w:tc>
          <w:tcPr>
            <w:tcW w:w="1927" w:type="dxa"/>
          </w:tcPr>
          <w:p>
            <w:pPr>
              <w:spacing w:line="240" w:lineRule="auto" w:before="0" w:after="0"/>
              <w:ind w:firstLine="0"/>
              <w:jc w:val="left"/>
            </w:pPr>
            <w:r>
              <w:rPr>
                <w:rFonts w:ascii="Times New Roman" w:hAnsi="Times New Roman"/>
                <w:sz w:val="24"/>
                <w:szCs w:val="24"/>
              </w:rPr>
              <w:t xml:space="preserve">(937)</w:t>
            </w:r>
          </w:p>
        </w:tc>
        <w:tc>
          <w:tcPr>
            <w:tcW w:w="1927" w:type="dxa"/>
          </w:tcPr>
          <w:p>
            <w:pPr>
              <w:spacing w:line="240" w:lineRule="auto" w:before="0" w:after="0"/>
              <w:ind w:firstLine="0"/>
              <w:jc w:val="left"/>
            </w:pPr>
            <w:r>
              <w:rPr>
                <w:rFonts w:ascii="Times New Roman" w:hAnsi="Times New Roman"/>
                <w:sz w:val="24"/>
                <w:szCs w:val="24"/>
              </w:rPr>
              <w:t xml:space="preserve">(1 152)</w:t>
            </w:r>
          </w:p>
        </w:tc>
        <w:tc>
          <w:tcPr>
            <w:tcW w:w="1927" w:type="dxa"/>
          </w:tcPr>
          <w:p>
            <w:pPr>
              <w:spacing w:line="240" w:lineRule="auto" w:before="0" w:after="0"/>
              <w:ind w:firstLine="0"/>
              <w:jc w:val="left"/>
            </w:pPr>
            <w:r>
              <w:rPr>
                <w:rFonts w:ascii="Times New Roman" w:hAnsi="Times New Roman"/>
                <w:sz w:val="24"/>
                <w:szCs w:val="24"/>
              </w:rPr>
              <w:t xml:space="preserve">(1 287)</w:t>
            </w:r>
          </w:p>
        </w:tc>
      </w:tr>
      <w:tr>
        <w:tc>
          <w:tcPr>
            <w:tcW w:w="1927" w:type="dxa"/>
          </w:tcPr>
          <w:p>
            <w:pPr>
              <w:spacing w:line="240" w:lineRule="auto" w:before="0" w:after="0"/>
              <w:ind w:firstLine="0"/>
              <w:jc w:val="left"/>
            </w:pPr>
            <w:r>
              <w:rPr>
                <w:rFonts w:ascii="Times New Roman" w:hAnsi="Times New Roman"/>
                <w:sz w:val="24"/>
                <w:szCs w:val="24"/>
              </w:rPr>
              <w:t xml:space="preserve">11</w:t>
            </w:r>
          </w:p>
        </w:tc>
        <w:tc>
          <w:tcPr>
            <w:tcW w:w="1927" w:type="dxa"/>
          </w:tcPr>
          <w:p>
            <w:pPr>
              <w:spacing w:line="240" w:lineRule="auto" w:before="0" w:after="0"/>
              <w:ind w:firstLine="0"/>
              <w:jc w:val="left"/>
            </w:pPr>
            <w:r>
              <w:rPr>
                <w:rFonts w:ascii="Times New Roman" w:hAnsi="Times New Roman"/>
                <w:sz w:val="24"/>
                <w:szCs w:val="24"/>
              </w:rPr>
              <w:t xml:space="preserve">Прибыль до налогообложения</w:t>
            </w:r>
          </w:p>
        </w:tc>
        <w:tc>
          <w:tcPr>
            <w:tcW w:w="1927" w:type="dxa"/>
          </w:tcPr>
          <w:p>
            <w:pPr>
              <w:spacing w:line="240" w:lineRule="auto" w:before="0" w:after="0"/>
              <w:ind w:firstLine="0"/>
              <w:jc w:val="left"/>
            </w:pPr>
            <w:r>
              <w:rPr>
                <w:rFonts w:ascii="Times New Roman" w:hAnsi="Times New Roman"/>
                <w:sz w:val="24"/>
                <w:szCs w:val="24"/>
              </w:rPr>
              <w:t xml:space="preserve">219</w:t>
            </w:r>
          </w:p>
        </w:tc>
        <w:tc>
          <w:tcPr>
            <w:tcW w:w="1927" w:type="dxa"/>
          </w:tcPr>
          <w:p>
            <w:pPr>
              <w:spacing w:line="240" w:lineRule="auto" w:before="0" w:after="0"/>
              <w:ind w:firstLine="0"/>
              <w:jc w:val="left"/>
            </w:pPr>
            <w:r>
              <w:rPr>
                <w:rFonts w:ascii="Times New Roman" w:hAnsi="Times New Roman"/>
                <w:sz w:val="24"/>
                <w:szCs w:val="24"/>
              </w:rPr>
              <w:t xml:space="preserve">2 312</w:t>
            </w:r>
          </w:p>
        </w:tc>
        <w:tc>
          <w:tcPr>
            <w:tcW w:w="1927" w:type="dxa"/>
          </w:tcPr>
          <w:p>
            <w:pPr>
              <w:spacing w:line="240" w:lineRule="auto" w:before="0" w:after="0"/>
              <w:ind w:firstLine="0"/>
              <w:jc w:val="left"/>
            </w:pPr>
            <w:r>
              <w:rPr>
                <w:rFonts w:ascii="Times New Roman" w:hAnsi="Times New Roman"/>
                <w:sz w:val="24"/>
                <w:szCs w:val="24"/>
              </w:rPr>
              <w:t xml:space="preserve">2 722</w:t>
            </w:r>
          </w:p>
        </w:tc>
      </w:tr>
      <w:tr>
        <w:tc>
          <w:tcPr>
            <w:tcW w:w="1927" w:type="dxa"/>
          </w:tcPr>
          <w:p>
            <w:pPr>
              <w:spacing w:line="240" w:lineRule="auto" w:before="0" w:after="0"/>
              <w:ind w:firstLine="0"/>
              <w:jc w:val="left"/>
            </w:pPr>
            <w:r>
              <w:rPr>
                <w:rFonts w:ascii="Times New Roman" w:hAnsi="Times New Roman"/>
                <w:sz w:val="24"/>
                <w:szCs w:val="24"/>
              </w:rPr>
              <w:t xml:space="preserve">12</w:t>
            </w:r>
          </w:p>
        </w:tc>
        <w:tc>
          <w:tcPr>
            <w:tcW w:w="1927" w:type="dxa"/>
          </w:tcPr>
          <w:p>
            <w:pPr>
              <w:spacing w:line="240" w:lineRule="auto" w:before="0" w:after="0"/>
              <w:ind w:firstLine="0"/>
              <w:jc w:val="left"/>
            </w:pPr>
            <w:r>
              <w:rPr>
                <w:rFonts w:ascii="Times New Roman" w:hAnsi="Times New Roman"/>
                <w:sz w:val="24"/>
                <w:szCs w:val="24"/>
              </w:rPr>
              <w:t xml:space="preserve">Расход по налогу на прибыль</w:t>
            </w:r>
          </w:p>
        </w:tc>
        <w:tc>
          <w:tcPr>
            <w:tcW w:w="1927" w:type="dxa"/>
          </w:tcPr>
          <w:p>
            <w:pPr>
              <w:spacing w:line="240" w:lineRule="auto" w:before="0" w:after="0"/>
              <w:ind w:firstLine="0"/>
              <w:jc w:val="left"/>
            </w:pPr>
            <w:r>
              <w:rPr>
                <w:rFonts w:ascii="Times New Roman" w:hAnsi="Times New Roman"/>
                <w:sz w:val="24"/>
                <w:szCs w:val="24"/>
              </w:rPr>
              <w:t xml:space="preserve">51</w:t>
            </w:r>
          </w:p>
        </w:tc>
        <w:tc>
          <w:tcPr>
            <w:tcW w:w="1927" w:type="dxa"/>
          </w:tcPr>
          <w:p>
            <w:pPr>
              <w:spacing w:line="240" w:lineRule="auto" w:before="0" w:after="0"/>
              <w:ind w:firstLine="0"/>
              <w:jc w:val="left"/>
            </w:pPr>
            <w:r>
              <w:rPr>
                <w:rFonts w:ascii="Times New Roman" w:hAnsi="Times New Roman"/>
                <w:sz w:val="24"/>
                <w:szCs w:val="24"/>
              </w:rPr>
              <w:t xml:space="preserve">(483)</w:t>
            </w:r>
          </w:p>
        </w:tc>
        <w:tc>
          <w:tcPr>
            <w:tcW w:w="1927" w:type="dxa"/>
          </w:tcPr>
          <w:p>
            <w:pPr>
              <w:spacing w:line="240" w:lineRule="auto" w:before="0" w:after="0"/>
              <w:ind w:firstLine="0"/>
              <w:jc w:val="left"/>
            </w:pPr>
            <w:r>
              <w:rPr>
                <w:rFonts w:ascii="Times New Roman" w:hAnsi="Times New Roman"/>
                <w:sz w:val="24"/>
                <w:szCs w:val="24"/>
              </w:rPr>
              <w:t xml:space="preserve">(567)</w:t>
            </w:r>
          </w:p>
        </w:tc>
      </w:tr>
      <w:tr>
        <w:tc>
          <w:tcPr>
            <w:tcW w:w="1927" w:type="dxa"/>
          </w:tcPr>
          <w:p>
            <w:pPr>
              <w:spacing w:line="240" w:lineRule="auto" w:before="0" w:after="0"/>
              <w:ind w:firstLine="0"/>
              <w:jc w:val="left"/>
            </w:pPr>
            <w:r>
              <w:rPr>
                <w:rFonts w:ascii="Times New Roman" w:hAnsi="Times New Roman"/>
                <w:sz w:val="24"/>
                <w:szCs w:val="24"/>
              </w:rPr>
              <w:t xml:space="preserve">13</w:t>
            </w:r>
          </w:p>
        </w:tc>
        <w:tc>
          <w:tcPr>
            <w:tcW w:w="1927" w:type="dxa"/>
          </w:tcPr>
          <w:p>
            <w:pPr>
              <w:spacing w:line="240" w:lineRule="auto" w:before="0" w:after="0"/>
              <w:ind w:firstLine="0"/>
              <w:jc w:val="left"/>
            </w:pPr>
            <w:r>
              <w:rPr>
                <w:rFonts w:ascii="Times New Roman" w:hAnsi="Times New Roman"/>
                <w:sz w:val="24"/>
                <w:szCs w:val="24"/>
              </w:rPr>
              <w:t xml:space="preserve">Прибыль за вычетом доли неконтролирующих участников</w:t>
            </w:r>
          </w:p>
        </w:tc>
        <w:tc>
          <w:tcPr>
            <w:tcW w:w="1927" w:type="dxa"/>
          </w:tcPr>
          <w:p>
            <w:pPr>
              <w:spacing w:line="240" w:lineRule="auto" w:before="0" w:after="0"/>
              <w:ind w:firstLine="0"/>
              <w:jc w:val="left"/>
            </w:pPr>
            <w:r>
              <w:rPr>
                <w:rFonts w:ascii="Times New Roman" w:hAnsi="Times New Roman"/>
                <w:sz w:val="24"/>
                <w:szCs w:val="24"/>
              </w:rPr>
              <w:t xml:space="preserve">(270)</w:t>
            </w:r>
          </w:p>
        </w:tc>
        <w:tc>
          <w:tcPr>
            <w:tcW w:w="1927" w:type="dxa"/>
          </w:tcPr>
          <w:p>
            <w:pPr>
              <w:spacing w:line="240" w:lineRule="auto" w:before="0" w:after="0"/>
              <w:ind w:firstLine="0"/>
              <w:jc w:val="left"/>
            </w:pPr>
            <w:r>
              <w:rPr>
                <w:rFonts w:ascii="Times New Roman" w:hAnsi="Times New Roman"/>
                <w:sz w:val="24"/>
                <w:szCs w:val="24"/>
              </w:rPr>
              <w:t xml:space="preserve">320</w:t>
            </w:r>
          </w:p>
        </w:tc>
        <w:tc>
          <w:tcPr>
            <w:tcW w:w="1927" w:type="dxa"/>
          </w:tcPr>
          <w:p>
            <w:pPr>
              <w:spacing w:line="240" w:lineRule="auto" w:before="0" w:after="0"/>
              <w:ind w:firstLine="0"/>
              <w:jc w:val="left"/>
            </w:pPr>
            <w:r>
              <w:rPr>
                <w:rFonts w:ascii="Times New Roman" w:hAnsi="Times New Roman"/>
                <w:sz w:val="24"/>
                <w:szCs w:val="24"/>
              </w:rPr>
              <w:t xml:space="preserve">(575)</w:t>
            </w:r>
          </w:p>
        </w:tc>
      </w:tr>
      <w:tr>
        <w:tc>
          <w:tcPr>
            <w:tcW w:w="1927" w:type="dxa"/>
          </w:tcPr>
          <w:p>
            <w:pPr>
              <w:spacing w:line="240" w:lineRule="auto" w:before="0" w:after="0"/>
              <w:ind w:firstLine="0"/>
              <w:jc w:val="left"/>
            </w:pPr>
            <w:r>
              <w:rPr>
                <w:rFonts w:ascii="Times New Roman" w:hAnsi="Times New Roman"/>
                <w:sz w:val="24"/>
                <w:szCs w:val="24"/>
              </w:rPr>
              <w:t xml:space="preserve">14</w:t>
            </w:r>
          </w:p>
        </w:tc>
        <w:tc>
          <w:tcPr>
            <w:tcW w:w="1927" w:type="dxa"/>
          </w:tcPr>
          <w:p>
            <w:pPr>
              <w:spacing w:line="240" w:lineRule="auto" w:before="0" w:after="0"/>
              <w:ind w:firstLine="0"/>
              <w:jc w:val="left"/>
            </w:pPr>
            <w:r>
              <w:rPr>
                <w:rFonts w:ascii="Times New Roman" w:hAnsi="Times New Roman"/>
                <w:sz w:val="24"/>
                <w:szCs w:val="24"/>
                <w:b/>
                <w:bCs/>
              </w:rPr>
              <w:t xml:space="preserve">Чистая прибыль</w:t>
            </w:r>
          </w:p>
        </w:tc>
        <w:tc>
          <w:tcPr>
            <w:tcW w:w="1927" w:type="dxa"/>
          </w:tcPr>
          <w:p>
            <w:pPr>
              <w:spacing w:line="240" w:lineRule="auto" w:before="0" w:after="0"/>
              <w:ind w:firstLine="0"/>
              <w:jc w:val="left"/>
            </w:pPr>
            <w:r>
              <w:rPr>
                <w:rFonts w:ascii="Times New Roman" w:hAnsi="Times New Roman"/>
                <w:sz w:val="24"/>
                <w:szCs w:val="24"/>
                <w:b/>
                <w:bCs/>
              </w:rPr>
              <w:t xml:space="preserve">270</w:t>
            </w:r>
          </w:p>
        </w:tc>
        <w:tc>
          <w:tcPr>
            <w:tcW w:w="1927" w:type="dxa"/>
          </w:tcPr>
          <w:p>
            <w:pPr>
              <w:spacing w:line="240" w:lineRule="auto" w:before="0" w:after="0"/>
              <w:ind w:firstLine="0"/>
              <w:jc w:val="left"/>
            </w:pPr>
            <w:r>
              <w:rPr>
                <w:rFonts w:ascii="Times New Roman" w:hAnsi="Times New Roman"/>
                <w:sz w:val="24"/>
                <w:szCs w:val="24"/>
                <w:b/>
                <w:bCs/>
              </w:rPr>
              <w:t xml:space="preserve">1 509</w:t>
            </w:r>
          </w:p>
        </w:tc>
        <w:tc>
          <w:tcPr>
            <w:tcW w:w="1927" w:type="dxa"/>
          </w:tcPr>
          <w:p>
            <w:pPr>
              <w:spacing w:line="240" w:lineRule="auto" w:before="0" w:after="0"/>
              <w:ind w:firstLine="0"/>
              <w:jc w:val="left"/>
            </w:pPr>
            <w:r>
              <w:rPr>
                <w:rFonts w:ascii="Times New Roman" w:hAnsi="Times New Roman"/>
                <w:sz w:val="24"/>
                <w:szCs w:val="24"/>
                <w:b/>
                <w:bCs/>
              </w:rPr>
              <w:t xml:space="preserve">1 580</w:t>
            </w:r>
          </w:p>
        </w:tc>
      </w:tr>
    </w:tbl>
    <w:p>
      <w:pPr>
        <w:ind w:firstLine="0"/>
      </w:pPr>
    </w:p>
    <w:p>
      <w:pPr>
        <w:spacing w:line="360" w:lineRule="auto" w:before="60" w:after="120"/>
        <w:ind w:firstLine="0"/>
        <w:jc w:val="left"/>
      </w:pPr>
      <w:r>
        <w:rPr>
          <w:i/>
          <w:iCs/>
        </w:rPr>
        <w:t xml:space="preserve">Источник: годовая консолидированная финансовая отчётность ПАО «Сбербанк» по МСФО за 2022, 2023, 2024 гг.</w:t>
      </w:r>
    </w:p>
    <w:p>
      <w:pPr>
        <w:spacing w:line="360" w:lineRule="auto" w:before="60" w:after="60"/>
        <w:jc w:val="both"/>
      </w:pPr>
      <w:r>
        <w:rPr>
          <w:i/>
          <w:iCs/>
        </w:rPr>
        <w:t xml:space="preserve">Примечание. Отрицательные значения по строке 13 в 2022 и 2024 гг. отражают долю прибыли, относимую на неконтролирующих участников дочерних обществ.</w:t>
      </w:r>
    </w:p>
    <w:p>
      <w:pPr>
        <w:pStyle w:val="Heading1"/>
        <w:pageBreakBefore/>
        <w:ind w:firstLine="0"/>
        <w:jc w:val="center"/>
      </w:pPr>
      <w:r>
        <w:rPr>
          <w:b/>
          <w:bCs/>
        </w:rPr>
        <w:t xml:space="preserve">ПРИЛОЖЕНИЕ Г</w:t>
      </w:r>
    </w:p>
    <w:p>
      <w:pPr>
        <w:jc w:val="both"/>
      </w:pPr>
      <w:r>
        <w:t xml:space="preserve">Динамика операций ПАО «Сбербанк» в Системе быстрых платежей за 2022–2024 гг.</w:t>
      </w:r>
    </w:p>
    <w:p>
      <w:pPr>
        <w:spacing w:line="360" w:lineRule="auto" w:before="120" w:after="60"/>
        <w:ind w:firstLine="0"/>
        <w:jc w:val="left"/>
      </w:pPr>
      <w:r>
        <w:t xml:space="preserve">Таблица Г.1 — Динамика операций ПАО «Сбербанк» в Системе быстрых платежей в разрезе кварталов, 2022–2024 гг., млн операций</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1204"/>
        <w:gridCol w:w="1204"/>
        <w:gridCol w:w="1204"/>
        <w:gridCol w:w="1204"/>
        <w:gridCol w:w="1204"/>
        <w:gridCol w:w="1204"/>
        <w:gridCol w:w="1204"/>
        <w:gridCol w:w="1204"/>
      </w:tblGrid>
      <w:tr>
        <w:trPr>
          <w:tblHeader/>
        </w:trPr>
        <w:tc>
          <w:tcPr>
            <w:tcW w:w="1204" w:type="dxa"/>
          </w:tcPr>
          <w:p>
            <w:pPr>
              <w:spacing w:line="240" w:lineRule="auto" w:before="0" w:after="0"/>
              <w:ind w:firstLine="0"/>
              <w:jc w:val="center"/>
            </w:pPr>
            <w:r>
              <w:rPr>
                <w:rFonts w:ascii="Times New Roman" w:hAnsi="Times New Roman"/>
                <w:sz w:val="24"/>
                <w:szCs w:val="24"/>
                <w:b/>
                <w:bCs/>
              </w:rPr>
              <w:t xml:space="preserve">Период</w:t>
            </w:r>
          </w:p>
        </w:tc>
        <w:tc>
          <w:tcPr>
            <w:tcW w:w="1204" w:type="dxa"/>
          </w:tcPr>
          <w:p>
            <w:pPr>
              <w:spacing w:line="240" w:lineRule="auto" w:before="0" w:after="0"/>
              <w:ind w:firstLine="0"/>
              <w:jc w:val="center"/>
            </w:pPr>
            <w:r>
              <w:rPr>
                <w:rFonts w:ascii="Times New Roman" w:hAnsi="Times New Roman"/>
                <w:sz w:val="24"/>
                <w:szCs w:val="24"/>
                <w:b/>
                <w:bCs/>
              </w:rPr>
              <w:t xml:space="preserve">C2C</w:t>
            </w:r>
          </w:p>
        </w:tc>
        <w:tc>
          <w:tcPr>
            <w:tcW w:w="1204" w:type="dxa"/>
          </w:tcPr>
          <w:p>
            <w:pPr>
              <w:spacing w:line="240" w:lineRule="auto" w:before="0" w:after="0"/>
              <w:ind w:firstLine="0"/>
              <w:jc w:val="center"/>
            </w:pPr>
            <w:r>
              <w:rPr>
                <w:rFonts w:ascii="Times New Roman" w:hAnsi="Times New Roman"/>
                <w:sz w:val="24"/>
                <w:szCs w:val="24"/>
                <w:b/>
                <w:bCs/>
              </w:rPr>
              <w:t xml:space="preserve">Me2Me</w:t>
            </w:r>
          </w:p>
        </w:tc>
        <w:tc>
          <w:tcPr>
            <w:tcW w:w="1204" w:type="dxa"/>
          </w:tcPr>
          <w:p>
            <w:pPr>
              <w:spacing w:line="240" w:lineRule="auto" w:before="0" w:after="0"/>
              <w:ind w:firstLine="0"/>
              <w:jc w:val="center"/>
            </w:pPr>
            <w:r>
              <w:rPr>
                <w:rFonts w:ascii="Times New Roman" w:hAnsi="Times New Roman"/>
                <w:sz w:val="24"/>
                <w:szCs w:val="24"/>
                <w:b/>
                <w:bCs/>
              </w:rPr>
              <w:t xml:space="preserve">C2B</w:t>
            </w:r>
          </w:p>
        </w:tc>
        <w:tc>
          <w:tcPr>
            <w:tcW w:w="1204" w:type="dxa"/>
          </w:tcPr>
          <w:p>
            <w:pPr>
              <w:spacing w:line="240" w:lineRule="auto" w:before="0" w:after="0"/>
              <w:ind w:firstLine="0"/>
              <w:jc w:val="center"/>
            </w:pPr>
            <w:r>
              <w:rPr>
                <w:rFonts w:ascii="Times New Roman" w:hAnsi="Times New Roman"/>
                <w:sz w:val="24"/>
                <w:szCs w:val="24"/>
                <w:b/>
                <w:bCs/>
              </w:rPr>
              <w:t xml:space="preserve">B2C</w:t>
            </w:r>
          </w:p>
        </w:tc>
        <w:tc>
          <w:tcPr>
            <w:tcW w:w="1204" w:type="dxa"/>
          </w:tcPr>
          <w:p>
            <w:pPr>
              <w:spacing w:line="240" w:lineRule="auto" w:before="0" w:after="0"/>
              <w:ind w:firstLine="0"/>
              <w:jc w:val="center"/>
            </w:pPr>
            <w:r>
              <w:rPr>
                <w:rFonts w:ascii="Times New Roman" w:hAnsi="Times New Roman"/>
                <w:sz w:val="24"/>
                <w:szCs w:val="24"/>
                <w:b/>
                <w:bCs/>
              </w:rPr>
              <w:t xml:space="preserve">B2B</w:t>
            </w:r>
          </w:p>
        </w:tc>
        <w:tc>
          <w:tcPr>
            <w:tcW w:w="1204" w:type="dxa"/>
          </w:tcPr>
          <w:p>
            <w:pPr>
              <w:spacing w:line="240" w:lineRule="auto" w:before="0" w:after="0"/>
              <w:ind w:firstLine="0"/>
              <w:jc w:val="center"/>
            </w:pPr>
            <w:r>
              <w:rPr>
                <w:rFonts w:ascii="Times New Roman" w:hAnsi="Times New Roman"/>
                <w:sz w:val="24"/>
                <w:szCs w:val="24"/>
                <w:b/>
                <w:bCs/>
              </w:rPr>
              <w:t xml:space="preserve">В бюджет</w:t>
            </w:r>
          </w:p>
        </w:tc>
        <w:tc>
          <w:tcPr>
            <w:tcW w:w="1204" w:type="dxa"/>
          </w:tcPr>
          <w:p>
            <w:pPr>
              <w:spacing w:line="240" w:lineRule="auto" w:before="0" w:after="0"/>
              <w:ind w:firstLine="0"/>
              <w:jc w:val="center"/>
            </w:pPr>
            <w:r>
              <w:rPr>
                <w:rFonts w:ascii="Times New Roman" w:hAnsi="Times New Roman"/>
                <w:sz w:val="24"/>
                <w:szCs w:val="24"/>
                <w:b/>
                <w:bCs/>
              </w:rPr>
              <w:t xml:space="preserve">Итого</w:t>
            </w:r>
          </w:p>
        </w:tc>
      </w:tr>
      <w:tr>
        <w:tc>
          <w:tcPr>
            <w:tcW w:w="1204" w:type="dxa"/>
          </w:tcPr>
          <w:p>
            <w:pPr>
              <w:spacing w:line="240" w:lineRule="auto" w:before="0" w:after="0"/>
              <w:ind w:firstLine="0"/>
              <w:jc w:val="left"/>
            </w:pPr>
            <w:r>
              <w:rPr>
                <w:rFonts w:ascii="Times New Roman" w:hAnsi="Times New Roman"/>
                <w:sz w:val="24"/>
                <w:szCs w:val="24"/>
              </w:rPr>
              <w:t xml:space="preserve">I квартал 2022 г.</w:t>
            </w:r>
          </w:p>
        </w:tc>
        <w:tc>
          <w:tcPr>
            <w:tcW w:w="1204" w:type="dxa"/>
          </w:tcPr>
          <w:p>
            <w:pPr>
              <w:spacing w:line="240" w:lineRule="auto" w:before="0" w:after="0"/>
              <w:ind w:firstLine="0"/>
              <w:jc w:val="left"/>
            </w:pPr>
            <w:r>
              <w:rPr>
                <w:rFonts w:ascii="Times New Roman" w:hAnsi="Times New Roman"/>
                <w:sz w:val="24"/>
                <w:szCs w:val="24"/>
              </w:rPr>
              <w:t xml:space="preserve">790</w:t>
            </w:r>
          </w:p>
        </w:tc>
        <w:tc>
          <w:tcPr>
            <w:tcW w:w="1204" w:type="dxa"/>
          </w:tcPr>
          <w:p>
            <w:pPr>
              <w:spacing w:line="240" w:lineRule="auto" w:before="0" w:after="0"/>
              <w:ind w:firstLine="0"/>
              <w:jc w:val="left"/>
            </w:pPr>
            <w:r>
              <w:rPr>
                <w:rFonts w:ascii="Times New Roman" w:hAnsi="Times New Roman"/>
                <w:sz w:val="24"/>
                <w:szCs w:val="24"/>
              </w:rPr>
              <w:t xml:space="preserve">25</w:t>
            </w:r>
          </w:p>
        </w:tc>
        <w:tc>
          <w:tcPr>
            <w:tcW w:w="1204" w:type="dxa"/>
          </w:tcPr>
          <w:p>
            <w:pPr>
              <w:spacing w:line="240" w:lineRule="auto" w:before="0" w:after="0"/>
              <w:ind w:firstLine="0"/>
              <w:jc w:val="left"/>
            </w:pPr>
            <w:r>
              <w:rPr>
                <w:rFonts w:ascii="Times New Roman" w:hAnsi="Times New Roman"/>
                <w:sz w:val="24"/>
                <w:szCs w:val="24"/>
              </w:rPr>
              <w:t xml:space="preserve">20</w:t>
            </w:r>
          </w:p>
        </w:tc>
        <w:tc>
          <w:tcPr>
            <w:tcW w:w="1204" w:type="dxa"/>
          </w:tcPr>
          <w:p>
            <w:pPr>
              <w:spacing w:line="240" w:lineRule="auto" w:before="0" w:after="0"/>
              <w:ind w:firstLine="0"/>
              <w:jc w:val="left"/>
            </w:pPr>
            <w:r>
              <w:rPr>
                <w:rFonts w:ascii="Times New Roman" w:hAnsi="Times New Roman"/>
                <w:sz w:val="24"/>
                <w:szCs w:val="24"/>
              </w:rPr>
              <w:t xml:space="preserve">16</w:t>
            </w:r>
          </w:p>
        </w:tc>
        <w:tc>
          <w:tcPr>
            <w:tcW w:w="1204" w:type="dxa"/>
          </w:tcPr>
          <w:p>
            <w:pPr>
              <w:spacing w:line="240" w:lineRule="auto" w:before="0" w:after="0"/>
              <w:ind w:firstLine="0"/>
              <w:jc w:val="left"/>
            </w:pPr>
            <w:r>
              <w:rPr>
                <w:rFonts w:ascii="Times New Roman" w:hAnsi="Times New Roman"/>
                <w:sz w:val="24"/>
                <w:szCs w:val="24"/>
              </w:rPr>
              <w:t xml:space="preserve">2</w:t>
            </w:r>
          </w:p>
        </w:tc>
        <w:tc>
          <w:tcPr>
            <w:tcW w:w="1204" w:type="dxa"/>
          </w:tcPr>
          <w:p>
            <w:pPr>
              <w:spacing w:line="240" w:lineRule="auto" w:before="0" w:after="0"/>
              <w:ind w:firstLine="0"/>
              <w:jc w:val="left"/>
            </w:pPr>
            <w:r>
              <w:rPr>
                <w:rFonts w:ascii="Times New Roman" w:hAnsi="Times New Roman"/>
                <w:sz w:val="24"/>
                <w:szCs w:val="24"/>
              </w:rPr>
              <w:t xml:space="preserve">0,5</w:t>
            </w:r>
          </w:p>
        </w:tc>
        <w:tc>
          <w:tcPr>
            <w:tcW w:w="1204" w:type="dxa"/>
          </w:tcPr>
          <w:p>
            <w:pPr>
              <w:spacing w:line="240" w:lineRule="auto" w:before="0" w:after="0"/>
              <w:ind w:firstLine="0"/>
              <w:jc w:val="left"/>
            </w:pPr>
            <w:r>
              <w:rPr>
                <w:rFonts w:ascii="Times New Roman" w:hAnsi="Times New Roman"/>
                <w:sz w:val="24"/>
                <w:szCs w:val="24"/>
              </w:rPr>
              <w:t xml:space="preserve">853</w:t>
            </w:r>
          </w:p>
        </w:tc>
      </w:tr>
      <w:tr>
        <w:tc>
          <w:tcPr>
            <w:tcW w:w="1204" w:type="dxa"/>
          </w:tcPr>
          <w:p>
            <w:pPr>
              <w:spacing w:line="240" w:lineRule="auto" w:before="0" w:after="0"/>
              <w:ind w:firstLine="0"/>
              <w:jc w:val="left"/>
            </w:pPr>
            <w:r>
              <w:rPr>
                <w:rFonts w:ascii="Times New Roman" w:hAnsi="Times New Roman"/>
                <w:sz w:val="24"/>
                <w:szCs w:val="24"/>
              </w:rPr>
              <w:t xml:space="preserve">II квартал 2022 г.</w:t>
            </w:r>
          </w:p>
        </w:tc>
        <w:tc>
          <w:tcPr>
            <w:tcW w:w="1204" w:type="dxa"/>
          </w:tcPr>
          <w:p>
            <w:pPr>
              <w:spacing w:line="240" w:lineRule="auto" w:before="0" w:after="0"/>
              <w:ind w:firstLine="0"/>
              <w:jc w:val="left"/>
            </w:pPr>
            <w:r>
              <w:rPr>
                <w:rFonts w:ascii="Times New Roman" w:hAnsi="Times New Roman"/>
                <w:sz w:val="24"/>
                <w:szCs w:val="24"/>
              </w:rPr>
              <w:t xml:space="preserve">870</w:t>
            </w:r>
          </w:p>
        </w:tc>
        <w:tc>
          <w:tcPr>
            <w:tcW w:w="1204" w:type="dxa"/>
          </w:tcPr>
          <w:p>
            <w:pPr>
              <w:spacing w:line="240" w:lineRule="auto" w:before="0" w:after="0"/>
              <w:ind w:firstLine="0"/>
              <w:jc w:val="left"/>
            </w:pPr>
            <w:r>
              <w:rPr>
                <w:rFonts w:ascii="Times New Roman" w:hAnsi="Times New Roman"/>
                <w:sz w:val="24"/>
                <w:szCs w:val="24"/>
              </w:rPr>
              <w:t xml:space="preserve">32</w:t>
            </w:r>
          </w:p>
        </w:tc>
        <w:tc>
          <w:tcPr>
            <w:tcW w:w="1204" w:type="dxa"/>
          </w:tcPr>
          <w:p>
            <w:pPr>
              <w:spacing w:line="240" w:lineRule="auto" w:before="0" w:after="0"/>
              <w:ind w:firstLine="0"/>
              <w:jc w:val="left"/>
            </w:pPr>
            <w:r>
              <w:rPr>
                <w:rFonts w:ascii="Times New Roman" w:hAnsi="Times New Roman"/>
                <w:sz w:val="24"/>
                <w:szCs w:val="24"/>
              </w:rPr>
              <w:t xml:space="preserve">28</w:t>
            </w:r>
          </w:p>
        </w:tc>
        <w:tc>
          <w:tcPr>
            <w:tcW w:w="1204" w:type="dxa"/>
          </w:tcPr>
          <w:p>
            <w:pPr>
              <w:spacing w:line="240" w:lineRule="auto" w:before="0" w:after="0"/>
              <w:ind w:firstLine="0"/>
              <w:jc w:val="left"/>
            </w:pPr>
            <w:r>
              <w:rPr>
                <w:rFonts w:ascii="Times New Roman" w:hAnsi="Times New Roman"/>
                <w:sz w:val="24"/>
                <w:szCs w:val="24"/>
              </w:rPr>
              <w:t xml:space="preserve">19</w:t>
            </w:r>
          </w:p>
        </w:tc>
        <w:tc>
          <w:tcPr>
            <w:tcW w:w="1204" w:type="dxa"/>
          </w:tcPr>
          <w:p>
            <w:pPr>
              <w:spacing w:line="240" w:lineRule="auto" w:before="0" w:after="0"/>
              <w:ind w:firstLine="0"/>
              <w:jc w:val="left"/>
            </w:pPr>
            <w:r>
              <w:rPr>
                <w:rFonts w:ascii="Times New Roman" w:hAnsi="Times New Roman"/>
                <w:sz w:val="24"/>
                <w:szCs w:val="24"/>
              </w:rPr>
              <w:t xml:space="preserve">3</w:t>
            </w:r>
          </w:p>
        </w:tc>
        <w:tc>
          <w:tcPr>
            <w:tcW w:w="1204" w:type="dxa"/>
          </w:tcPr>
          <w:p>
            <w:pPr>
              <w:spacing w:line="240" w:lineRule="auto" w:before="0" w:after="0"/>
              <w:ind w:firstLine="0"/>
              <w:jc w:val="left"/>
            </w:pPr>
            <w:r>
              <w:rPr>
                <w:rFonts w:ascii="Times New Roman" w:hAnsi="Times New Roman"/>
                <w:sz w:val="24"/>
                <w:szCs w:val="24"/>
              </w:rPr>
              <w:t xml:space="preserve">0,7</w:t>
            </w:r>
          </w:p>
        </w:tc>
        <w:tc>
          <w:tcPr>
            <w:tcW w:w="1204" w:type="dxa"/>
          </w:tcPr>
          <w:p>
            <w:pPr>
              <w:spacing w:line="240" w:lineRule="auto" w:before="0" w:after="0"/>
              <w:ind w:firstLine="0"/>
              <w:jc w:val="left"/>
            </w:pPr>
            <w:r>
              <w:rPr>
                <w:rFonts w:ascii="Times New Roman" w:hAnsi="Times New Roman"/>
                <w:sz w:val="24"/>
                <w:szCs w:val="24"/>
              </w:rPr>
              <w:t xml:space="preserve">953</w:t>
            </w:r>
          </w:p>
        </w:tc>
      </w:tr>
      <w:tr>
        <w:tc>
          <w:tcPr>
            <w:tcW w:w="1204" w:type="dxa"/>
          </w:tcPr>
          <w:p>
            <w:pPr>
              <w:spacing w:line="240" w:lineRule="auto" w:before="0" w:after="0"/>
              <w:ind w:firstLine="0"/>
              <w:jc w:val="left"/>
            </w:pPr>
            <w:r>
              <w:rPr>
                <w:rFonts w:ascii="Times New Roman" w:hAnsi="Times New Roman"/>
                <w:sz w:val="24"/>
                <w:szCs w:val="24"/>
              </w:rPr>
              <w:t xml:space="preserve">III квартал 2022 г.</w:t>
            </w:r>
          </w:p>
        </w:tc>
        <w:tc>
          <w:tcPr>
            <w:tcW w:w="1204" w:type="dxa"/>
          </w:tcPr>
          <w:p>
            <w:pPr>
              <w:spacing w:line="240" w:lineRule="auto" w:before="0" w:after="0"/>
              <w:ind w:firstLine="0"/>
              <w:jc w:val="left"/>
            </w:pPr>
            <w:r>
              <w:rPr>
                <w:rFonts w:ascii="Times New Roman" w:hAnsi="Times New Roman"/>
                <w:sz w:val="24"/>
                <w:szCs w:val="24"/>
              </w:rPr>
              <w:t xml:space="preserve">980</w:t>
            </w:r>
          </w:p>
        </w:tc>
        <w:tc>
          <w:tcPr>
            <w:tcW w:w="1204" w:type="dxa"/>
          </w:tcPr>
          <w:p>
            <w:pPr>
              <w:spacing w:line="240" w:lineRule="auto" w:before="0" w:after="0"/>
              <w:ind w:firstLine="0"/>
              <w:jc w:val="left"/>
            </w:pPr>
            <w:r>
              <w:rPr>
                <w:rFonts w:ascii="Times New Roman" w:hAnsi="Times New Roman"/>
                <w:sz w:val="24"/>
                <w:szCs w:val="24"/>
              </w:rPr>
              <w:t xml:space="preserve">44</w:t>
            </w:r>
          </w:p>
        </w:tc>
        <w:tc>
          <w:tcPr>
            <w:tcW w:w="1204" w:type="dxa"/>
          </w:tcPr>
          <w:p>
            <w:pPr>
              <w:spacing w:line="240" w:lineRule="auto" w:before="0" w:after="0"/>
              <w:ind w:firstLine="0"/>
              <w:jc w:val="left"/>
            </w:pPr>
            <w:r>
              <w:rPr>
                <w:rFonts w:ascii="Times New Roman" w:hAnsi="Times New Roman"/>
                <w:sz w:val="24"/>
                <w:szCs w:val="24"/>
              </w:rPr>
              <w:t xml:space="preserve">42</w:t>
            </w:r>
          </w:p>
        </w:tc>
        <w:tc>
          <w:tcPr>
            <w:tcW w:w="1204" w:type="dxa"/>
          </w:tcPr>
          <w:p>
            <w:pPr>
              <w:spacing w:line="240" w:lineRule="auto" w:before="0" w:after="0"/>
              <w:ind w:firstLine="0"/>
              <w:jc w:val="left"/>
            </w:pPr>
            <w:r>
              <w:rPr>
                <w:rFonts w:ascii="Times New Roman" w:hAnsi="Times New Roman"/>
                <w:sz w:val="24"/>
                <w:szCs w:val="24"/>
              </w:rPr>
              <w:t xml:space="preserve">23</w:t>
            </w:r>
          </w:p>
        </w:tc>
        <w:tc>
          <w:tcPr>
            <w:tcW w:w="1204" w:type="dxa"/>
          </w:tcPr>
          <w:p>
            <w:pPr>
              <w:spacing w:line="240" w:lineRule="auto" w:before="0" w:after="0"/>
              <w:ind w:firstLine="0"/>
              <w:jc w:val="left"/>
            </w:pPr>
            <w:r>
              <w:rPr>
                <w:rFonts w:ascii="Times New Roman" w:hAnsi="Times New Roman"/>
                <w:sz w:val="24"/>
                <w:szCs w:val="24"/>
              </w:rPr>
              <w:t xml:space="preserve">4</w:t>
            </w:r>
          </w:p>
        </w:tc>
        <w:tc>
          <w:tcPr>
            <w:tcW w:w="1204" w:type="dxa"/>
          </w:tcPr>
          <w:p>
            <w:pPr>
              <w:spacing w:line="240" w:lineRule="auto" w:before="0" w:after="0"/>
              <w:ind w:firstLine="0"/>
              <w:jc w:val="left"/>
            </w:pPr>
            <w:r>
              <w:rPr>
                <w:rFonts w:ascii="Times New Roman" w:hAnsi="Times New Roman"/>
                <w:sz w:val="24"/>
                <w:szCs w:val="24"/>
              </w:rPr>
              <w:t xml:space="preserve">1,0</w:t>
            </w:r>
          </w:p>
        </w:tc>
        <w:tc>
          <w:tcPr>
            <w:tcW w:w="1204" w:type="dxa"/>
          </w:tcPr>
          <w:p>
            <w:pPr>
              <w:spacing w:line="240" w:lineRule="auto" w:before="0" w:after="0"/>
              <w:ind w:firstLine="0"/>
              <w:jc w:val="left"/>
            </w:pPr>
            <w:r>
              <w:rPr>
                <w:rFonts w:ascii="Times New Roman" w:hAnsi="Times New Roman"/>
                <w:sz w:val="24"/>
                <w:szCs w:val="24"/>
              </w:rPr>
              <w:t xml:space="preserve">1 094</w:t>
            </w:r>
          </w:p>
        </w:tc>
      </w:tr>
      <w:tr>
        <w:tc>
          <w:tcPr>
            <w:tcW w:w="1204" w:type="dxa"/>
          </w:tcPr>
          <w:p>
            <w:pPr>
              <w:spacing w:line="240" w:lineRule="auto" w:before="0" w:after="0"/>
              <w:ind w:firstLine="0"/>
              <w:jc w:val="left"/>
            </w:pPr>
            <w:r>
              <w:rPr>
                <w:rFonts w:ascii="Times New Roman" w:hAnsi="Times New Roman"/>
                <w:sz w:val="24"/>
                <w:szCs w:val="24"/>
              </w:rPr>
              <w:t xml:space="preserve">IV квартал 2022 г.</w:t>
            </w:r>
          </w:p>
        </w:tc>
        <w:tc>
          <w:tcPr>
            <w:tcW w:w="1204" w:type="dxa"/>
          </w:tcPr>
          <w:p>
            <w:pPr>
              <w:spacing w:line="240" w:lineRule="auto" w:before="0" w:after="0"/>
              <w:ind w:firstLine="0"/>
              <w:jc w:val="left"/>
            </w:pPr>
            <w:r>
              <w:rPr>
                <w:rFonts w:ascii="Times New Roman" w:hAnsi="Times New Roman"/>
                <w:sz w:val="24"/>
                <w:szCs w:val="24"/>
              </w:rPr>
              <w:t xml:space="preserve">1 290</w:t>
            </w:r>
          </w:p>
        </w:tc>
        <w:tc>
          <w:tcPr>
            <w:tcW w:w="1204" w:type="dxa"/>
          </w:tcPr>
          <w:p>
            <w:pPr>
              <w:spacing w:line="240" w:lineRule="auto" w:before="0" w:after="0"/>
              <w:ind w:firstLine="0"/>
              <w:jc w:val="left"/>
            </w:pPr>
            <w:r>
              <w:rPr>
                <w:rFonts w:ascii="Times New Roman" w:hAnsi="Times New Roman"/>
                <w:sz w:val="24"/>
                <w:szCs w:val="24"/>
              </w:rPr>
              <w:t xml:space="preserve">58</w:t>
            </w:r>
          </w:p>
        </w:tc>
        <w:tc>
          <w:tcPr>
            <w:tcW w:w="1204" w:type="dxa"/>
          </w:tcPr>
          <w:p>
            <w:pPr>
              <w:spacing w:line="240" w:lineRule="auto" w:before="0" w:after="0"/>
              <w:ind w:firstLine="0"/>
              <w:jc w:val="left"/>
            </w:pPr>
            <w:r>
              <w:rPr>
                <w:rFonts w:ascii="Times New Roman" w:hAnsi="Times New Roman"/>
                <w:sz w:val="24"/>
                <w:szCs w:val="24"/>
              </w:rPr>
              <w:t xml:space="preserve">78</w:t>
            </w:r>
          </w:p>
        </w:tc>
        <w:tc>
          <w:tcPr>
            <w:tcW w:w="1204" w:type="dxa"/>
          </w:tcPr>
          <w:p>
            <w:pPr>
              <w:spacing w:line="240" w:lineRule="auto" w:before="0" w:after="0"/>
              <w:ind w:firstLine="0"/>
              <w:jc w:val="left"/>
            </w:pPr>
            <w:r>
              <w:rPr>
                <w:rFonts w:ascii="Times New Roman" w:hAnsi="Times New Roman"/>
                <w:sz w:val="24"/>
                <w:szCs w:val="24"/>
              </w:rPr>
              <w:t xml:space="preserve">31</w:t>
            </w:r>
          </w:p>
        </w:tc>
        <w:tc>
          <w:tcPr>
            <w:tcW w:w="1204" w:type="dxa"/>
          </w:tcPr>
          <w:p>
            <w:pPr>
              <w:spacing w:line="240" w:lineRule="auto" w:before="0" w:after="0"/>
              <w:ind w:firstLine="0"/>
              <w:jc w:val="left"/>
            </w:pPr>
            <w:r>
              <w:rPr>
                <w:rFonts w:ascii="Times New Roman" w:hAnsi="Times New Roman"/>
                <w:sz w:val="24"/>
                <w:szCs w:val="24"/>
              </w:rPr>
              <w:t xml:space="preserve">6</w:t>
            </w:r>
          </w:p>
        </w:tc>
        <w:tc>
          <w:tcPr>
            <w:tcW w:w="1204" w:type="dxa"/>
          </w:tcPr>
          <w:p>
            <w:pPr>
              <w:spacing w:line="240" w:lineRule="auto" w:before="0" w:after="0"/>
              <w:ind w:firstLine="0"/>
              <w:jc w:val="left"/>
            </w:pPr>
            <w:r>
              <w:rPr>
                <w:rFonts w:ascii="Times New Roman" w:hAnsi="Times New Roman"/>
                <w:sz w:val="24"/>
                <w:szCs w:val="24"/>
              </w:rPr>
              <w:t xml:space="preserve">1,3</w:t>
            </w:r>
          </w:p>
        </w:tc>
        <w:tc>
          <w:tcPr>
            <w:tcW w:w="1204" w:type="dxa"/>
          </w:tcPr>
          <w:p>
            <w:pPr>
              <w:spacing w:line="240" w:lineRule="auto" w:before="0" w:after="0"/>
              <w:ind w:firstLine="0"/>
              <w:jc w:val="left"/>
            </w:pPr>
            <w:r>
              <w:rPr>
                <w:rFonts w:ascii="Times New Roman" w:hAnsi="Times New Roman"/>
                <w:sz w:val="24"/>
                <w:szCs w:val="24"/>
              </w:rPr>
              <w:t xml:space="preserve">1 464</w:t>
            </w:r>
          </w:p>
        </w:tc>
      </w:tr>
      <w:tr>
        <w:tc>
          <w:tcPr>
            <w:tcW w:w="1204" w:type="dxa"/>
          </w:tcPr>
          <w:p>
            <w:pPr>
              <w:spacing w:line="240" w:lineRule="auto" w:before="0" w:after="0"/>
              <w:ind w:firstLine="0"/>
              <w:jc w:val="left"/>
            </w:pPr>
            <w:r>
              <w:rPr>
                <w:rFonts w:ascii="Times New Roman" w:hAnsi="Times New Roman"/>
                <w:sz w:val="24"/>
                <w:szCs w:val="24"/>
                <w:b/>
                <w:bCs/>
              </w:rPr>
              <w:t xml:space="preserve">Итого 2022 г.</w:t>
            </w:r>
          </w:p>
        </w:tc>
        <w:tc>
          <w:tcPr>
            <w:tcW w:w="1204" w:type="dxa"/>
          </w:tcPr>
          <w:p>
            <w:pPr>
              <w:spacing w:line="240" w:lineRule="auto" w:before="0" w:after="0"/>
              <w:ind w:firstLine="0"/>
              <w:jc w:val="left"/>
            </w:pPr>
            <w:r>
              <w:rPr>
                <w:rFonts w:ascii="Times New Roman" w:hAnsi="Times New Roman"/>
                <w:sz w:val="24"/>
                <w:szCs w:val="24"/>
                <w:b/>
                <w:bCs/>
              </w:rPr>
              <w:t xml:space="preserve">3 930</w:t>
            </w:r>
          </w:p>
        </w:tc>
        <w:tc>
          <w:tcPr>
            <w:tcW w:w="1204" w:type="dxa"/>
          </w:tcPr>
          <w:p>
            <w:pPr>
              <w:spacing w:line="240" w:lineRule="auto" w:before="0" w:after="0"/>
              <w:ind w:firstLine="0"/>
              <w:jc w:val="left"/>
            </w:pPr>
            <w:r>
              <w:rPr>
                <w:rFonts w:ascii="Times New Roman" w:hAnsi="Times New Roman"/>
                <w:sz w:val="24"/>
                <w:szCs w:val="24"/>
                <w:b/>
                <w:bCs/>
              </w:rPr>
              <w:t xml:space="preserve">159</w:t>
            </w:r>
          </w:p>
        </w:tc>
        <w:tc>
          <w:tcPr>
            <w:tcW w:w="1204" w:type="dxa"/>
          </w:tcPr>
          <w:p>
            <w:pPr>
              <w:spacing w:line="240" w:lineRule="auto" w:before="0" w:after="0"/>
              <w:ind w:firstLine="0"/>
              <w:jc w:val="left"/>
            </w:pPr>
            <w:r>
              <w:rPr>
                <w:rFonts w:ascii="Times New Roman" w:hAnsi="Times New Roman"/>
                <w:sz w:val="24"/>
                <w:szCs w:val="24"/>
                <w:b/>
                <w:bCs/>
              </w:rPr>
              <w:t xml:space="preserve">168</w:t>
            </w:r>
          </w:p>
        </w:tc>
        <w:tc>
          <w:tcPr>
            <w:tcW w:w="1204" w:type="dxa"/>
          </w:tcPr>
          <w:p>
            <w:pPr>
              <w:spacing w:line="240" w:lineRule="auto" w:before="0" w:after="0"/>
              <w:ind w:firstLine="0"/>
              <w:jc w:val="left"/>
            </w:pPr>
            <w:r>
              <w:rPr>
                <w:rFonts w:ascii="Times New Roman" w:hAnsi="Times New Roman"/>
                <w:sz w:val="24"/>
                <w:szCs w:val="24"/>
                <w:b/>
                <w:bCs/>
              </w:rPr>
              <w:t xml:space="preserve">89</w:t>
            </w:r>
          </w:p>
        </w:tc>
        <w:tc>
          <w:tcPr>
            <w:tcW w:w="1204" w:type="dxa"/>
          </w:tcPr>
          <w:p>
            <w:pPr>
              <w:spacing w:line="240" w:lineRule="auto" w:before="0" w:after="0"/>
              <w:ind w:firstLine="0"/>
              <w:jc w:val="left"/>
            </w:pPr>
            <w:r>
              <w:rPr>
                <w:rFonts w:ascii="Times New Roman" w:hAnsi="Times New Roman"/>
                <w:sz w:val="24"/>
                <w:szCs w:val="24"/>
                <w:b/>
                <w:bCs/>
              </w:rPr>
              <w:t xml:space="preserve">15</w:t>
            </w:r>
          </w:p>
        </w:tc>
        <w:tc>
          <w:tcPr>
            <w:tcW w:w="1204" w:type="dxa"/>
          </w:tcPr>
          <w:p>
            <w:pPr>
              <w:spacing w:line="240" w:lineRule="auto" w:before="0" w:after="0"/>
              <w:ind w:firstLine="0"/>
              <w:jc w:val="left"/>
            </w:pPr>
            <w:r>
              <w:rPr>
                <w:rFonts w:ascii="Times New Roman" w:hAnsi="Times New Roman"/>
                <w:sz w:val="24"/>
                <w:szCs w:val="24"/>
                <w:b/>
                <w:bCs/>
              </w:rPr>
              <w:t xml:space="preserve">3,5</w:t>
            </w:r>
          </w:p>
        </w:tc>
        <w:tc>
          <w:tcPr>
            <w:tcW w:w="1204" w:type="dxa"/>
          </w:tcPr>
          <w:p>
            <w:pPr>
              <w:spacing w:line="240" w:lineRule="auto" w:before="0" w:after="0"/>
              <w:ind w:firstLine="0"/>
              <w:jc w:val="left"/>
            </w:pPr>
            <w:r>
              <w:rPr>
                <w:rFonts w:ascii="Times New Roman" w:hAnsi="Times New Roman"/>
                <w:sz w:val="24"/>
                <w:szCs w:val="24"/>
                <w:b/>
                <w:bCs/>
              </w:rPr>
              <w:t xml:space="preserve">4 364</w:t>
            </w:r>
          </w:p>
        </w:tc>
      </w:tr>
      <w:tr>
        <w:tc>
          <w:tcPr>
            <w:tcW w:w="1204" w:type="dxa"/>
          </w:tcPr>
          <w:p>
            <w:pPr>
              <w:spacing w:line="240" w:lineRule="auto" w:before="0" w:after="0"/>
              <w:ind w:firstLine="0"/>
              <w:jc w:val="left"/>
            </w:pPr>
            <w:r>
              <w:rPr>
                <w:rFonts w:ascii="Times New Roman" w:hAnsi="Times New Roman"/>
                <w:sz w:val="24"/>
                <w:szCs w:val="24"/>
              </w:rPr>
              <w:t xml:space="preserve">I квартал 2023 г.</w:t>
            </w:r>
          </w:p>
        </w:tc>
        <w:tc>
          <w:tcPr>
            <w:tcW w:w="1204" w:type="dxa"/>
          </w:tcPr>
          <w:p>
            <w:pPr>
              <w:spacing w:line="240" w:lineRule="auto" w:before="0" w:after="0"/>
              <w:ind w:firstLine="0"/>
              <w:jc w:val="left"/>
            </w:pPr>
            <w:r>
              <w:rPr>
                <w:rFonts w:ascii="Times New Roman" w:hAnsi="Times New Roman"/>
                <w:sz w:val="24"/>
                <w:szCs w:val="24"/>
              </w:rPr>
              <w:t xml:space="preserve">1 480</w:t>
            </w:r>
          </w:p>
        </w:tc>
        <w:tc>
          <w:tcPr>
            <w:tcW w:w="1204" w:type="dxa"/>
          </w:tcPr>
          <w:p>
            <w:pPr>
              <w:spacing w:line="240" w:lineRule="auto" w:before="0" w:after="0"/>
              <w:ind w:firstLine="0"/>
              <w:jc w:val="left"/>
            </w:pPr>
            <w:r>
              <w:rPr>
                <w:rFonts w:ascii="Times New Roman" w:hAnsi="Times New Roman"/>
                <w:sz w:val="24"/>
                <w:szCs w:val="24"/>
              </w:rPr>
              <w:t xml:space="preserve">98</w:t>
            </w:r>
          </w:p>
        </w:tc>
        <w:tc>
          <w:tcPr>
            <w:tcW w:w="1204" w:type="dxa"/>
          </w:tcPr>
          <w:p>
            <w:pPr>
              <w:spacing w:line="240" w:lineRule="auto" w:before="0" w:after="0"/>
              <w:ind w:firstLine="0"/>
              <w:jc w:val="left"/>
            </w:pPr>
            <w:r>
              <w:rPr>
                <w:rFonts w:ascii="Times New Roman" w:hAnsi="Times New Roman"/>
                <w:sz w:val="24"/>
                <w:szCs w:val="24"/>
              </w:rPr>
              <w:t xml:space="preserve">125</w:t>
            </w:r>
          </w:p>
        </w:tc>
        <w:tc>
          <w:tcPr>
            <w:tcW w:w="1204" w:type="dxa"/>
          </w:tcPr>
          <w:p>
            <w:pPr>
              <w:spacing w:line="240" w:lineRule="auto" w:before="0" w:after="0"/>
              <w:ind w:firstLine="0"/>
              <w:jc w:val="left"/>
            </w:pPr>
            <w:r>
              <w:rPr>
                <w:rFonts w:ascii="Times New Roman" w:hAnsi="Times New Roman"/>
                <w:sz w:val="24"/>
                <w:szCs w:val="24"/>
              </w:rPr>
              <w:t xml:space="preserve">37</w:t>
            </w:r>
          </w:p>
        </w:tc>
        <w:tc>
          <w:tcPr>
            <w:tcW w:w="1204" w:type="dxa"/>
          </w:tcPr>
          <w:p>
            <w:pPr>
              <w:spacing w:line="240" w:lineRule="auto" w:before="0" w:after="0"/>
              <w:ind w:firstLine="0"/>
              <w:jc w:val="left"/>
            </w:pPr>
            <w:r>
              <w:rPr>
                <w:rFonts w:ascii="Times New Roman" w:hAnsi="Times New Roman"/>
                <w:sz w:val="24"/>
                <w:szCs w:val="24"/>
              </w:rPr>
              <w:t xml:space="preserve">10</w:t>
            </w:r>
          </w:p>
        </w:tc>
        <w:tc>
          <w:tcPr>
            <w:tcW w:w="1204" w:type="dxa"/>
          </w:tcPr>
          <w:p>
            <w:pPr>
              <w:spacing w:line="240" w:lineRule="auto" w:before="0" w:after="0"/>
              <w:ind w:firstLine="0"/>
              <w:jc w:val="left"/>
            </w:pPr>
            <w:r>
              <w:rPr>
                <w:rFonts w:ascii="Times New Roman" w:hAnsi="Times New Roman"/>
                <w:sz w:val="24"/>
                <w:szCs w:val="24"/>
              </w:rPr>
              <w:t xml:space="preserve">1,6</w:t>
            </w:r>
          </w:p>
        </w:tc>
        <w:tc>
          <w:tcPr>
            <w:tcW w:w="1204" w:type="dxa"/>
          </w:tcPr>
          <w:p>
            <w:pPr>
              <w:spacing w:line="240" w:lineRule="auto" w:before="0" w:after="0"/>
              <w:ind w:firstLine="0"/>
              <w:jc w:val="left"/>
            </w:pPr>
            <w:r>
              <w:rPr>
                <w:rFonts w:ascii="Times New Roman" w:hAnsi="Times New Roman"/>
                <w:sz w:val="24"/>
                <w:szCs w:val="24"/>
              </w:rPr>
              <w:t xml:space="preserve">1 752</w:t>
            </w:r>
          </w:p>
        </w:tc>
      </w:tr>
      <w:tr>
        <w:tc>
          <w:tcPr>
            <w:tcW w:w="1204" w:type="dxa"/>
          </w:tcPr>
          <w:p>
            <w:pPr>
              <w:spacing w:line="240" w:lineRule="auto" w:before="0" w:after="0"/>
              <w:ind w:firstLine="0"/>
              <w:jc w:val="left"/>
            </w:pPr>
            <w:r>
              <w:rPr>
                <w:rFonts w:ascii="Times New Roman" w:hAnsi="Times New Roman"/>
                <w:sz w:val="24"/>
                <w:szCs w:val="24"/>
              </w:rPr>
              <w:t xml:space="preserve">II квартал 2023 г.</w:t>
            </w:r>
          </w:p>
        </w:tc>
        <w:tc>
          <w:tcPr>
            <w:tcW w:w="1204" w:type="dxa"/>
          </w:tcPr>
          <w:p>
            <w:pPr>
              <w:spacing w:line="240" w:lineRule="auto" w:before="0" w:after="0"/>
              <w:ind w:firstLine="0"/>
              <w:jc w:val="left"/>
            </w:pPr>
            <w:r>
              <w:rPr>
                <w:rFonts w:ascii="Times New Roman" w:hAnsi="Times New Roman"/>
                <w:sz w:val="24"/>
                <w:szCs w:val="24"/>
              </w:rPr>
              <w:t xml:space="preserve">1 740</w:t>
            </w:r>
          </w:p>
        </w:tc>
        <w:tc>
          <w:tcPr>
            <w:tcW w:w="1204" w:type="dxa"/>
          </w:tcPr>
          <w:p>
            <w:pPr>
              <w:spacing w:line="240" w:lineRule="auto" w:before="0" w:after="0"/>
              <w:ind w:firstLine="0"/>
              <w:jc w:val="left"/>
            </w:pPr>
            <w:r>
              <w:rPr>
                <w:rFonts w:ascii="Times New Roman" w:hAnsi="Times New Roman"/>
                <w:sz w:val="24"/>
                <w:szCs w:val="24"/>
              </w:rPr>
              <w:t xml:space="preserve">136</w:t>
            </w:r>
          </w:p>
        </w:tc>
        <w:tc>
          <w:tcPr>
            <w:tcW w:w="1204" w:type="dxa"/>
          </w:tcPr>
          <w:p>
            <w:pPr>
              <w:spacing w:line="240" w:lineRule="auto" w:before="0" w:after="0"/>
              <w:ind w:firstLine="0"/>
              <w:jc w:val="left"/>
            </w:pPr>
            <w:r>
              <w:rPr>
                <w:rFonts w:ascii="Times New Roman" w:hAnsi="Times New Roman"/>
                <w:sz w:val="24"/>
                <w:szCs w:val="24"/>
              </w:rPr>
              <w:t xml:space="preserve">180</w:t>
            </w:r>
          </w:p>
        </w:tc>
        <w:tc>
          <w:tcPr>
            <w:tcW w:w="1204" w:type="dxa"/>
          </w:tcPr>
          <w:p>
            <w:pPr>
              <w:spacing w:line="240" w:lineRule="auto" w:before="0" w:after="0"/>
              <w:ind w:firstLine="0"/>
              <w:jc w:val="left"/>
            </w:pPr>
            <w:r>
              <w:rPr>
                <w:rFonts w:ascii="Times New Roman" w:hAnsi="Times New Roman"/>
                <w:sz w:val="24"/>
                <w:szCs w:val="24"/>
              </w:rPr>
              <w:t xml:space="preserve">41</w:t>
            </w:r>
          </w:p>
        </w:tc>
        <w:tc>
          <w:tcPr>
            <w:tcW w:w="1204" w:type="dxa"/>
          </w:tcPr>
          <w:p>
            <w:pPr>
              <w:spacing w:line="240" w:lineRule="auto" w:before="0" w:after="0"/>
              <w:ind w:firstLine="0"/>
              <w:jc w:val="left"/>
            </w:pPr>
            <w:r>
              <w:rPr>
                <w:rFonts w:ascii="Times New Roman" w:hAnsi="Times New Roman"/>
                <w:sz w:val="24"/>
                <w:szCs w:val="24"/>
              </w:rPr>
              <w:t xml:space="preserve">16</w:t>
            </w:r>
          </w:p>
        </w:tc>
        <w:tc>
          <w:tcPr>
            <w:tcW w:w="1204" w:type="dxa"/>
          </w:tcPr>
          <w:p>
            <w:pPr>
              <w:spacing w:line="240" w:lineRule="auto" w:before="0" w:after="0"/>
              <w:ind w:firstLine="0"/>
              <w:jc w:val="left"/>
            </w:pPr>
            <w:r>
              <w:rPr>
                <w:rFonts w:ascii="Times New Roman" w:hAnsi="Times New Roman"/>
                <w:sz w:val="24"/>
                <w:szCs w:val="24"/>
              </w:rPr>
              <w:t xml:space="preserve">1,9</w:t>
            </w:r>
          </w:p>
        </w:tc>
        <w:tc>
          <w:tcPr>
            <w:tcW w:w="1204" w:type="dxa"/>
          </w:tcPr>
          <w:p>
            <w:pPr>
              <w:spacing w:line="240" w:lineRule="auto" w:before="0" w:after="0"/>
              <w:ind w:firstLine="0"/>
              <w:jc w:val="left"/>
            </w:pPr>
            <w:r>
              <w:rPr>
                <w:rFonts w:ascii="Times New Roman" w:hAnsi="Times New Roman"/>
                <w:sz w:val="24"/>
                <w:szCs w:val="24"/>
              </w:rPr>
              <w:t xml:space="preserve">2 115</w:t>
            </w:r>
          </w:p>
        </w:tc>
      </w:tr>
      <w:tr>
        <w:tc>
          <w:tcPr>
            <w:tcW w:w="1204" w:type="dxa"/>
          </w:tcPr>
          <w:p>
            <w:pPr>
              <w:spacing w:line="240" w:lineRule="auto" w:before="0" w:after="0"/>
              <w:ind w:firstLine="0"/>
              <w:jc w:val="left"/>
            </w:pPr>
            <w:r>
              <w:rPr>
                <w:rFonts w:ascii="Times New Roman" w:hAnsi="Times New Roman"/>
                <w:sz w:val="24"/>
                <w:szCs w:val="24"/>
              </w:rPr>
              <w:t xml:space="preserve">III квартал 2023 г.</w:t>
            </w:r>
          </w:p>
        </w:tc>
        <w:tc>
          <w:tcPr>
            <w:tcW w:w="1204" w:type="dxa"/>
          </w:tcPr>
          <w:p>
            <w:pPr>
              <w:spacing w:line="240" w:lineRule="auto" w:before="0" w:after="0"/>
              <w:ind w:firstLine="0"/>
              <w:jc w:val="left"/>
            </w:pPr>
            <w:r>
              <w:rPr>
                <w:rFonts w:ascii="Times New Roman" w:hAnsi="Times New Roman"/>
                <w:sz w:val="24"/>
                <w:szCs w:val="24"/>
              </w:rPr>
              <w:t xml:space="preserve">1 920</w:t>
            </w:r>
          </w:p>
        </w:tc>
        <w:tc>
          <w:tcPr>
            <w:tcW w:w="1204" w:type="dxa"/>
          </w:tcPr>
          <w:p>
            <w:pPr>
              <w:spacing w:line="240" w:lineRule="auto" w:before="0" w:after="0"/>
              <w:ind w:firstLine="0"/>
              <w:jc w:val="left"/>
            </w:pPr>
            <w:r>
              <w:rPr>
                <w:rFonts w:ascii="Times New Roman" w:hAnsi="Times New Roman"/>
                <w:sz w:val="24"/>
                <w:szCs w:val="24"/>
              </w:rPr>
              <w:t xml:space="preserve">168</w:t>
            </w:r>
          </w:p>
        </w:tc>
        <w:tc>
          <w:tcPr>
            <w:tcW w:w="1204" w:type="dxa"/>
          </w:tcPr>
          <w:p>
            <w:pPr>
              <w:spacing w:line="240" w:lineRule="auto" w:before="0" w:after="0"/>
              <w:ind w:firstLine="0"/>
              <w:jc w:val="left"/>
            </w:pPr>
            <w:r>
              <w:rPr>
                <w:rFonts w:ascii="Times New Roman" w:hAnsi="Times New Roman"/>
                <w:sz w:val="24"/>
                <w:szCs w:val="24"/>
              </w:rPr>
              <w:t xml:space="preserve">210</w:t>
            </w:r>
          </w:p>
        </w:tc>
        <w:tc>
          <w:tcPr>
            <w:tcW w:w="1204" w:type="dxa"/>
          </w:tcPr>
          <w:p>
            <w:pPr>
              <w:spacing w:line="240" w:lineRule="auto" w:before="0" w:after="0"/>
              <w:ind w:firstLine="0"/>
              <w:jc w:val="left"/>
            </w:pPr>
            <w:r>
              <w:rPr>
                <w:rFonts w:ascii="Times New Roman" w:hAnsi="Times New Roman"/>
                <w:sz w:val="24"/>
                <w:szCs w:val="24"/>
              </w:rPr>
              <w:t xml:space="preserve">46</w:t>
            </w:r>
          </w:p>
        </w:tc>
        <w:tc>
          <w:tcPr>
            <w:tcW w:w="1204" w:type="dxa"/>
          </w:tcPr>
          <w:p>
            <w:pPr>
              <w:spacing w:line="240" w:lineRule="auto" w:before="0" w:after="0"/>
              <w:ind w:firstLine="0"/>
              <w:jc w:val="left"/>
            </w:pPr>
            <w:r>
              <w:rPr>
                <w:rFonts w:ascii="Times New Roman" w:hAnsi="Times New Roman"/>
                <w:sz w:val="24"/>
                <w:szCs w:val="24"/>
              </w:rPr>
              <w:t xml:space="preserve">21</w:t>
            </w:r>
          </w:p>
        </w:tc>
        <w:tc>
          <w:tcPr>
            <w:tcW w:w="1204" w:type="dxa"/>
          </w:tcPr>
          <w:p>
            <w:pPr>
              <w:spacing w:line="240" w:lineRule="auto" w:before="0" w:after="0"/>
              <w:ind w:firstLine="0"/>
              <w:jc w:val="left"/>
            </w:pPr>
            <w:r>
              <w:rPr>
                <w:rFonts w:ascii="Times New Roman" w:hAnsi="Times New Roman"/>
                <w:sz w:val="24"/>
                <w:szCs w:val="24"/>
              </w:rPr>
              <w:t xml:space="preserve">2,1</w:t>
            </w:r>
          </w:p>
        </w:tc>
        <w:tc>
          <w:tcPr>
            <w:tcW w:w="1204" w:type="dxa"/>
          </w:tcPr>
          <w:p>
            <w:pPr>
              <w:spacing w:line="240" w:lineRule="auto" w:before="0" w:after="0"/>
              <w:ind w:firstLine="0"/>
              <w:jc w:val="left"/>
            </w:pPr>
            <w:r>
              <w:rPr>
                <w:rFonts w:ascii="Times New Roman" w:hAnsi="Times New Roman"/>
                <w:sz w:val="24"/>
                <w:szCs w:val="24"/>
              </w:rPr>
              <w:t xml:space="preserve">2 367</w:t>
            </w:r>
          </w:p>
        </w:tc>
      </w:tr>
      <w:tr>
        <w:tc>
          <w:tcPr>
            <w:tcW w:w="1204" w:type="dxa"/>
          </w:tcPr>
          <w:p>
            <w:pPr>
              <w:spacing w:line="240" w:lineRule="auto" w:before="0" w:after="0"/>
              <w:ind w:firstLine="0"/>
              <w:jc w:val="left"/>
            </w:pPr>
            <w:r>
              <w:rPr>
                <w:rFonts w:ascii="Times New Roman" w:hAnsi="Times New Roman"/>
                <w:sz w:val="24"/>
                <w:szCs w:val="24"/>
              </w:rPr>
              <w:t xml:space="preserve">IV квартал 2023 г.</w:t>
            </w:r>
          </w:p>
        </w:tc>
        <w:tc>
          <w:tcPr>
            <w:tcW w:w="1204" w:type="dxa"/>
          </w:tcPr>
          <w:p>
            <w:pPr>
              <w:spacing w:line="240" w:lineRule="auto" w:before="0" w:after="0"/>
              <w:ind w:firstLine="0"/>
              <w:jc w:val="left"/>
            </w:pPr>
            <w:r>
              <w:rPr>
                <w:rFonts w:ascii="Times New Roman" w:hAnsi="Times New Roman"/>
                <w:sz w:val="24"/>
                <w:szCs w:val="24"/>
              </w:rPr>
              <w:t xml:space="preserve">2 230</w:t>
            </w:r>
          </w:p>
        </w:tc>
        <w:tc>
          <w:tcPr>
            <w:tcW w:w="1204" w:type="dxa"/>
          </w:tcPr>
          <w:p>
            <w:pPr>
              <w:spacing w:line="240" w:lineRule="auto" w:before="0" w:after="0"/>
              <w:ind w:firstLine="0"/>
              <w:jc w:val="left"/>
            </w:pPr>
            <w:r>
              <w:rPr>
                <w:rFonts w:ascii="Times New Roman" w:hAnsi="Times New Roman"/>
                <w:sz w:val="24"/>
                <w:szCs w:val="24"/>
              </w:rPr>
              <w:t xml:space="preserve">208</w:t>
            </w:r>
          </w:p>
        </w:tc>
        <w:tc>
          <w:tcPr>
            <w:tcW w:w="1204" w:type="dxa"/>
          </w:tcPr>
          <w:p>
            <w:pPr>
              <w:spacing w:line="240" w:lineRule="auto" w:before="0" w:after="0"/>
              <w:ind w:firstLine="0"/>
              <w:jc w:val="left"/>
            </w:pPr>
            <w:r>
              <w:rPr>
                <w:rFonts w:ascii="Times New Roman" w:hAnsi="Times New Roman"/>
                <w:sz w:val="24"/>
                <w:szCs w:val="24"/>
              </w:rPr>
              <w:t xml:space="preserve">285</w:t>
            </w:r>
          </w:p>
        </w:tc>
        <w:tc>
          <w:tcPr>
            <w:tcW w:w="1204" w:type="dxa"/>
          </w:tcPr>
          <w:p>
            <w:pPr>
              <w:spacing w:line="240" w:lineRule="auto" w:before="0" w:after="0"/>
              <w:ind w:firstLine="0"/>
              <w:jc w:val="left"/>
            </w:pPr>
            <w:r>
              <w:rPr>
                <w:rFonts w:ascii="Times New Roman" w:hAnsi="Times New Roman"/>
                <w:sz w:val="24"/>
                <w:szCs w:val="24"/>
              </w:rPr>
              <w:t xml:space="preserve">53</w:t>
            </w:r>
          </w:p>
        </w:tc>
        <w:tc>
          <w:tcPr>
            <w:tcW w:w="1204" w:type="dxa"/>
          </w:tcPr>
          <w:p>
            <w:pPr>
              <w:spacing w:line="240" w:lineRule="auto" w:before="0" w:after="0"/>
              <w:ind w:firstLine="0"/>
              <w:jc w:val="left"/>
            </w:pPr>
            <w:r>
              <w:rPr>
                <w:rFonts w:ascii="Times New Roman" w:hAnsi="Times New Roman"/>
                <w:sz w:val="24"/>
                <w:szCs w:val="24"/>
              </w:rPr>
              <w:t xml:space="preserve">28</w:t>
            </w:r>
          </w:p>
        </w:tc>
        <w:tc>
          <w:tcPr>
            <w:tcW w:w="1204" w:type="dxa"/>
          </w:tcPr>
          <w:p>
            <w:pPr>
              <w:spacing w:line="240" w:lineRule="auto" w:before="0" w:after="0"/>
              <w:ind w:firstLine="0"/>
              <w:jc w:val="left"/>
            </w:pPr>
            <w:r>
              <w:rPr>
                <w:rFonts w:ascii="Times New Roman" w:hAnsi="Times New Roman"/>
                <w:sz w:val="24"/>
                <w:szCs w:val="24"/>
              </w:rPr>
              <w:t xml:space="preserve">2,5</w:t>
            </w:r>
          </w:p>
        </w:tc>
        <w:tc>
          <w:tcPr>
            <w:tcW w:w="1204" w:type="dxa"/>
          </w:tcPr>
          <w:p>
            <w:pPr>
              <w:spacing w:line="240" w:lineRule="auto" w:before="0" w:after="0"/>
              <w:ind w:firstLine="0"/>
              <w:jc w:val="left"/>
            </w:pPr>
            <w:r>
              <w:rPr>
                <w:rFonts w:ascii="Times New Roman" w:hAnsi="Times New Roman"/>
                <w:sz w:val="24"/>
                <w:szCs w:val="24"/>
              </w:rPr>
              <w:t xml:space="preserve">2 807</w:t>
            </w:r>
          </w:p>
        </w:tc>
      </w:tr>
      <w:tr>
        <w:tc>
          <w:tcPr>
            <w:tcW w:w="1204" w:type="dxa"/>
          </w:tcPr>
          <w:p>
            <w:pPr>
              <w:spacing w:line="240" w:lineRule="auto" w:before="0" w:after="0"/>
              <w:ind w:firstLine="0"/>
              <w:jc w:val="left"/>
            </w:pPr>
            <w:r>
              <w:rPr>
                <w:rFonts w:ascii="Times New Roman" w:hAnsi="Times New Roman"/>
                <w:sz w:val="24"/>
                <w:szCs w:val="24"/>
                <w:b/>
                <w:bCs/>
              </w:rPr>
              <w:t xml:space="preserve">Итого 2023 г.</w:t>
            </w:r>
          </w:p>
        </w:tc>
        <w:tc>
          <w:tcPr>
            <w:tcW w:w="1204" w:type="dxa"/>
          </w:tcPr>
          <w:p>
            <w:pPr>
              <w:spacing w:line="240" w:lineRule="auto" w:before="0" w:after="0"/>
              <w:ind w:firstLine="0"/>
              <w:jc w:val="left"/>
            </w:pPr>
            <w:r>
              <w:rPr>
                <w:rFonts w:ascii="Times New Roman" w:hAnsi="Times New Roman"/>
                <w:sz w:val="24"/>
                <w:szCs w:val="24"/>
                <w:b/>
                <w:bCs/>
              </w:rPr>
              <w:t xml:space="preserve">7 370</w:t>
            </w:r>
          </w:p>
        </w:tc>
        <w:tc>
          <w:tcPr>
            <w:tcW w:w="1204" w:type="dxa"/>
          </w:tcPr>
          <w:p>
            <w:pPr>
              <w:spacing w:line="240" w:lineRule="auto" w:before="0" w:after="0"/>
              <w:ind w:firstLine="0"/>
              <w:jc w:val="left"/>
            </w:pPr>
            <w:r>
              <w:rPr>
                <w:rFonts w:ascii="Times New Roman" w:hAnsi="Times New Roman"/>
                <w:sz w:val="24"/>
                <w:szCs w:val="24"/>
                <w:b/>
                <w:bCs/>
              </w:rPr>
              <w:t xml:space="preserve">610</w:t>
            </w:r>
          </w:p>
        </w:tc>
        <w:tc>
          <w:tcPr>
            <w:tcW w:w="1204" w:type="dxa"/>
          </w:tcPr>
          <w:p>
            <w:pPr>
              <w:spacing w:line="240" w:lineRule="auto" w:before="0" w:after="0"/>
              <w:ind w:firstLine="0"/>
              <w:jc w:val="left"/>
            </w:pPr>
            <w:r>
              <w:rPr>
                <w:rFonts w:ascii="Times New Roman" w:hAnsi="Times New Roman"/>
                <w:sz w:val="24"/>
                <w:szCs w:val="24"/>
                <w:b/>
                <w:bCs/>
              </w:rPr>
              <w:t xml:space="preserve">800</w:t>
            </w:r>
          </w:p>
        </w:tc>
        <w:tc>
          <w:tcPr>
            <w:tcW w:w="1204" w:type="dxa"/>
          </w:tcPr>
          <w:p>
            <w:pPr>
              <w:spacing w:line="240" w:lineRule="auto" w:before="0" w:after="0"/>
              <w:ind w:firstLine="0"/>
              <w:jc w:val="left"/>
            </w:pPr>
            <w:r>
              <w:rPr>
                <w:rFonts w:ascii="Times New Roman" w:hAnsi="Times New Roman"/>
                <w:sz w:val="24"/>
                <w:szCs w:val="24"/>
                <w:b/>
                <w:bCs/>
              </w:rPr>
              <w:t xml:space="preserve">177</w:t>
            </w:r>
          </w:p>
        </w:tc>
        <w:tc>
          <w:tcPr>
            <w:tcW w:w="1204" w:type="dxa"/>
          </w:tcPr>
          <w:p>
            <w:pPr>
              <w:spacing w:line="240" w:lineRule="auto" w:before="0" w:after="0"/>
              <w:ind w:firstLine="0"/>
              <w:jc w:val="left"/>
            </w:pPr>
            <w:r>
              <w:rPr>
                <w:rFonts w:ascii="Times New Roman" w:hAnsi="Times New Roman"/>
                <w:sz w:val="24"/>
                <w:szCs w:val="24"/>
                <w:b/>
                <w:bCs/>
              </w:rPr>
              <w:t xml:space="preserve">75</w:t>
            </w:r>
          </w:p>
        </w:tc>
        <w:tc>
          <w:tcPr>
            <w:tcW w:w="1204" w:type="dxa"/>
          </w:tcPr>
          <w:p>
            <w:pPr>
              <w:spacing w:line="240" w:lineRule="auto" w:before="0" w:after="0"/>
              <w:ind w:firstLine="0"/>
              <w:jc w:val="left"/>
            </w:pPr>
            <w:r>
              <w:rPr>
                <w:rFonts w:ascii="Times New Roman" w:hAnsi="Times New Roman"/>
                <w:sz w:val="24"/>
                <w:szCs w:val="24"/>
                <w:b/>
                <w:bCs/>
              </w:rPr>
              <w:t xml:space="preserve">8,1</w:t>
            </w:r>
          </w:p>
        </w:tc>
        <w:tc>
          <w:tcPr>
            <w:tcW w:w="1204" w:type="dxa"/>
          </w:tcPr>
          <w:p>
            <w:pPr>
              <w:spacing w:line="240" w:lineRule="auto" w:before="0" w:after="0"/>
              <w:ind w:firstLine="0"/>
              <w:jc w:val="left"/>
            </w:pPr>
            <w:r>
              <w:rPr>
                <w:rFonts w:ascii="Times New Roman" w:hAnsi="Times New Roman"/>
                <w:sz w:val="24"/>
                <w:szCs w:val="24"/>
                <w:b/>
                <w:bCs/>
              </w:rPr>
              <w:t xml:space="preserve">9 041</w:t>
            </w:r>
          </w:p>
        </w:tc>
      </w:tr>
      <w:tr>
        <w:tc>
          <w:tcPr>
            <w:tcW w:w="1204" w:type="dxa"/>
          </w:tcPr>
          <w:p>
            <w:pPr>
              <w:spacing w:line="240" w:lineRule="auto" w:before="0" w:after="0"/>
              <w:ind w:firstLine="0"/>
              <w:jc w:val="left"/>
            </w:pPr>
            <w:r>
              <w:rPr>
                <w:rFonts w:ascii="Times New Roman" w:hAnsi="Times New Roman"/>
                <w:sz w:val="24"/>
                <w:szCs w:val="24"/>
              </w:rPr>
              <w:t xml:space="preserve">I квартал 2024 г.</w:t>
            </w:r>
          </w:p>
        </w:tc>
        <w:tc>
          <w:tcPr>
            <w:tcW w:w="1204" w:type="dxa"/>
          </w:tcPr>
          <w:p>
            <w:pPr>
              <w:spacing w:line="240" w:lineRule="auto" w:before="0" w:after="0"/>
              <w:ind w:firstLine="0"/>
              <w:jc w:val="left"/>
            </w:pPr>
            <w:r>
              <w:rPr>
                <w:rFonts w:ascii="Times New Roman" w:hAnsi="Times New Roman"/>
                <w:sz w:val="24"/>
                <w:szCs w:val="24"/>
              </w:rPr>
              <w:t xml:space="preserve">2 080</w:t>
            </w:r>
          </w:p>
        </w:tc>
        <w:tc>
          <w:tcPr>
            <w:tcW w:w="1204" w:type="dxa"/>
          </w:tcPr>
          <w:p>
            <w:pPr>
              <w:spacing w:line="240" w:lineRule="auto" w:before="0" w:after="0"/>
              <w:ind w:firstLine="0"/>
              <w:jc w:val="left"/>
            </w:pPr>
            <w:r>
              <w:rPr>
                <w:rFonts w:ascii="Times New Roman" w:hAnsi="Times New Roman"/>
                <w:sz w:val="24"/>
                <w:szCs w:val="24"/>
              </w:rPr>
              <w:t xml:space="preserve">220</w:t>
            </w:r>
          </w:p>
        </w:tc>
        <w:tc>
          <w:tcPr>
            <w:tcW w:w="1204" w:type="dxa"/>
          </w:tcPr>
          <w:p>
            <w:pPr>
              <w:spacing w:line="240" w:lineRule="auto" w:before="0" w:after="0"/>
              <w:ind w:firstLine="0"/>
              <w:jc w:val="left"/>
            </w:pPr>
            <w:r>
              <w:rPr>
                <w:rFonts w:ascii="Times New Roman" w:hAnsi="Times New Roman"/>
                <w:sz w:val="24"/>
                <w:szCs w:val="24"/>
              </w:rPr>
              <w:t xml:space="preserve">285</w:t>
            </w:r>
          </w:p>
        </w:tc>
        <w:tc>
          <w:tcPr>
            <w:tcW w:w="1204" w:type="dxa"/>
          </w:tcPr>
          <w:p>
            <w:pPr>
              <w:spacing w:line="240" w:lineRule="auto" w:before="0" w:after="0"/>
              <w:ind w:firstLine="0"/>
              <w:jc w:val="left"/>
            </w:pPr>
            <w:r>
              <w:rPr>
                <w:rFonts w:ascii="Times New Roman" w:hAnsi="Times New Roman"/>
                <w:sz w:val="24"/>
                <w:szCs w:val="24"/>
              </w:rPr>
              <w:t xml:space="preserve">41</w:t>
            </w:r>
          </w:p>
        </w:tc>
        <w:tc>
          <w:tcPr>
            <w:tcW w:w="1204" w:type="dxa"/>
          </w:tcPr>
          <w:p>
            <w:pPr>
              <w:spacing w:line="240" w:lineRule="auto" w:before="0" w:after="0"/>
              <w:ind w:firstLine="0"/>
              <w:jc w:val="left"/>
            </w:pPr>
            <w:r>
              <w:rPr>
                <w:rFonts w:ascii="Times New Roman" w:hAnsi="Times New Roman"/>
                <w:sz w:val="24"/>
                <w:szCs w:val="24"/>
              </w:rPr>
              <w:t xml:space="preserve">24</w:t>
            </w:r>
          </w:p>
        </w:tc>
        <w:tc>
          <w:tcPr>
            <w:tcW w:w="1204" w:type="dxa"/>
          </w:tcPr>
          <w:p>
            <w:pPr>
              <w:spacing w:line="240" w:lineRule="auto" w:before="0" w:after="0"/>
              <w:ind w:firstLine="0"/>
              <w:jc w:val="left"/>
            </w:pPr>
            <w:r>
              <w:rPr>
                <w:rFonts w:ascii="Times New Roman" w:hAnsi="Times New Roman"/>
                <w:sz w:val="24"/>
                <w:szCs w:val="24"/>
              </w:rPr>
              <w:t xml:space="preserve">1,8</w:t>
            </w:r>
          </w:p>
        </w:tc>
        <w:tc>
          <w:tcPr>
            <w:tcW w:w="1204" w:type="dxa"/>
          </w:tcPr>
          <w:p>
            <w:pPr>
              <w:spacing w:line="240" w:lineRule="auto" w:before="0" w:after="0"/>
              <w:ind w:firstLine="0"/>
              <w:jc w:val="left"/>
            </w:pPr>
            <w:r>
              <w:rPr>
                <w:rFonts w:ascii="Times New Roman" w:hAnsi="Times New Roman"/>
                <w:sz w:val="24"/>
                <w:szCs w:val="24"/>
              </w:rPr>
              <w:t xml:space="preserve">2 652</w:t>
            </w:r>
          </w:p>
        </w:tc>
      </w:tr>
      <w:tr>
        <w:tc>
          <w:tcPr>
            <w:tcW w:w="1204" w:type="dxa"/>
          </w:tcPr>
          <w:p>
            <w:pPr>
              <w:spacing w:line="240" w:lineRule="auto" w:before="0" w:after="0"/>
              <w:ind w:firstLine="0"/>
              <w:jc w:val="left"/>
            </w:pPr>
            <w:r>
              <w:rPr>
                <w:rFonts w:ascii="Times New Roman" w:hAnsi="Times New Roman"/>
                <w:sz w:val="24"/>
                <w:szCs w:val="24"/>
              </w:rPr>
              <w:t xml:space="preserve">II квартал 2024 г.</w:t>
            </w:r>
          </w:p>
        </w:tc>
        <w:tc>
          <w:tcPr>
            <w:tcW w:w="1204" w:type="dxa"/>
          </w:tcPr>
          <w:p>
            <w:pPr>
              <w:spacing w:line="240" w:lineRule="auto" w:before="0" w:after="0"/>
              <w:ind w:firstLine="0"/>
              <w:jc w:val="left"/>
            </w:pPr>
            <w:r>
              <w:rPr>
                <w:rFonts w:ascii="Times New Roman" w:hAnsi="Times New Roman"/>
                <w:sz w:val="24"/>
                <w:szCs w:val="24"/>
              </w:rPr>
              <w:t xml:space="preserve">2 260</w:t>
            </w:r>
          </w:p>
        </w:tc>
        <w:tc>
          <w:tcPr>
            <w:tcW w:w="1204" w:type="dxa"/>
          </w:tcPr>
          <w:p>
            <w:pPr>
              <w:spacing w:line="240" w:lineRule="auto" w:before="0" w:after="0"/>
              <w:ind w:firstLine="0"/>
              <w:jc w:val="left"/>
            </w:pPr>
            <w:r>
              <w:rPr>
                <w:rFonts w:ascii="Times New Roman" w:hAnsi="Times New Roman"/>
                <w:sz w:val="24"/>
                <w:szCs w:val="24"/>
              </w:rPr>
              <w:t xml:space="preserve">240</w:t>
            </w:r>
          </w:p>
        </w:tc>
        <w:tc>
          <w:tcPr>
            <w:tcW w:w="1204" w:type="dxa"/>
          </w:tcPr>
          <w:p>
            <w:pPr>
              <w:spacing w:line="240" w:lineRule="auto" w:before="0" w:after="0"/>
              <w:ind w:firstLine="0"/>
              <w:jc w:val="left"/>
            </w:pPr>
            <w:r>
              <w:rPr>
                <w:rFonts w:ascii="Times New Roman" w:hAnsi="Times New Roman"/>
                <w:sz w:val="24"/>
                <w:szCs w:val="24"/>
              </w:rPr>
              <w:t xml:space="preserve">305</w:t>
            </w:r>
          </w:p>
        </w:tc>
        <w:tc>
          <w:tcPr>
            <w:tcW w:w="1204" w:type="dxa"/>
          </w:tcPr>
          <w:p>
            <w:pPr>
              <w:spacing w:line="240" w:lineRule="auto" w:before="0" w:after="0"/>
              <w:ind w:firstLine="0"/>
              <w:jc w:val="left"/>
            </w:pPr>
            <w:r>
              <w:rPr>
                <w:rFonts w:ascii="Times New Roman" w:hAnsi="Times New Roman"/>
                <w:sz w:val="24"/>
                <w:szCs w:val="24"/>
              </w:rPr>
              <w:t xml:space="preserve">43</w:t>
            </w:r>
          </w:p>
        </w:tc>
        <w:tc>
          <w:tcPr>
            <w:tcW w:w="1204" w:type="dxa"/>
          </w:tcPr>
          <w:p>
            <w:pPr>
              <w:spacing w:line="240" w:lineRule="auto" w:before="0" w:after="0"/>
              <w:ind w:firstLine="0"/>
              <w:jc w:val="left"/>
            </w:pPr>
            <w:r>
              <w:rPr>
                <w:rFonts w:ascii="Times New Roman" w:hAnsi="Times New Roman"/>
                <w:sz w:val="24"/>
                <w:szCs w:val="24"/>
              </w:rPr>
              <w:t xml:space="preserve">26</w:t>
            </w:r>
          </w:p>
        </w:tc>
        <w:tc>
          <w:tcPr>
            <w:tcW w:w="1204" w:type="dxa"/>
          </w:tcPr>
          <w:p>
            <w:pPr>
              <w:spacing w:line="240" w:lineRule="auto" w:before="0" w:after="0"/>
              <w:ind w:firstLine="0"/>
              <w:jc w:val="left"/>
            </w:pPr>
            <w:r>
              <w:rPr>
                <w:rFonts w:ascii="Times New Roman" w:hAnsi="Times New Roman"/>
                <w:sz w:val="24"/>
                <w:szCs w:val="24"/>
              </w:rPr>
              <w:t xml:space="preserve">1,9</w:t>
            </w:r>
          </w:p>
        </w:tc>
        <w:tc>
          <w:tcPr>
            <w:tcW w:w="1204" w:type="dxa"/>
          </w:tcPr>
          <w:p>
            <w:pPr>
              <w:spacing w:line="240" w:lineRule="auto" w:before="0" w:after="0"/>
              <w:ind w:firstLine="0"/>
              <w:jc w:val="left"/>
            </w:pPr>
            <w:r>
              <w:rPr>
                <w:rFonts w:ascii="Times New Roman" w:hAnsi="Times New Roman"/>
                <w:sz w:val="24"/>
                <w:szCs w:val="24"/>
              </w:rPr>
              <w:t xml:space="preserve">2 876</w:t>
            </w:r>
          </w:p>
        </w:tc>
      </w:tr>
      <w:tr>
        <w:tc>
          <w:tcPr>
            <w:tcW w:w="1204" w:type="dxa"/>
          </w:tcPr>
          <w:p>
            <w:pPr>
              <w:spacing w:line="240" w:lineRule="auto" w:before="0" w:after="0"/>
              <w:ind w:firstLine="0"/>
              <w:jc w:val="left"/>
            </w:pPr>
            <w:r>
              <w:rPr>
                <w:rFonts w:ascii="Times New Roman" w:hAnsi="Times New Roman"/>
                <w:sz w:val="24"/>
                <w:szCs w:val="24"/>
              </w:rPr>
              <w:t xml:space="preserve">III квартал 2024 г.</w:t>
            </w:r>
          </w:p>
        </w:tc>
        <w:tc>
          <w:tcPr>
            <w:tcW w:w="1204" w:type="dxa"/>
          </w:tcPr>
          <w:p>
            <w:pPr>
              <w:spacing w:line="240" w:lineRule="auto" w:before="0" w:after="0"/>
              <w:ind w:firstLine="0"/>
              <w:jc w:val="left"/>
            </w:pPr>
            <w:r>
              <w:rPr>
                <w:rFonts w:ascii="Times New Roman" w:hAnsi="Times New Roman"/>
                <w:sz w:val="24"/>
                <w:szCs w:val="24"/>
              </w:rPr>
              <w:t xml:space="preserve">2 380</w:t>
            </w:r>
          </w:p>
        </w:tc>
        <w:tc>
          <w:tcPr>
            <w:tcW w:w="1204" w:type="dxa"/>
          </w:tcPr>
          <w:p>
            <w:pPr>
              <w:spacing w:line="240" w:lineRule="auto" w:before="0" w:after="0"/>
              <w:ind w:firstLine="0"/>
              <w:jc w:val="left"/>
            </w:pPr>
            <w:r>
              <w:rPr>
                <w:rFonts w:ascii="Times New Roman" w:hAnsi="Times New Roman"/>
                <w:sz w:val="24"/>
                <w:szCs w:val="24"/>
              </w:rPr>
              <w:t xml:space="preserve">250</w:t>
            </w:r>
          </w:p>
        </w:tc>
        <w:tc>
          <w:tcPr>
            <w:tcW w:w="1204" w:type="dxa"/>
          </w:tcPr>
          <w:p>
            <w:pPr>
              <w:spacing w:line="240" w:lineRule="auto" w:before="0" w:after="0"/>
              <w:ind w:firstLine="0"/>
              <w:jc w:val="left"/>
            </w:pPr>
            <w:r>
              <w:rPr>
                <w:rFonts w:ascii="Times New Roman" w:hAnsi="Times New Roman"/>
                <w:sz w:val="24"/>
                <w:szCs w:val="24"/>
              </w:rPr>
              <w:t xml:space="preserve">330</w:t>
            </w:r>
          </w:p>
        </w:tc>
        <w:tc>
          <w:tcPr>
            <w:tcW w:w="1204" w:type="dxa"/>
          </w:tcPr>
          <w:p>
            <w:pPr>
              <w:spacing w:line="240" w:lineRule="auto" w:before="0" w:after="0"/>
              <w:ind w:firstLine="0"/>
              <w:jc w:val="left"/>
            </w:pPr>
            <w:r>
              <w:rPr>
                <w:rFonts w:ascii="Times New Roman" w:hAnsi="Times New Roman"/>
                <w:sz w:val="24"/>
                <w:szCs w:val="24"/>
              </w:rPr>
              <w:t xml:space="preserve">46</w:t>
            </w:r>
          </w:p>
        </w:tc>
        <w:tc>
          <w:tcPr>
            <w:tcW w:w="1204" w:type="dxa"/>
          </w:tcPr>
          <w:p>
            <w:pPr>
              <w:spacing w:line="240" w:lineRule="auto" w:before="0" w:after="0"/>
              <w:ind w:firstLine="0"/>
              <w:jc w:val="left"/>
            </w:pPr>
            <w:r>
              <w:rPr>
                <w:rFonts w:ascii="Times New Roman" w:hAnsi="Times New Roman"/>
                <w:sz w:val="24"/>
                <w:szCs w:val="24"/>
              </w:rPr>
              <w:t xml:space="preserve">28</w:t>
            </w:r>
          </w:p>
        </w:tc>
        <w:tc>
          <w:tcPr>
            <w:tcW w:w="1204" w:type="dxa"/>
          </w:tcPr>
          <w:p>
            <w:pPr>
              <w:spacing w:line="240" w:lineRule="auto" w:before="0" w:after="0"/>
              <w:ind w:firstLine="0"/>
              <w:jc w:val="left"/>
            </w:pPr>
            <w:r>
              <w:rPr>
                <w:rFonts w:ascii="Times New Roman" w:hAnsi="Times New Roman"/>
                <w:sz w:val="24"/>
                <w:szCs w:val="24"/>
              </w:rPr>
              <w:t xml:space="preserve">2,0</w:t>
            </w:r>
          </w:p>
        </w:tc>
        <w:tc>
          <w:tcPr>
            <w:tcW w:w="1204" w:type="dxa"/>
          </w:tcPr>
          <w:p>
            <w:pPr>
              <w:spacing w:line="240" w:lineRule="auto" w:before="0" w:after="0"/>
              <w:ind w:firstLine="0"/>
              <w:jc w:val="left"/>
            </w:pPr>
            <w:r>
              <w:rPr>
                <w:rFonts w:ascii="Times New Roman" w:hAnsi="Times New Roman"/>
                <w:sz w:val="24"/>
                <w:szCs w:val="24"/>
              </w:rPr>
              <w:t xml:space="preserve">3 036</w:t>
            </w:r>
          </w:p>
        </w:tc>
      </w:tr>
      <w:tr>
        <w:tc>
          <w:tcPr>
            <w:tcW w:w="1204" w:type="dxa"/>
          </w:tcPr>
          <w:p>
            <w:pPr>
              <w:spacing w:line="240" w:lineRule="auto" w:before="0" w:after="0"/>
              <w:ind w:firstLine="0"/>
              <w:jc w:val="left"/>
            </w:pPr>
            <w:r>
              <w:rPr>
                <w:rFonts w:ascii="Times New Roman" w:hAnsi="Times New Roman"/>
                <w:sz w:val="24"/>
                <w:szCs w:val="24"/>
              </w:rPr>
              <w:t xml:space="preserve">IV квартал 2024 г.</w:t>
            </w:r>
          </w:p>
        </w:tc>
        <w:tc>
          <w:tcPr>
            <w:tcW w:w="1204" w:type="dxa"/>
          </w:tcPr>
          <w:p>
            <w:pPr>
              <w:spacing w:line="240" w:lineRule="auto" w:before="0" w:after="0"/>
              <w:ind w:firstLine="0"/>
              <w:jc w:val="left"/>
            </w:pPr>
            <w:r>
              <w:rPr>
                <w:rFonts w:ascii="Times New Roman" w:hAnsi="Times New Roman"/>
                <w:sz w:val="24"/>
                <w:szCs w:val="24"/>
              </w:rPr>
              <w:t xml:space="preserve">2 530</w:t>
            </w:r>
          </w:p>
        </w:tc>
        <w:tc>
          <w:tcPr>
            <w:tcW w:w="1204" w:type="dxa"/>
          </w:tcPr>
          <w:p>
            <w:pPr>
              <w:spacing w:line="240" w:lineRule="auto" w:before="0" w:after="0"/>
              <w:ind w:firstLine="0"/>
              <w:jc w:val="left"/>
            </w:pPr>
            <w:r>
              <w:rPr>
                <w:rFonts w:ascii="Times New Roman" w:hAnsi="Times New Roman"/>
                <w:sz w:val="24"/>
                <w:szCs w:val="24"/>
              </w:rPr>
              <w:t xml:space="preserve">270</w:t>
            </w:r>
          </w:p>
        </w:tc>
        <w:tc>
          <w:tcPr>
            <w:tcW w:w="1204" w:type="dxa"/>
          </w:tcPr>
          <w:p>
            <w:pPr>
              <w:spacing w:line="240" w:lineRule="auto" w:before="0" w:after="0"/>
              <w:ind w:firstLine="0"/>
              <w:jc w:val="left"/>
            </w:pPr>
            <w:r>
              <w:rPr>
                <w:rFonts w:ascii="Times New Roman" w:hAnsi="Times New Roman"/>
                <w:sz w:val="24"/>
                <w:szCs w:val="24"/>
              </w:rPr>
              <w:t xml:space="preserve">360</w:t>
            </w:r>
          </w:p>
        </w:tc>
        <w:tc>
          <w:tcPr>
            <w:tcW w:w="1204" w:type="dxa"/>
          </w:tcPr>
          <w:p>
            <w:pPr>
              <w:spacing w:line="240" w:lineRule="auto" w:before="0" w:after="0"/>
              <w:ind w:firstLine="0"/>
              <w:jc w:val="left"/>
            </w:pPr>
            <w:r>
              <w:rPr>
                <w:rFonts w:ascii="Times New Roman" w:hAnsi="Times New Roman"/>
                <w:sz w:val="24"/>
                <w:szCs w:val="24"/>
              </w:rPr>
              <w:t xml:space="preserve">50</w:t>
            </w:r>
          </w:p>
        </w:tc>
        <w:tc>
          <w:tcPr>
            <w:tcW w:w="1204" w:type="dxa"/>
          </w:tcPr>
          <w:p>
            <w:pPr>
              <w:spacing w:line="240" w:lineRule="auto" w:before="0" w:after="0"/>
              <w:ind w:firstLine="0"/>
              <w:jc w:val="left"/>
            </w:pPr>
            <w:r>
              <w:rPr>
                <w:rFonts w:ascii="Times New Roman" w:hAnsi="Times New Roman"/>
                <w:sz w:val="24"/>
                <w:szCs w:val="24"/>
              </w:rPr>
              <w:t xml:space="preserve">32</w:t>
            </w:r>
          </w:p>
        </w:tc>
        <w:tc>
          <w:tcPr>
            <w:tcW w:w="1204" w:type="dxa"/>
          </w:tcPr>
          <w:p>
            <w:pPr>
              <w:spacing w:line="240" w:lineRule="auto" w:before="0" w:after="0"/>
              <w:ind w:firstLine="0"/>
              <w:jc w:val="left"/>
            </w:pPr>
            <w:r>
              <w:rPr>
                <w:rFonts w:ascii="Times New Roman" w:hAnsi="Times New Roman"/>
                <w:sz w:val="24"/>
                <w:szCs w:val="24"/>
              </w:rPr>
              <w:t xml:space="preserve">2,3</w:t>
            </w:r>
          </w:p>
        </w:tc>
        <w:tc>
          <w:tcPr>
            <w:tcW w:w="1204" w:type="dxa"/>
          </w:tcPr>
          <w:p>
            <w:pPr>
              <w:spacing w:line="240" w:lineRule="auto" w:before="0" w:after="0"/>
              <w:ind w:firstLine="0"/>
              <w:jc w:val="left"/>
            </w:pPr>
            <w:r>
              <w:rPr>
                <w:rFonts w:ascii="Times New Roman" w:hAnsi="Times New Roman"/>
                <w:sz w:val="24"/>
                <w:szCs w:val="24"/>
              </w:rPr>
              <w:t xml:space="preserve">3 244</w:t>
            </w:r>
          </w:p>
        </w:tc>
      </w:tr>
      <w:tr>
        <w:tc>
          <w:tcPr>
            <w:tcW w:w="1204" w:type="dxa"/>
          </w:tcPr>
          <w:p>
            <w:pPr>
              <w:spacing w:line="240" w:lineRule="auto" w:before="0" w:after="0"/>
              <w:ind w:firstLine="0"/>
              <w:jc w:val="left"/>
            </w:pPr>
            <w:r>
              <w:rPr>
                <w:rFonts w:ascii="Times New Roman" w:hAnsi="Times New Roman"/>
                <w:sz w:val="24"/>
                <w:szCs w:val="24"/>
                <w:b/>
                <w:bCs/>
              </w:rPr>
              <w:t xml:space="preserve">Итого 2024 г.</w:t>
            </w:r>
          </w:p>
        </w:tc>
        <w:tc>
          <w:tcPr>
            <w:tcW w:w="1204" w:type="dxa"/>
          </w:tcPr>
          <w:p>
            <w:pPr>
              <w:spacing w:line="240" w:lineRule="auto" w:before="0" w:after="0"/>
              <w:ind w:firstLine="0"/>
              <w:jc w:val="left"/>
            </w:pPr>
            <w:r>
              <w:rPr>
                <w:rFonts w:ascii="Times New Roman" w:hAnsi="Times New Roman"/>
                <w:sz w:val="24"/>
                <w:szCs w:val="24"/>
                <w:b/>
                <w:bCs/>
              </w:rPr>
              <w:t xml:space="preserve">9 250</w:t>
            </w:r>
          </w:p>
        </w:tc>
        <w:tc>
          <w:tcPr>
            <w:tcW w:w="1204" w:type="dxa"/>
          </w:tcPr>
          <w:p>
            <w:pPr>
              <w:spacing w:line="240" w:lineRule="auto" w:before="0" w:after="0"/>
              <w:ind w:firstLine="0"/>
              <w:jc w:val="left"/>
            </w:pPr>
            <w:r>
              <w:rPr>
                <w:rFonts w:ascii="Times New Roman" w:hAnsi="Times New Roman"/>
                <w:sz w:val="24"/>
                <w:szCs w:val="24"/>
                <w:b/>
                <w:bCs/>
              </w:rPr>
              <w:t xml:space="preserve">980</w:t>
            </w:r>
          </w:p>
        </w:tc>
        <w:tc>
          <w:tcPr>
            <w:tcW w:w="1204" w:type="dxa"/>
          </w:tcPr>
          <w:p>
            <w:pPr>
              <w:spacing w:line="240" w:lineRule="auto" w:before="0" w:after="0"/>
              <w:ind w:firstLine="0"/>
              <w:jc w:val="left"/>
            </w:pPr>
            <w:r>
              <w:rPr>
                <w:rFonts w:ascii="Times New Roman" w:hAnsi="Times New Roman"/>
                <w:sz w:val="24"/>
                <w:szCs w:val="24"/>
                <w:b/>
                <w:bCs/>
              </w:rPr>
              <w:t xml:space="preserve">1 280</w:t>
            </w:r>
          </w:p>
        </w:tc>
        <w:tc>
          <w:tcPr>
            <w:tcW w:w="1204" w:type="dxa"/>
          </w:tcPr>
          <w:p>
            <w:pPr>
              <w:spacing w:line="240" w:lineRule="auto" w:before="0" w:after="0"/>
              <w:ind w:firstLine="0"/>
              <w:jc w:val="left"/>
            </w:pPr>
            <w:r>
              <w:rPr>
                <w:rFonts w:ascii="Times New Roman" w:hAnsi="Times New Roman"/>
                <w:sz w:val="24"/>
                <w:szCs w:val="24"/>
                <w:b/>
                <w:bCs/>
              </w:rPr>
              <w:t xml:space="preserve">180</w:t>
            </w:r>
          </w:p>
        </w:tc>
        <w:tc>
          <w:tcPr>
            <w:tcW w:w="1204" w:type="dxa"/>
          </w:tcPr>
          <w:p>
            <w:pPr>
              <w:spacing w:line="240" w:lineRule="auto" w:before="0" w:after="0"/>
              <w:ind w:firstLine="0"/>
              <w:jc w:val="left"/>
            </w:pPr>
            <w:r>
              <w:rPr>
                <w:rFonts w:ascii="Times New Roman" w:hAnsi="Times New Roman"/>
                <w:sz w:val="24"/>
                <w:szCs w:val="24"/>
                <w:b/>
                <w:bCs/>
              </w:rPr>
              <w:t xml:space="preserve">110</w:t>
            </w:r>
          </w:p>
        </w:tc>
        <w:tc>
          <w:tcPr>
            <w:tcW w:w="1204" w:type="dxa"/>
          </w:tcPr>
          <w:p>
            <w:pPr>
              <w:spacing w:line="240" w:lineRule="auto" w:before="0" w:after="0"/>
              <w:ind w:firstLine="0"/>
              <w:jc w:val="left"/>
            </w:pPr>
            <w:r>
              <w:rPr>
                <w:rFonts w:ascii="Times New Roman" w:hAnsi="Times New Roman"/>
                <w:sz w:val="24"/>
                <w:szCs w:val="24"/>
                <w:b/>
                <w:bCs/>
              </w:rPr>
              <w:t xml:space="preserve">8,0</w:t>
            </w:r>
          </w:p>
        </w:tc>
        <w:tc>
          <w:tcPr>
            <w:tcW w:w="1204" w:type="dxa"/>
          </w:tcPr>
          <w:p>
            <w:pPr>
              <w:spacing w:line="240" w:lineRule="auto" w:before="0" w:after="0"/>
              <w:ind w:firstLine="0"/>
              <w:jc w:val="left"/>
            </w:pPr>
            <w:r>
              <w:rPr>
                <w:rFonts w:ascii="Times New Roman" w:hAnsi="Times New Roman"/>
                <w:sz w:val="24"/>
                <w:szCs w:val="24"/>
                <w:b/>
                <w:bCs/>
              </w:rPr>
              <w:t xml:space="preserve">11 808</w:t>
            </w:r>
          </w:p>
        </w:tc>
      </w:tr>
    </w:tbl>
    <w:p>
      <w:pPr>
        <w:ind w:firstLine="0"/>
      </w:pPr>
    </w:p>
    <w:p>
      <w:pPr>
        <w:spacing w:line="360" w:lineRule="auto" w:before="60" w:after="120"/>
        <w:ind w:firstLine="0"/>
        <w:jc w:val="left"/>
      </w:pPr>
      <w:r>
        <w:rPr>
          <w:i/>
          <w:iCs/>
        </w:rPr>
        <w:t xml:space="preserve">Источник: данные ПАО «Сбербанк» и АО «НСПК», расчёты автора.</w:t>
      </w:r>
    </w:p>
    <w:p>
      <w:pPr>
        <w:pStyle w:val="Heading1"/>
        <w:pageBreakBefore/>
        <w:ind w:firstLine="0"/>
        <w:jc w:val="center"/>
      </w:pPr>
      <w:r>
        <w:rPr>
          <w:b/>
          <w:bCs/>
        </w:rPr>
        <w:t xml:space="preserve">ПРИЛОЖЕНИЕ Д</w:t>
      </w:r>
    </w:p>
    <w:p>
      <w:pPr>
        <w:jc w:val="both"/>
      </w:pPr>
      <w:r>
        <w:t xml:space="preserve">Тарифы ПАО «Сбербанк» на основные операции по переводам денежных средств физических лиц (по состоянию на 2024 г.)</w:t>
      </w:r>
    </w:p>
    <w:p>
      <w:pPr>
        <w:spacing w:line="360" w:lineRule="auto" w:before="120" w:after="60"/>
        <w:ind w:firstLine="0"/>
        <w:jc w:val="left"/>
      </w:pPr>
      <w:r>
        <w:t xml:space="preserve">Таблица Д.1 — Тарифы ПАО «Сбербанк» на переводы денежных средств физических лиц (выдержка)</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tblPr>
      <w:tblGrid>
        <w:gridCol w:w="3213"/>
        <w:gridCol w:w="3213"/>
        <w:gridCol w:w="3213"/>
      </w:tblGrid>
      <w:tr>
        <w:trPr>
          <w:tblHeader/>
        </w:trPr>
        <w:tc>
          <w:tcPr>
            <w:tcW w:w="3213" w:type="dxa"/>
          </w:tcPr>
          <w:p>
            <w:pPr>
              <w:spacing w:line="240" w:lineRule="auto" w:before="0" w:after="0"/>
              <w:ind w:firstLine="0"/>
              <w:jc w:val="center"/>
            </w:pPr>
            <w:r>
              <w:rPr>
                <w:rFonts w:ascii="Times New Roman" w:hAnsi="Times New Roman"/>
                <w:sz w:val="24"/>
                <w:szCs w:val="24"/>
                <w:b/>
                <w:bCs/>
              </w:rPr>
              <w:t xml:space="preserve">№</w:t>
            </w:r>
          </w:p>
        </w:tc>
        <w:tc>
          <w:tcPr>
            <w:tcW w:w="3213" w:type="dxa"/>
          </w:tcPr>
          <w:p>
            <w:pPr>
              <w:spacing w:line="240" w:lineRule="auto" w:before="0" w:after="0"/>
              <w:ind w:firstLine="0"/>
              <w:jc w:val="center"/>
            </w:pPr>
            <w:r>
              <w:rPr>
                <w:rFonts w:ascii="Times New Roman" w:hAnsi="Times New Roman"/>
                <w:sz w:val="24"/>
                <w:szCs w:val="24"/>
                <w:b/>
                <w:bCs/>
              </w:rPr>
              <w:t xml:space="preserve">Вид перевода</w:t>
            </w:r>
          </w:p>
        </w:tc>
        <w:tc>
          <w:tcPr>
            <w:tcW w:w="3213" w:type="dxa"/>
          </w:tcPr>
          <w:p>
            <w:pPr>
              <w:spacing w:line="240" w:lineRule="auto" w:before="0" w:after="0"/>
              <w:ind w:firstLine="0"/>
              <w:jc w:val="center"/>
            </w:pPr>
            <w:r>
              <w:rPr>
                <w:rFonts w:ascii="Times New Roman" w:hAnsi="Times New Roman"/>
                <w:sz w:val="24"/>
                <w:szCs w:val="24"/>
                <w:b/>
                <w:bCs/>
              </w:rPr>
              <w:t xml:space="preserve">Тариф</w:t>
            </w:r>
          </w:p>
        </w:tc>
      </w:tr>
      <w:tr>
        <w:tc>
          <w:tcPr>
            <w:tcW w:w="3213" w:type="dxa"/>
          </w:tcPr>
          <w:p>
            <w:pPr>
              <w:spacing w:line="240" w:lineRule="auto" w:before="0" w:after="0"/>
              <w:ind w:firstLine="0"/>
              <w:jc w:val="left"/>
            </w:pPr>
            <w:r>
              <w:rPr>
                <w:rFonts w:ascii="Times New Roman" w:hAnsi="Times New Roman"/>
                <w:sz w:val="24"/>
                <w:szCs w:val="24"/>
              </w:rPr>
              <w:t xml:space="preserve">1</w:t>
            </w:r>
          </w:p>
        </w:tc>
        <w:tc>
          <w:tcPr>
            <w:tcW w:w="3213" w:type="dxa"/>
          </w:tcPr>
          <w:p>
            <w:pPr>
              <w:spacing w:line="240" w:lineRule="auto" w:before="0" w:after="0"/>
              <w:ind w:firstLine="0"/>
              <w:jc w:val="left"/>
            </w:pPr>
            <w:r>
              <w:rPr>
                <w:rFonts w:ascii="Times New Roman" w:hAnsi="Times New Roman"/>
                <w:sz w:val="24"/>
                <w:szCs w:val="24"/>
              </w:rPr>
              <w:t xml:space="preserve">Перевод между своими счетами в ПАО «Сбербанк»</w:t>
            </w:r>
          </w:p>
        </w:tc>
        <w:tc>
          <w:tcPr>
            <w:tcW w:w="3213" w:type="dxa"/>
          </w:tcPr>
          <w:p>
            <w:pPr>
              <w:spacing w:line="240" w:lineRule="auto" w:before="0" w:after="0"/>
              <w:ind w:firstLine="0"/>
              <w:jc w:val="left"/>
            </w:pPr>
            <w:r>
              <w:rPr>
                <w:rFonts w:ascii="Times New Roman" w:hAnsi="Times New Roman"/>
                <w:sz w:val="24"/>
                <w:szCs w:val="24"/>
              </w:rPr>
              <w:t xml:space="preserve">без комиссии</w:t>
            </w:r>
          </w:p>
        </w:tc>
      </w:tr>
      <w:tr>
        <w:tc>
          <w:tcPr>
            <w:tcW w:w="3213" w:type="dxa"/>
          </w:tcPr>
          <w:p>
            <w:pPr>
              <w:spacing w:line="240" w:lineRule="auto" w:before="0" w:after="0"/>
              <w:ind w:firstLine="0"/>
              <w:jc w:val="left"/>
            </w:pPr>
            <w:r>
              <w:rPr>
                <w:rFonts w:ascii="Times New Roman" w:hAnsi="Times New Roman"/>
                <w:sz w:val="24"/>
                <w:szCs w:val="24"/>
              </w:rPr>
              <w:t xml:space="preserve">2</w:t>
            </w:r>
          </w:p>
        </w:tc>
        <w:tc>
          <w:tcPr>
            <w:tcW w:w="3213" w:type="dxa"/>
          </w:tcPr>
          <w:p>
            <w:pPr>
              <w:spacing w:line="240" w:lineRule="auto" w:before="0" w:after="0"/>
              <w:ind w:firstLine="0"/>
              <w:jc w:val="left"/>
            </w:pPr>
            <w:r>
              <w:rPr>
                <w:rFonts w:ascii="Times New Roman" w:hAnsi="Times New Roman"/>
                <w:sz w:val="24"/>
                <w:szCs w:val="24"/>
              </w:rPr>
              <w:t xml:space="preserve">Перевод другому клиенту ПАО «Сбербанк» по номеру телефона / счёта</w:t>
            </w:r>
          </w:p>
        </w:tc>
        <w:tc>
          <w:tcPr>
            <w:tcW w:w="3213" w:type="dxa"/>
          </w:tcPr>
          <w:p>
            <w:pPr>
              <w:spacing w:line="240" w:lineRule="auto" w:before="0" w:after="0"/>
              <w:ind w:firstLine="0"/>
              <w:jc w:val="left"/>
            </w:pPr>
            <w:r>
              <w:rPr>
                <w:rFonts w:ascii="Times New Roman" w:hAnsi="Times New Roman"/>
                <w:sz w:val="24"/>
                <w:szCs w:val="24"/>
              </w:rPr>
              <w:t xml:space="preserve">без комиссии</w:t>
            </w:r>
          </w:p>
        </w:tc>
      </w:tr>
      <w:tr>
        <w:tc>
          <w:tcPr>
            <w:tcW w:w="3213" w:type="dxa"/>
          </w:tcPr>
          <w:p>
            <w:pPr>
              <w:spacing w:line="240" w:lineRule="auto" w:before="0" w:after="0"/>
              <w:ind w:firstLine="0"/>
              <w:jc w:val="left"/>
            </w:pPr>
            <w:r>
              <w:rPr>
                <w:rFonts w:ascii="Times New Roman" w:hAnsi="Times New Roman"/>
                <w:sz w:val="24"/>
                <w:szCs w:val="24"/>
              </w:rPr>
              <w:t xml:space="preserve">3</w:t>
            </w:r>
          </w:p>
        </w:tc>
        <w:tc>
          <w:tcPr>
            <w:tcW w:w="3213" w:type="dxa"/>
          </w:tcPr>
          <w:p>
            <w:pPr>
              <w:spacing w:line="240" w:lineRule="auto" w:before="0" w:after="0"/>
              <w:ind w:firstLine="0"/>
              <w:jc w:val="left"/>
            </w:pPr>
            <w:r>
              <w:rPr>
                <w:rFonts w:ascii="Times New Roman" w:hAnsi="Times New Roman"/>
                <w:sz w:val="24"/>
                <w:szCs w:val="24"/>
              </w:rPr>
              <w:t xml:space="preserve">Перевод в другой банк через СБП по номеру телефона до 100 тыс. руб./мес.</w:t>
            </w:r>
          </w:p>
        </w:tc>
        <w:tc>
          <w:tcPr>
            <w:tcW w:w="3213" w:type="dxa"/>
          </w:tcPr>
          <w:p>
            <w:pPr>
              <w:spacing w:line="240" w:lineRule="auto" w:before="0" w:after="0"/>
              <w:ind w:firstLine="0"/>
              <w:jc w:val="left"/>
            </w:pPr>
            <w:r>
              <w:rPr>
                <w:rFonts w:ascii="Times New Roman" w:hAnsi="Times New Roman"/>
                <w:sz w:val="24"/>
                <w:szCs w:val="24"/>
              </w:rPr>
              <w:t xml:space="preserve">без комиссии</w:t>
            </w:r>
          </w:p>
        </w:tc>
      </w:tr>
      <w:tr>
        <w:tc>
          <w:tcPr>
            <w:tcW w:w="3213" w:type="dxa"/>
          </w:tcPr>
          <w:p>
            <w:pPr>
              <w:spacing w:line="240" w:lineRule="auto" w:before="0" w:after="0"/>
              <w:ind w:firstLine="0"/>
              <w:jc w:val="left"/>
            </w:pPr>
            <w:r>
              <w:rPr>
                <w:rFonts w:ascii="Times New Roman" w:hAnsi="Times New Roman"/>
                <w:sz w:val="24"/>
                <w:szCs w:val="24"/>
              </w:rPr>
              <w:t xml:space="preserve">4</w:t>
            </w:r>
          </w:p>
        </w:tc>
        <w:tc>
          <w:tcPr>
            <w:tcW w:w="3213" w:type="dxa"/>
          </w:tcPr>
          <w:p>
            <w:pPr>
              <w:spacing w:line="240" w:lineRule="auto" w:before="0" w:after="0"/>
              <w:ind w:firstLine="0"/>
              <w:jc w:val="left"/>
            </w:pPr>
            <w:r>
              <w:rPr>
                <w:rFonts w:ascii="Times New Roman" w:hAnsi="Times New Roman"/>
                <w:sz w:val="24"/>
                <w:szCs w:val="24"/>
              </w:rPr>
              <w:t xml:space="preserve">Перевод в другой банк через СБП свыше 100 тыс. руб./мес.</w:t>
            </w:r>
          </w:p>
        </w:tc>
        <w:tc>
          <w:tcPr>
            <w:tcW w:w="3213" w:type="dxa"/>
          </w:tcPr>
          <w:p>
            <w:pPr>
              <w:spacing w:line="240" w:lineRule="auto" w:before="0" w:after="0"/>
              <w:ind w:firstLine="0"/>
              <w:jc w:val="left"/>
            </w:pPr>
            <w:r>
              <w:rPr>
                <w:rFonts w:ascii="Times New Roman" w:hAnsi="Times New Roman"/>
                <w:sz w:val="24"/>
                <w:szCs w:val="24"/>
              </w:rPr>
              <w:t xml:space="preserve">0,5 %, минимум 30 руб., максимум 1 500 руб.</w:t>
            </w:r>
          </w:p>
        </w:tc>
      </w:tr>
      <w:tr>
        <w:tc>
          <w:tcPr>
            <w:tcW w:w="3213" w:type="dxa"/>
          </w:tcPr>
          <w:p>
            <w:pPr>
              <w:spacing w:line="240" w:lineRule="auto" w:before="0" w:after="0"/>
              <w:ind w:firstLine="0"/>
              <w:jc w:val="left"/>
            </w:pPr>
            <w:r>
              <w:rPr>
                <w:rFonts w:ascii="Times New Roman" w:hAnsi="Times New Roman"/>
                <w:sz w:val="24"/>
                <w:szCs w:val="24"/>
              </w:rPr>
              <w:t xml:space="preserve">5</w:t>
            </w:r>
          </w:p>
        </w:tc>
        <w:tc>
          <w:tcPr>
            <w:tcW w:w="3213" w:type="dxa"/>
          </w:tcPr>
          <w:p>
            <w:pPr>
              <w:spacing w:line="240" w:lineRule="auto" w:before="0" w:after="0"/>
              <w:ind w:firstLine="0"/>
              <w:jc w:val="left"/>
            </w:pPr>
            <w:r>
              <w:rPr>
                <w:rFonts w:ascii="Times New Roman" w:hAnsi="Times New Roman"/>
                <w:sz w:val="24"/>
                <w:szCs w:val="24"/>
              </w:rPr>
              <w:t xml:space="preserve">Перевод по карточным реквизитам в другой банк через мобильное приложение</w:t>
            </w:r>
          </w:p>
        </w:tc>
        <w:tc>
          <w:tcPr>
            <w:tcW w:w="3213" w:type="dxa"/>
          </w:tcPr>
          <w:p>
            <w:pPr>
              <w:spacing w:line="240" w:lineRule="auto" w:before="0" w:after="0"/>
              <w:ind w:firstLine="0"/>
              <w:jc w:val="left"/>
            </w:pPr>
            <w:r>
              <w:rPr>
                <w:rFonts w:ascii="Times New Roman" w:hAnsi="Times New Roman"/>
                <w:sz w:val="24"/>
                <w:szCs w:val="24"/>
              </w:rPr>
              <w:t xml:space="preserve">1,0 % от суммы, минимум 30 руб.</w:t>
            </w:r>
          </w:p>
        </w:tc>
      </w:tr>
      <w:tr>
        <w:tc>
          <w:tcPr>
            <w:tcW w:w="3213" w:type="dxa"/>
          </w:tcPr>
          <w:p>
            <w:pPr>
              <w:spacing w:line="240" w:lineRule="auto" w:before="0" w:after="0"/>
              <w:ind w:firstLine="0"/>
              <w:jc w:val="left"/>
            </w:pPr>
            <w:r>
              <w:rPr>
                <w:rFonts w:ascii="Times New Roman" w:hAnsi="Times New Roman"/>
                <w:sz w:val="24"/>
                <w:szCs w:val="24"/>
              </w:rPr>
              <w:t xml:space="preserve">6</w:t>
            </w:r>
          </w:p>
        </w:tc>
        <w:tc>
          <w:tcPr>
            <w:tcW w:w="3213" w:type="dxa"/>
          </w:tcPr>
          <w:p>
            <w:pPr>
              <w:spacing w:line="240" w:lineRule="auto" w:before="0" w:after="0"/>
              <w:ind w:firstLine="0"/>
              <w:jc w:val="left"/>
            </w:pPr>
            <w:r>
              <w:rPr>
                <w:rFonts w:ascii="Times New Roman" w:hAnsi="Times New Roman"/>
                <w:sz w:val="24"/>
                <w:szCs w:val="24"/>
              </w:rPr>
              <w:t xml:space="preserve">Перевод по реквизитам банковского счёта в другой банк через интернет-банк</w:t>
            </w:r>
          </w:p>
        </w:tc>
        <w:tc>
          <w:tcPr>
            <w:tcW w:w="3213" w:type="dxa"/>
          </w:tcPr>
          <w:p>
            <w:pPr>
              <w:spacing w:line="240" w:lineRule="auto" w:before="0" w:after="0"/>
              <w:ind w:firstLine="0"/>
              <w:jc w:val="left"/>
            </w:pPr>
            <w:r>
              <w:rPr>
                <w:rFonts w:ascii="Times New Roman" w:hAnsi="Times New Roman"/>
                <w:sz w:val="24"/>
                <w:szCs w:val="24"/>
              </w:rPr>
              <w:t xml:space="preserve">1,0 % от суммы, минимум 30 руб., максимум 1 500 руб.</w:t>
            </w:r>
          </w:p>
        </w:tc>
      </w:tr>
      <w:tr>
        <w:tc>
          <w:tcPr>
            <w:tcW w:w="3213" w:type="dxa"/>
          </w:tcPr>
          <w:p>
            <w:pPr>
              <w:spacing w:line="240" w:lineRule="auto" w:before="0" w:after="0"/>
              <w:ind w:firstLine="0"/>
              <w:jc w:val="left"/>
            </w:pPr>
            <w:r>
              <w:rPr>
                <w:rFonts w:ascii="Times New Roman" w:hAnsi="Times New Roman"/>
                <w:sz w:val="24"/>
                <w:szCs w:val="24"/>
              </w:rPr>
              <w:t xml:space="preserve">7</w:t>
            </w:r>
          </w:p>
        </w:tc>
        <w:tc>
          <w:tcPr>
            <w:tcW w:w="3213" w:type="dxa"/>
          </w:tcPr>
          <w:p>
            <w:pPr>
              <w:spacing w:line="240" w:lineRule="auto" w:before="0" w:after="0"/>
              <w:ind w:firstLine="0"/>
              <w:jc w:val="left"/>
            </w:pPr>
            <w:r>
              <w:rPr>
                <w:rFonts w:ascii="Times New Roman" w:hAnsi="Times New Roman"/>
                <w:sz w:val="24"/>
                <w:szCs w:val="24"/>
              </w:rPr>
              <w:t xml:space="preserve">Перевод по реквизитам банковского счёта в другой банк через офис банка</w:t>
            </w:r>
          </w:p>
        </w:tc>
        <w:tc>
          <w:tcPr>
            <w:tcW w:w="3213" w:type="dxa"/>
          </w:tcPr>
          <w:p>
            <w:pPr>
              <w:spacing w:line="240" w:lineRule="auto" w:before="0" w:after="0"/>
              <w:ind w:firstLine="0"/>
              <w:jc w:val="left"/>
            </w:pPr>
            <w:r>
              <w:rPr>
                <w:rFonts w:ascii="Times New Roman" w:hAnsi="Times New Roman"/>
                <w:sz w:val="24"/>
                <w:szCs w:val="24"/>
              </w:rPr>
              <w:t xml:space="preserve">2,0 % от суммы, минимум 50 руб., максимум 2 000 руб.</w:t>
            </w:r>
          </w:p>
        </w:tc>
      </w:tr>
      <w:tr>
        <w:tc>
          <w:tcPr>
            <w:tcW w:w="3213" w:type="dxa"/>
          </w:tcPr>
          <w:p>
            <w:pPr>
              <w:spacing w:line="240" w:lineRule="auto" w:before="0" w:after="0"/>
              <w:ind w:firstLine="0"/>
              <w:jc w:val="left"/>
            </w:pPr>
            <w:r>
              <w:rPr>
                <w:rFonts w:ascii="Times New Roman" w:hAnsi="Times New Roman"/>
                <w:sz w:val="24"/>
                <w:szCs w:val="24"/>
              </w:rPr>
              <w:t xml:space="preserve">8</w:t>
            </w:r>
          </w:p>
        </w:tc>
        <w:tc>
          <w:tcPr>
            <w:tcW w:w="3213" w:type="dxa"/>
          </w:tcPr>
          <w:p>
            <w:pPr>
              <w:spacing w:line="240" w:lineRule="auto" w:before="0" w:after="0"/>
              <w:ind w:firstLine="0"/>
              <w:jc w:val="left"/>
            </w:pPr>
            <w:r>
              <w:rPr>
                <w:rFonts w:ascii="Times New Roman" w:hAnsi="Times New Roman"/>
                <w:sz w:val="24"/>
                <w:szCs w:val="24"/>
              </w:rPr>
              <w:t xml:space="preserve">Перевод в иностранной валюте за рубеж (в дружественные юрисдикции)</w:t>
            </w:r>
          </w:p>
        </w:tc>
        <w:tc>
          <w:tcPr>
            <w:tcW w:w="3213" w:type="dxa"/>
          </w:tcPr>
          <w:p>
            <w:pPr>
              <w:spacing w:line="240" w:lineRule="auto" w:before="0" w:after="0"/>
              <w:ind w:firstLine="0"/>
              <w:jc w:val="left"/>
            </w:pPr>
            <w:r>
              <w:rPr>
                <w:rFonts w:ascii="Times New Roman" w:hAnsi="Times New Roman"/>
                <w:sz w:val="24"/>
                <w:szCs w:val="24"/>
              </w:rPr>
              <w:t xml:space="preserve">1,5 % от суммы, минимум 25 USD/EUR/CNY, мax 250</w:t>
            </w:r>
          </w:p>
        </w:tc>
      </w:tr>
      <w:tr>
        <w:tc>
          <w:tcPr>
            <w:tcW w:w="3213" w:type="dxa"/>
          </w:tcPr>
          <w:p>
            <w:pPr>
              <w:spacing w:line="240" w:lineRule="auto" w:before="0" w:after="0"/>
              <w:ind w:firstLine="0"/>
              <w:jc w:val="left"/>
            </w:pPr>
            <w:r>
              <w:rPr>
                <w:rFonts w:ascii="Times New Roman" w:hAnsi="Times New Roman"/>
                <w:sz w:val="24"/>
                <w:szCs w:val="24"/>
              </w:rPr>
              <w:t xml:space="preserve">9</w:t>
            </w:r>
          </w:p>
        </w:tc>
        <w:tc>
          <w:tcPr>
            <w:tcW w:w="3213" w:type="dxa"/>
          </w:tcPr>
          <w:p>
            <w:pPr>
              <w:spacing w:line="240" w:lineRule="auto" w:before="0" w:after="0"/>
              <w:ind w:firstLine="0"/>
              <w:jc w:val="left"/>
            </w:pPr>
            <w:r>
              <w:rPr>
                <w:rFonts w:ascii="Times New Roman" w:hAnsi="Times New Roman"/>
                <w:sz w:val="24"/>
                <w:szCs w:val="24"/>
              </w:rPr>
              <w:t xml:space="preserve">Перевод по системам международных денежных переводов («Золотая корона», «Юнистрим»)</w:t>
            </w:r>
          </w:p>
        </w:tc>
        <w:tc>
          <w:tcPr>
            <w:tcW w:w="3213" w:type="dxa"/>
          </w:tcPr>
          <w:p>
            <w:pPr>
              <w:spacing w:line="240" w:lineRule="auto" w:before="0" w:after="0"/>
              <w:ind w:firstLine="0"/>
              <w:jc w:val="left"/>
            </w:pPr>
            <w:r>
              <w:rPr>
                <w:rFonts w:ascii="Times New Roman" w:hAnsi="Times New Roman"/>
                <w:sz w:val="24"/>
                <w:szCs w:val="24"/>
              </w:rPr>
              <w:t xml:space="preserve">1,5–2,0 % в зависимости от направления и суммы</w:t>
            </w:r>
          </w:p>
        </w:tc>
      </w:tr>
      <w:tr>
        <w:tc>
          <w:tcPr>
            <w:tcW w:w="3213" w:type="dxa"/>
          </w:tcPr>
          <w:p>
            <w:pPr>
              <w:spacing w:line="240" w:lineRule="auto" w:before="0" w:after="0"/>
              <w:ind w:firstLine="0"/>
              <w:jc w:val="left"/>
            </w:pPr>
            <w:r>
              <w:rPr>
                <w:rFonts w:ascii="Times New Roman" w:hAnsi="Times New Roman"/>
                <w:sz w:val="24"/>
                <w:szCs w:val="24"/>
              </w:rPr>
              <w:t xml:space="preserve">10</w:t>
            </w:r>
          </w:p>
        </w:tc>
        <w:tc>
          <w:tcPr>
            <w:tcW w:w="3213" w:type="dxa"/>
          </w:tcPr>
          <w:p>
            <w:pPr>
              <w:spacing w:line="240" w:lineRule="auto" w:before="0" w:after="0"/>
              <w:ind w:firstLine="0"/>
              <w:jc w:val="left"/>
            </w:pPr>
            <w:r>
              <w:rPr>
                <w:rFonts w:ascii="Times New Roman" w:hAnsi="Times New Roman"/>
                <w:sz w:val="24"/>
                <w:szCs w:val="24"/>
              </w:rPr>
              <w:t xml:space="preserve">Регулярный перевод (автоплатёж) на услуги ЖКХ, мобильную связь, интернет</w:t>
            </w:r>
          </w:p>
        </w:tc>
        <w:tc>
          <w:tcPr>
            <w:tcW w:w="3213" w:type="dxa"/>
          </w:tcPr>
          <w:p>
            <w:pPr>
              <w:spacing w:line="240" w:lineRule="auto" w:before="0" w:after="0"/>
              <w:ind w:firstLine="0"/>
              <w:jc w:val="left"/>
            </w:pPr>
            <w:r>
              <w:rPr>
                <w:rFonts w:ascii="Times New Roman" w:hAnsi="Times New Roman"/>
                <w:sz w:val="24"/>
                <w:szCs w:val="24"/>
              </w:rPr>
              <w:t xml:space="preserve">без комиссии (большинство партнёров)</w:t>
            </w:r>
          </w:p>
        </w:tc>
      </w:tr>
    </w:tbl>
    <w:p>
      <w:pPr>
        <w:ind w:firstLine="0"/>
      </w:pPr>
    </w:p>
    <w:p>
      <w:pPr>
        <w:spacing w:line="360" w:lineRule="auto" w:before="60" w:after="120"/>
        <w:ind w:firstLine="0"/>
        <w:jc w:val="left"/>
      </w:pPr>
      <w:r>
        <w:rPr>
          <w:i/>
          <w:iCs/>
        </w:rPr>
        <w:t xml:space="preserve">Источник: тарифы ПАО «Сбербанк» для физических лиц по состоянию на декабрь 2024 года.</w:t>
      </w:r>
    </w:p>
    <w:p>
      <w:pPr>
        <w:spacing w:line="360" w:lineRule="auto" w:before="60" w:after="60"/>
        <w:jc w:val="both"/>
      </w:pPr>
      <w:r>
        <w:rPr>
          <w:i/>
          <w:iCs/>
        </w:rPr>
        <w:t xml:space="preserve">Примечание. В рамках пакетных продуктов «Сбер Премьер» и «Сбер Прайм» лимит бесплатных переводов через СБП и иные сервисы расширяется до 300–500 тыс. руб. в месяц.</w:t>
      </w:r>
    </w:p>
    <w:sectPr>
      <w:pgSz w:w="11906" w:h="16838"/>
      <w:pgMar w:top="1134" w:right="567" w:bottom="1134" w:left="1701" w:header="708" w:footer="708" w:gutter="0"/>
      <w:cols w:space="708"/>
      <w:docGrid w:linePitch="360"/>
      <w:pgNumType w:start="1"/>
    </w:sectPr>
  </w:body>
</w:document>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themeFontLang w:val="ru-RU" w:eastAsia="ru-RU" w:bidi="ar-SA"/>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ru-RU" w:eastAsia="ru-RU" w:bidi="ar-SA"/>
      </w:rPr>
    </w:rPrDefault>
    <w:pPrDefault>
      <w:pPr>
        <w:spacing w:line="360" w:lineRule="auto" w:after="0" w:before="0"/>
        <w:jc w:val="both"/>
      </w:pPr>
    </w:pPrDefault>
  </w:docDefaults>
  <w:style w:type="paragraph" w:default="1" w:styleId="Normal">
    <w:name w:val="Normal"/>
    <w:qFormat/>
    <w:pPr>
      <w:spacing w:line="360" w:lineRule="auto"/>
      <w:ind w:firstLine="709"/>
      <w:jc w:val="both"/>
    </w:pPr>
    <w:rPr>
      <w:rFonts w:ascii="Times New Roman" w:hAnsi="Times New Roman" w:cs="Times New Roman"/>
      <w:sz w:val="28"/>
      <w:szCs w:val="28"/>
    </w:rPr>
  </w:style>
  <w:style w:type="paragraph" w:styleId="Heading1">
    <w:name w:val="heading 1"/>
    <w:basedOn w:val="Normal"/>
    <w:next w:val="Normal"/>
    <w:qFormat/>
    <w:pPr>
      <w:keepNext/>
      <w:pageBreakBefore/>
      <w:spacing w:line="360" w:lineRule="auto" w:before="0" w:after="240"/>
      <w:ind w:firstLine="0"/>
      <w:jc w:val="center"/>
      <w:outlineLvl w:val="0"/>
    </w:pPr>
    <w:rPr>
      <w:b/>
      <w:bCs/>
      <w:caps/>
      <w:sz w:val="28"/>
      <w:szCs w:val="28"/>
    </w:rPr>
  </w:style>
  <w:style w:type="paragraph" w:styleId="Heading2">
    <w:name w:val="heading 2"/>
    <w:basedOn w:val="Normal"/>
    <w:next w:val="Normal"/>
    <w:qFormat/>
    <w:pPr>
      <w:keepNext/>
      <w:spacing w:line="360" w:lineRule="auto" w:before="240" w:after="120"/>
      <w:ind w:firstLine="709"/>
      <w:jc w:val="left"/>
      <w:outlineLvl w:val="1"/>
    </w:pPr>
    <w:rPr>
      <w:b/>
      <w:bCs/>
      <w:sz w:val="28"/>
      <w:szCs w:val="28"/>
    </w:rPr>
  </w:style>
  <w:style w:type="table" w:default="1" w:styleId="TableNormal">
    <w:name w:val="Normal Table"/>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Custom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Организация переводов денежных средств в коммерческих банках (на материалах ПАО «Сбербанк»)</dc:title>
  <dc:creator>Выпускная квалификационная работа</dc:creator>
  <cp:lastModifiedBy>Выпускная квалификационная работа</cp:lastModifiedBy>
  <dcterms:created xsi:type="dcterms:W3CDTF">2026-05-17T13:25:30Z</dcterms:created>
  <dcterms:modified xsi:type="dcterms:W3CDTF">2026-05-17T13:25:30Z</dcterms:modified>
</cp:coreProperties>
</file>