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 – Two-Way 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“full-factorial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“balanced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“blocking variable”</w:t>
      </w:r>
      <w:r>
        <w:t xml:space="preserve"> </w:t>
      </w:r>
      <w:r>
        <w:t xml:space="preserve">and an</w:t>
      </w:r>
      <w:r>
        <w:t xml:space="preserve"> </w:t>
      </w:r>
      <w:r>
        <w:t xml:space="preserve">“experimental factor”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“statistical interaction”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2025-05-22T22:48:33Z</dcterms:created>
  <dcterms:modified xsi:type="dcterms:W3CDTF">2025-05-22T22:48:33Z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