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a completely randomized design (CRD), how are the treatments assigned?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nuisance factor?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would you want to block based on a nuisance factor?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In the example of fertilizer application on wheat fields, why is each fertilizer rate applied only once within each field?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In a randomized complete block design (RCBD), how are the treatments assigned?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should you expect for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good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blocking variable to have a small p-value in the ANOVA table?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can you say about the blocking variable if its p-value (from the ANOVA table) is large?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to the error (residual) sum of squares if you ignore a blocking variable? Why is this bad?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you’re part of a research team investigating the efficacy of a newly designed</w:t>
      </w:r>
      <w:r>
        <w:rPr>
          <w:b/>
          <w:bCs/>
        </w:rPr>
        <w:t xml:space="preserve"> </w:t>
      </w:r>
      <w:hyperlink r:id="rId23">
        <w:r>
          <w:rPr>
            <w:rStyle w:val="Hyperlink"/>
            <w:b/>
            <w:bCs/>
          </w:rPr>
          <w:t xml:space="preserve">beta blocker</w:t>
        </w:r>
      </w:hyperlink>
      <w:r>
        <w:rPr>
          <w:b/>
          <w:bCs/>
        </w:rPr>
        <w:t xml:space="preserve">. What are two variables you believe would be important to block 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treatments assigned in a Latin square design?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en.wikipedia.org/wiki/Beta_block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Beta_block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2025-05-30T22:16:29Z</dcterms:created>
  <dcterms:modified xsi:type="dcterms:W3CDTF">2025-05-30T22:16:29Z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