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6"/>
        </w:pBdr>
        <w:spacing w:after="120"/>
        <w:jc w:val="center"/>
      </w:pPr>
      <w:r>
        <w:rPr>
          <w:rFonts w:ascii="Times New Roman" w:eastAsia="黑体" w:hAnsi="Times New Roman"/>
          <w:b/>
          <w:bCs/>
          <w:color w:val="1F3864"/>
          <w:sz w:val="44"/>
          <w:szCs w:val="44"/>
        </w:rPr>
        <w:t xml:space="preserve">关　于</w:t>
      </w:r>
    </w:p>
    <w:p>
      <w:pPr>
        <w:spacing w:after="80" w:before="240"/>
        <w:jc w:val="center"/>
      </w:pPr>
      <w:r>
        <w:rPr>
          <w:rFonts w:ascii="Times New Roman" w:eastAsia="黑体" w:hAnsi="Times New Roman"/>
          <w:b/>
          <w:bCs/>
          <w:color w:val="1F1F1F"/>
          <w:sz w:val="52"/>
          <w:szCs w:val="52"/>
        </w:rPr>
        <w:t xml:space="preserve">证券虚假陈述责任纠纷</w:t>
      </w:r>
    </w:p>
    <w:p>
      <w:pPr>
        <w:spacing w:after="120" w:before="80"/>
        <w:jc w:val="center"/>
      </w:pPr>
      <w:r>
        <w:rPr>
          <w:rFonts w:ascii="Times New Roman" w:eastAsia="黑体" w:hAnsi="Times New Roman"/>
          <w:b/>
          <w:bCs/>
          <w:color w:val="1F1F1F"/>
          <w:sz w:val="52"/>
          <w:szCs w:val="52"/>
        </w:rPr>
        <w:t xml:space="preserve">类案检索报告</w:t>
      </w:r>
    </w:p>
    <w:p>
      <w:pPr>
        <w:pBdr>
          <w:top w:val="single" w:color="1F3864" w:sz="8" w:space="6"/>
        </w:pBdr>
        <w:spacing w:after="120" w:before="120"/>
        <w:jc w:val="center"/>
      </w:pPr>
      <w:r>
        <w:rPr>
          <w:rFonts w:ascii="Times New Roman" w:eastAsia="黑体" w:hAnsi="Times New Roman"/>
          <w:b/>
          <w:bCs/>
          <w:color w:val="1F3864"/>
          <w:sz w:val="40"/>
          <w:szCs w:val="40"/>
        </w:rPr>
        <w:t xml:space="preserve">分析报告</w:t>
      </w:r>
    </w:p>
    <w:p>
      <w:pPr>
        <w:sectPr>
          <w:footerReference w:type="default" r:id="rId7"/>
          <w:type w:val="nextPage"/>
          <w:pgSz w:w="11906" w:h="16838" w:orient="portrait"/>
          <w:pgMar w:top="1440" w:right="1800" w:bottom="1440" w:left="1800" w:header="708" w:footer="708" w:gutter="0"/>
          <w:pgNumType/>
          <w:vAlign w:val="center"/>
          <w:docGrid w:linePitch="360"/>
        </w:sectPr>
      </w:pPr>
    </w:p>
    <w:p>
      <w:pPr>
        <w:spacing w:after="16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　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执行摘要与核心发现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本报告为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实案研究模式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结构示范：假定一起上市公司连续虚增收入利润、被立案调查后投资者索赔的待决案件将诉至上海金融法院，依《最高人民法院关于统一法律适用加强类案检索的指导意见（试行）》（法发〔2020〕24号）第四条四顺位检索类案，逐案量化比对相似性并深挖抗辩↔裁判逻辑与证据对照；裁判规则全景作为内嵌主体（本演示精写其要点，完整全景范式见姊妹篇《证券虚假陈述-裁判规则研究报告》）。核心发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基准案已锁定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：甲新材股份案（（2022）示74民初0301号·上海金融法院）与本案相似度 93——财务造假手段、立案揭露、区间买入结构完全对应，重大性、揭露日、因果、系统风险扣除的裁判路径可整体参照。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中介责任有正反剧本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：乙生物科技案会计师 25% 比例连带（职业怀疑失守），与勤勉尽责免责要件互为对照。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时效与示范机制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：壬股份案确认示范判决机制下时效中止中断，时效抗辩空间极小。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数据来源：本报告样本（N=7，合成演示数据）。</w:t>
      </w:r>
    </w:p>
    <w:p>
      <w:pPr>
        <w:spacing w:before="120"/>
        <w:jc w:val="center"/>
      </w:pPr>
      <w:r>
        <w:drawing>
          <wp:inline distT="0" distB="0" distL="0" distR="0">
            <wp:extent cx="5143500" cy="3543300"/>
            <wp:effectExtent t="0" r="0" b="0" l="0"/>
            <wp:docPr id="1" name="chart" descr="图 1　样本概览：审理法院、审级、年份与裁判结果分布（N=7）" title="图 1　样本概览：审理法院、审级、年份与裁判结果分布（N=7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图 1　样本概览：审理法院、审级、年份与裁判结果分布（N=7）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一、研究范围与方法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（一）研究模式、核心法院与检索顺位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核心法院为上海金融法院（演示），专门法院之上诉审为上海市高级人民法院，顺位③④高院重合：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3420"/>
        <w:gridCol w:w="4326"/>
      </w:tblGrid>
      <w:tr>
        <w:trPr>
          <w:tblHeader/>
        </w:trP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顺位</w:t>
            </w:r>
          </w:p>
        </w:tc>
        <w:tc>
          <w:tcPr>
            <w:tcW w:type="dxa" w:w="342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  <w:tc>
          <w:tcPr>
            <w:tcW w:type="dxa" w:w="432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本案对应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①</w:t>
            </w:r>
          </w:p>
        </w:tc>
        <w:tc>
          <w:tcPr>
            <w:tcW w:type="dxa" w:w="342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最高法指导性案例</w:t>
            </w:r>
          </w:p>
        </w:tc>
        <w:tc>
          <w:tcPr>
            <w:tcW w:type="dxa" w:w="432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本地指导性案例数据集（经检索无直接对口，如实呈报）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②</w:t>
            </w:r>
          </w:p>
        </w:tc>
        <w:tc>
          <w:tcPr>
            <w:tcW w:type="dxa" w:w="342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最高法典型案例及生效裁判</w:t>
            </w:r>
          </w:p>
        </w:tc>
        <w:tc>
          <w:tcPr>
            <w:tcW w:type="dxa" w:w="432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最高人民法院（演示池含公报案例 1 件，入附录索引）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③</w:t>
            </w:r>
          </w:p>
        </w:tc>
        <w:tc>
          <w:tcPr>
            <w:tcW w:type="dxa" w:w="342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本省高院参考性案例及生效裁判</w:t>
            </w:r>
          </w:p>
        </w:tc>
        <w:tc>
          <w:tcPr>
            <w:tcW w:type="dxa" w:w="432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上海市高级人民法院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④</w:t>
            </w:r>
          </w:p>
        </w:tc>
        <w:tc>
          <w:tcPr>
            <w:tcW w:type="dxa" w:w="342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上一级法院及本院生效裁判</w:t>
            </w:r>
          </w:p>
        </w:tc>
        <w:tc>
          <w:tcPr>
            <w:tcW w:type="dxa" w:w="432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上海市高级人民法院、上海金融法院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（二）相似性量化评分方法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按《类案检索规定》第六条三要素加权评分（基本事实 50＋争议焦点 30＋法律适用 20）：≥90 高相关深挖、80–89 中相关深挖、60–79 单争点参照、&lt;60 背景提示。分项给分附理由，随案列示供复核。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（三）方法与局限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本演示为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结构与格式示范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（合成数据、无判决全文），真实运行时深挖深度为本示范的数倍。集团案形态由阀门自动检测折叠（本池为已折叠核心判决）。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二、类案规则（依据《类案检索规定》）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（一）顺位①②：指导性案例与最高法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经检索本地指导性案例数据集，暂无与本案情直接对口的指导性案例（如实呈报，无「应当参照」项）；顺位②演示池含公报案例 1 件（正文未公开，入附录索引）。下列各案均为「可以参考」（第九条）。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（二）顺位③④：核心判决深挖</w:t>
      </w:r>
    </w:p>
    <w:p>
      <w:pPr>
        <w:pStyle w:val="Heading3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6"/>
          <w:szCs w:val="26"/>
        </w:rPr>
        <w:t xml:space="preserve">1.（2022）示74民初0301号·上海金融法院——甲新材股份虚增收入案【相似度 93 · 高相关 · 本案基准案】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基本案情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：甲新材股份 2018—2020 年连续虚增营业收入与利润，2021 年 5 月被证监会立案调查并公告、嗣后受罚；众多投资者分别起诉，本案为该事件示范判决。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被告抗辩逻辑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：① 涉案虚增不具重大性；② 投资者损失主要系大盘下跌所致，应扣除系统风险。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法院裁判逻辑（逐项对应）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对①：虚增占当期利润比例显著，足以影响理性投资者决策，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具有重大性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——不采纳；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对②：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部分采纳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——属同期大盘与行业下行的部分应予扣除，经专业测算系统风险扣除比例 15%；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时点与因果：以立案调查公告日为揭露日；实施日后揭露日前买入并持有受损者，交易因果关系推定成立。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证据对照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7"/>
        <w:gridCol w:w="2469"/>
        <w:gridCol w:w="1795"/>
        <w:gridCol w:w="3145"/>
      </w:tblGrid>
      <w:tr>
        <w:trPr>
          <w:tblHeader/>
        </w:trPr>
        <w:tc>
          <w:tcPr>
            <w:tcW w:type="dxa" w:w="897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争议焦点</w:t>
            </w:r>
          </w:p>
        </w:tc>
        <w:tc>
          <w:tcPr>
            <w:tcW w:type="dxa" w:w="2469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原告举证</w:t>
            </w:r>
          </w:p>
        </w:tc>
        <w:tc>
          <w:tcPr>
            <w:tcW w:type="dxa" w:w="179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被告举证</w:t>
            </w:r>
          </w:p>
        </w:tc>
        <w:tc>
          <w:tcPr>
            <w:tcW w:type="dxa" w:w="314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法院采信</w:t>
            </w:r>
          </w:p>
        </w:tc>
      </w:tr>
      <w:tr>
        <w:tc>
          <w:tcPr>
            <w:tcW w:type="dxa" w:w="897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重大性</w:t>
            </w:r>
          </w:p>
        </w:tc>
        <w:tc>
          <w:tcPr>
            <w:tcW w:type="dxa" w:w="2469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立案公告、行政处罚决定</w:t>
            </w:r>
          </w:p>
        </w:tc>
        <w:tc>
          <w:tcPr>
            <w:tcW w:type="dxa" w:w="179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〔演示：未详列〕</w:t>
            </w:r>
          </w:p>
        </w:tc>
        <w:tc>
          <w:tcPr>
            <w:tcW w:type="dxa" w:w="314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处罚认定的虚增占比</w:t>
            </w:r>
          </w:p>
        </w:tc>
      </w:tr>
      <w:tr>
        <w:tc>
          <w:tcPr>
            <w:tcW w:type="dxa" w:w="897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损失扣除</w:t>
            </w:r>
          </w:p>
        </w:tc>
        <w:tc>
          <w:tcPr>
            <w:tcW w:type="dxa" w:w="2469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交易记录</w:t>
            </w:r>
          </w:p>
        </w:tc>
        <w:tc>
          <w:tcPr>
            <w:tcW w:type="dxa" w:w="179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申请专业测算</w:t>
            </w:r>
          </w:p>
        </w:tc>
        <w:tc>
          <w:tcPr>
            <w:tcW w:type="dxa" w:w="314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专业测算意见（系统风险 15%）</w:t>
            </w:r>
          </w:p>
        </w:tc>
      </w:tr>
    </w:tbl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相似性评分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：基本事实 49（主体 14＋行为 20＋情节 15）＋争议焦点 25＋法律适用 19＝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93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参照要点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：本案重大性、揭露日、因果、扣除四争点的推演底稿。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可以参考。</w:t>
      </w:r>
    </w:p>
    <w:p>
      <w:pPr>
        <w:pStyle w:val="Heading3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6"/>
          <w:szCs w:val="26"/>
        </w:rPr>
        <w:t xml:space="preserve">2.（2023）示74民初0455号·上海金融法院——乙生物科技招股书造假案【相似度 84 · 中相关】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基本案情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：乙生物科技首发招股说明书对研发投入与在研管线虚假记载，丙会计师事务所出具标准无保留意见；投资者提起代表人诉讼。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被告抗辩逻辑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：丙会计师事务所主张已勤勉尽责、对管线技术事项无专业判断能力。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法院裁判逻辑（逐项对应）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：发行人对招股文件虚假记载承担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无过错责任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；会计师未对异常研发资本化保持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职业怀疑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、未尽特别注意义务，勤勉尽责抗辩不成立，按过错在 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25% 范围内连带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相似性评分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：基本事实 44＋争议焦点 22＋法律适用 18＝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84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（招股书造假与本案年报造假场景略偏移）。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参照要点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：若本案追加审计机构，其抗辩成败要件（职业怀疑＋特别注意义务）在此有完整预演。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可以参考。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（三）单争点参照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3"/>
        <w:gridCol w:w="638"/>
        <w:gridCol w:w="3835"/>
      </w:tblGrid>
      <w:tr>
        <w:trPr>
          <w:tblHeader/>
        </w:trPr>
        <w:tc>
          <w:tcPr>
            <w:tcW w:type="dxa" w:w="3833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案号·法院</w:t>
            </w:r>
          </w:p>
        </w:tc>
        <w:tc>
          <w:tcPr>
            <w:tcW w:type="dxa" w:w="638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相似度</w:t>
            </w:r>
          </w:p>
        </w:tc>
        <w:tc>
          <w:tcPr>
            <w:tcW w:type="dxa" w:w="383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参照争点与裁判要旨</w:t>
            </w:r>
          </w:p>
        </w:tc>
      </w:tr>
      <w:tr>
        <w:tc>
          <w:tcPr>
            <w:tcW w:type="dxa" w:w="3833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（2022）示74民初0388号·上海金融法院</w:t>
            </w:r>
          </w:p>
        </w:tc>
        <w:tc>
          <w:tcPr>
            <w:tcW w:type="dxa" w:w="638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76</w:t>
            </w:r>
          </w:p>
        </w:tc>
        <w:tc>
          <w:tcPr>
            <w:tcW w:type="dxa" w:w="383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222222"/>
                <w:sz w:val="17"/>
                <w:szCs w:val="17"/>
              </w:rPr>
              <w:t xml:space="preserve">预测性信息安全港边界</w:t>
            </w: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：无合理测算依据且未作风险提示的业绩预告不得入港</w:t>
            </w:r>
          </w:p>
        </w:tc>
      </w:tr>
      <w:tr>
        <w:tc>
          <w:tcPr>
            <w:tcW w:type="dxa" w:w="3833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（2023）示民终0061号·上海市高级人民法院</w:t>
            </w:r>
          </w:p>
        </w:tc>
        <w:tc>
          <w:tcPr>
            <w:tcW w:type="dxa" w:w="638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72</w:t>
            </w:r>
          </w:p>
        </w:tc>
        <w:tc>
          <w:tcPr>
            <w:tcW w:type="dxa" w:w="383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222222"/>
                <w:sz w:val="17"/>
                <w:szCs w:val="17"/>
              </w:rPr>
              <w:t xml:space="preserve">非系统他因扣除</w:t>
            </w: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：行业/个股风险经举证亦应扣除（二审改判）</w:t>
            </w:r>
          </w:p>
        </w:tc>
      </w:tr>
      <w:tr>
        <w:tc>
          <w:tcPr>
            <w:tcW w:type="dxa" w:w="3833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（2022）示74民初0290号·上海金融法院</w:t>
            </w:r>
          </w:p>
        </w:tc>
        <w:tc>
          <w:tcPr>
            <w:tcW w:type="dxa" w:w="638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70</w:t>
            </w:r>
          </w:p>
        </w:tc>
        <w:tc>
          <w:tcPr>
            <w:tcW w:type="dxa" w:w="383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222222"/>
                <w:sz w:val="17"/>
                <w:szCs w:val="17"/>
              </w:rPr>
              <w:t xml:space="preserve">时效与示范机制</w:t>
            </w: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：示范判决期间平行案件时效中止中断</w:t>
            </w:r>
          </w:p>
        </w:tc>
      </w:tr>
    </w:tbl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&gt; </w:t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背景提示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：（2023）示01民初0212号（重大性下边界，驳回）、（2023）示01民初0276号（控股股东组织指使连带）整体场景偏移，相关争点在全景章作代表案展开。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三、裁判规则全景（内嵌主体·要点版）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&gt; 实案报告完整内嵌裁判规则研究的全景章（五维四段＋理论展开＋演进对照，深度不降一分）。本演示为避免与姊妹篇《证券虚假陈述-裁判规则研究报告》重复，此处仅列各维要点；完整范式请见该篇。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责任主体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：发行人无过错责任；控股股东组织指使连带（示01民初0276号）；中介按过错比例连带（示74民初0455号 25%）。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行为与重大性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：双重标准（决策影响＋价量敏感）；重大性亦是出罪通道（示01民初0212号驳回）。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损害与时点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：立案公告日揭露主流；更正公告日例外（示74民初0388号）。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因果关系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：区间买入推定成立；他因扣除从系统风险扩展至非系统风险（示民终0061号）。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主观过错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：职业怀疑与特别注意义务是中介抗辩的成败线。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程序机制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：示范判决＋时效中止中断（示74民初0290号）。</w:t>
      </w:r>
    </w:p>
    <w:p>
      <w:pPr>
        <w:spacing w:before="120"/>
        <w:jc w:val="center"/>
      </w:pPr>
      <w:r>
        <w:drawing>
          <wp:inline distT="0" distB="0" distL="0" distR="0">
            <wp:extent cx="5143500" cy="3057525"/>
            <wp:effectExtent t="0" r="0" b="0" l="0"/>
            <wp:docPr id="1" name="chart" descr="图 2　各构成要件争点在核心判决中的出现频次" title="图 2　各构成要件争点在核心判决中的出现频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图 2　各构成要件争点在核心判决中的出现频次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四、综合分析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（一）控辩诉讼要点指引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2"/>
        <w:gridCol w:w="3230"/>
        <w:gridCol w:w="4154"/>
      </w:tblGrid>
      <w:tr>
        <w:trPr>
          <w:tblHeader/>
        </w:trPr>
        <w:tc>
          <w:tcPr>
            <w:tcW w:type="dxa" w:w="92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争议焦点</w:t>
            </w:r>
          </w:p>
        </w:tc>
        <w:tc>
          <w:tcPr>
            <w:tcW w:type="dxa" w:w="323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原告着力点</w:t>
            </w:r>
          </w:p>
        </w:tc>
        <w:tc>
          <w:tcPr>
            <w:tcW w:type="dxa" w:w="415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被告着力点</w:t>
            </w:r>
          </w:p>
        </w:tc>
      </w:tr>
      <w:tr>
        <w:tc>
          <w:tcPr>
            <w:tcW w:type="dxa" w:w="92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重大性</w:t>
            </w:r>
          </w:p>
        </w:tc>
        <w:tc>
          <w:tcPr>
            <w:tcW w:type="dxa" w:w="323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以处罚认定锁定＋虚增占比举证</w:t>
            </w:r>
          </w:p>
        </w:tc>
        <w:tc>
          <w:tcPr>
            <w:tcW w:type="dxa" w:w="415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占比与价量反证（示01民初0212号路径）</w:t>
            </w:r>
          </w:p>
        </w:tc>
      </w:tr>
      <w:tr>
        <w:tc>
          <w:tcPr>
            <w:tcW w:type="dxa" w:w="92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损失扣除</w:t>
            </w:r>
          </w:p>
        </w:tc>
        <w:tc>
          <w:tcPr>
            <w:tcW w:type="dxa" w:w="323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质疑扣除项可区分性</w:t>
            </w:r>
          </w:p>
        </w:tc>
        <w:tc>
          <w:tcPr>
            <w:tcW w:type="dxa" w:w="415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尽早申请专业测算（基准案 15% 先例）</w:t>
            </w:r>
          </w:p>
        </w:tc>
      </w:tr>
      <w:tr>
        <w:tc>
          <w:tcPr>
            <w:tcW w:type="dxa" w:w="92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中介责任</w:t>
            </w:r>
          </w:p>
        </w:tc>
        <w:tc>
          <w:tcPr>
            <w:tcW w:type="dxa" w:w="323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紧扣职业怀疑缺口</w:t>
            </w:r>
          </w:p>
        </w:tc>
        <w:tc>
          <w:tcPr>
            <w:tcW w:type="dxa" w:w="415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尽调底稿＋特别注意义务履痕</w:t>
            </w:r>
          </w:p>
        </w:tc>
      </w:tr>
      <w:tr>
        <w:tc>
          <w:tcPr>
            <w:tcW w:type="dxa" w:w="92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时效</w:t>
            </w:r>
          </w:p>
        </w:tc>
        <w:tc>
          <w:tcPr>
            <w:tcW w:type="dxa" w:w="323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援引示范机制中止中断</w:t>
            </w:r>
          </w:p>
        </w:tc>
        <w:tc>
          <w:tcPr>
            <w:tcW w:type="dxa" w:w="415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仅临界日期有精算空间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（二）控辩证据准备清单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4333"/>
        <w:gridCol w:w="2529"/>
      </w:tblGrid>
      <w:tr>
        <w:trPr>
          <w:tblHeader/>
        </w:trPr>
        <w:tc>
          <w:tcPr>
            <w:tcW w:type="dxa" w:w="144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争议焦点</w:t>
            </w:r>
          </w:p>
        </w:tc>
        <w:tc>
          <w:tcPr>
            <w:tcW w:type="dxa" w:w="4333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原告应备证据</w:t>
            </w:r>
          </w:p>
        </w:tc>
        <w:tc>
          <w:tcPr>
            <w:tcW w:type="dxa" w:w="2529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被告应备证据</w:t>
            </w:r>
          </w:p>
        </w:tc>
      </w:tr>
      <w:tr>
        <w:tc>
          <w:tcPr>
            <w:tcW w:type="dxa" w:w="144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行为与重大性</w:t>
            </w:r>
          </w:p>
        </w:tc>
        <w:tc>
          <w:tcPr>
            <w:tcW w:type="dxa" w:w="4333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行政处罚决定书、立案公告、定期报告原文</w:t>
            </w:r>
          </w:p>
        </w:tc>
        <w:tc>
          <w:tcPr>
            <w:tcW w:type="dxa" w:w="2529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价量数据对比分析</w:t>
            </w:r>
          </w:p>
        </w:tc>
      </w:tr>
      <w:tr>
        <w:tc>
          <w:tcPr>
            <w:tcW w:type="dxa" w:w="144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因果与损失</w:t>
            </w:r>
          </w:p>
        </w:tc>
        <w:tc>
          <w:tcPr>
            <w:tcW w:type="dxa" w:w="4333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证券账户对账单、交易流水</w:t>
            </w:r>
          </w:p>
        </w:tc>
        <w:tc>
          <w:tcPr>
            <w:tcW w:type="dxa" w:w="2529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专业机构损失测算意见</w:t>
            </w:r>
          </w:p>
        </w:tc>
      </w:tr>
      <w:tr>
        <w:tc>
          <w:tcPr>
            <w:tcW w:type="dxa" w:w="144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中介责任</w:t>
            </w:r>
          </w:p>
        </w:tc>
        <w:tc>
          <w:tcPr>
            <w:tcW w:type="dxa" w:w="4333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处罚调查中执业缺陷认定</w:t>
            </w:r>
          </w:p>
        </w:tc>
        <w:tc>
          <w:tcPr>
            <w:tcW w:type="dxa" w:w="2529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完整尽调/审计工作底稿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chart" descr="图 3　裁判结果年度演进（N=7）" title="图 3　裁判结果年度演进（N=7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图 3　裁判结果年度演进（N=7）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五、结论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就本演示案情，上海金融法院（演示）的裁判路径可凝练为：处罚锁定行为与重大性 → 立案公告日揭露 → 区间买入因果推定 → 专业测算扣除系统风险 → 中介按职业怀疑成败定比例连带 → 时效抗辩近乎无效。基准案（（2022）示74民初0301号，相似度 93）提供整体推演底稿。本演示为结构示范，N=7 仅示流程形态。数据来源：本报告样本（N=7，合成演示数据）。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附录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附录一　顺位内核心判决索引（含相似性评分）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3961"/>
        <w:gridCol w:w="766"/>
        <w:gridCol w:w="1405"/>
        <w:gridCol w:w="1614"/>
      </w:tblGrid>
      <w:tr>
        <w:trPr>
          <w:tblHeader/>
        </w:trP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顺位</w:t>
            </w:r>
          </w:p>
        </w:tc>
        <w:tc>
          <w:tcPr>
            <w:tcW w:type="dxa" w:w="396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案号</w:t>
            </w:r>
          </w:p>
        </w:tc>
        <w:tc>
          <w:tcPr>
            <w:tcW w:type="dxa" w:w="76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相似度</w:t>
            </w:r>
          </w:p>
        </w:tc>
        <w:tc>
          <w:tcPr>
            <w:tcW w:type="dxa" w:w="140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W w:type="dxa" w:w="161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④</w:t>
            </w:r>
          </w:p>
        </w:tc>
        <w:tc>
          <w:tcPr>
            <w:tcW w:type="dxa" w:w="396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（2022）示74民初0301号</w:t>
            </w:r>
          </w:p>
        </w:tc>
        <w:tc>
          <w:tcPr>
            <w:tcW w:type="dxa" w:w="76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93</w:t>
            </w:r>
          </w:p>
        </w:tc>
        <w:tc>
          <w:tcPr>
            <w:tcW w:type="dxa" w:w="140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高相关·深挖</w:t>
            </w:r>
          </w:p>
        </w:tc>
        <w:tc>
          <w:tcPr>
            <w:tcW w:type="dxa" w:w="161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部分支持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④</w:t>
            </w:r>
          </w:p>
        </w:tc>
        <w:tc>
          <w:tcPr>
            <w:tcW w:type="dxa" w:w="396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（2023）示74民初0455号</w:t>
            </w:r>
          </w:p>
        </w:tc>
        <w:tc>
          <w:tcPr>
            <w:tcW w:type="dxa" w:w="76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84</w:t>
            </w:r>
          </w:p>
        </w:tc>
        <w:tc>
          <w:tcPr>
            <w:tcW w:type="dxa" w:w="140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中相关·深挖</w:t>
            </w:r>
          </w:p>
        </w:tc>
        <w:tc>
          <w:tcPr>
            <w:tcW w:type="dxa" w:w="161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部分支持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④</w:t>
            </w:r>
          </w:p>
        </w:tc>
        <w:tc>
          <w:tcPr>
            <w:tcW w:type="dxa" w:w="396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（2022）示74民初0388号</w:t>
            </w:r>
          </w:p>
        </w:tc>
        <w:tc>
          <w:tcPr>
            <w:tcW w:type="dxa" w:w="76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76</w:t>
            </w:r>
          </w:p>
        </w:tc>
        <w:tc>
          <w:tcPr>
            <w:tcW w:type="dxa" w:w="140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单争点参照</w:t>
            </w:r>
          </w:p>
        </w:tc>
        <w:tc>
          <w:tcPr>
            <w:tcW w:type="dxa" w:w="161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部分支持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③</w:t>
            </w:r>
          </w:p>
        </w:tc>
        <w:tc>
          <w:tcPr>
            <w:tcW w:type="dxa" w:w="396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（2023）示民终0061号</w:t>
            </w:r>
          </w:p>
        </w:tc>
        <w:tc>
          <w:tcPr>
            <w:tcW w:type="dxa" w:w="76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72</w:t>
            </w:r>
          </w:p>
        </w:tc>
        <w:tc>
          <w:tcPr>
            <w:tcW w:type="dxa" w:w="140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单争点参照</w:t>
            </w:r>
          </w:p>
        </w:tc>
        <w:tc>
          <w:tcPr>
            <w:tcW w:type="dxa" w:w="161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撤销改判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④</w:t>
            </w:r>
          </w:p>
        </w:tc>
        <w:tc>
          <w:tcPr>
            <w:tcW w:type="dxa" w:w="396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（2022）示74民初0290号</w:t>
            </w:r>
          </w:p>
        </w:tc>
        <w:tc>
          <w:tcPr>
            <w:tcW w:type="dxa" w:w="76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70</w:t>
            </w:r>
          </w:p>
        </w:tc>
        <w:tc>
          <w:tcPr>
            <w:tcW w:type="dxa" w:w="140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单争点参照</w:t>
            </w:r>
          </w:p>
        </w:tc>
        <w:tc>
          <w:tcPr>
            <w:tcW w:type="dxa" w:w="161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部分支持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——</w:t>
            </w:r>
          </w:p>
        </w:tc>
        <w:tc>
          <w:tcPr>
            <w:tcW w:type="dxa" w:w="396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（2023）示01民初0212号 / 0276号</w:t>
            </w:r>
          </w:p>
        </w:tc>
        <w:tc>
          <w:tcPr>
            <w:tcW w:type="dxa" w:w="766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&lt;60</w:t>
            </w:r>
          </w:p>
        </w:tc>
        <w:tc>
          <w:tcPr>
            <w:tcW w:type="dxa" w:w="140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背景提示</w:t>
            </w:r>
          </w:p>
        </w:tc>
        <w:tc>
          <w:tcPr>
            <w:tcW w:type="dxa" w:w="161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驳回/部分支持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附录二　检索过程说明（法发〔2020〕24号第八条要素）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检索主体/时间/平台：（演示）；检索方法：案由＋A/B 两套关键词、四顺位标注、集团案阀门折叠；检索结果：核心判决 7 件＋平行留痕＋公报案例 1 件；类案裁判要点与待决案件争议焦点见第二、三章；参照/参考分析：无「应当参照」项，顺位内案件均「可以参考」并已逐案比对。本附录满足第八条检索报告要素，可随案归档（演示）。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研究模式：实案研究（演示·指定核心法院，按《类案检索规定》四顺位深挖）</w:t>
    </w:r>
  </w:p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报告人：（演示）</w:t>
    </w:r>
  </w:p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报告日期：2026年6月9日</w:t>
    </w:r>
  </w:p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核心法院：上海金融法院（演示）</w:t>
    </w:r>
  </w:p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分析样本：顺位内核心判决 7 件（合成演示数据，见 examples/DISCLAIMER.md）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595959"/>
        <w:sz w:val="18"/>
        <w:szCs w:val="18"/>
      </w:rPr>
      <w:t xml:space="preserve">第 </w:t>
    </w:r>
    <w:r>
      <w:rPr>
        <w:rFonts w:ascii="Times New Roman" w:eastAsia="宋体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595959"/>
        <w:sz w:val="18"/>
        <w:szCs w:val="18"/>
      </w:rPr>
      <w:t xml:space="preserve"> 页 / 共 </w:t>
    </w:r>
    <w:r>
      <w:rPr>
        <w:rFonts w:ascii="Times New Roman" w:eastAsia="宋体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宋体" w:hAnsi="Times New Roman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C9" w:sz="4" w:space="2"/>
      </w:pBdr>
      <w:jc w:val="right"/>
    </w:pPr>
    <w:r>
      <w:rPr>
        <w:rFonts w:ascii="Times New Roman" w:eastAsia="宋体" w:hAnsi="Times New Roman"/>
        <w:color w:val="595959"/>
        <w:sz w:val="16"/>
        <w:szCs w:val="16"/>
      </w:rPr>
      <w:t xml:space="preserve">证券虚假陈述责任纠纷类案检索报告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8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eastAsia="黑体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eastAsia="黑体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黑体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c1a220c573eb0a9e19ea08e86d2c1b7087cb4864.png"/><Relationship Id="rId11" Type="http://schemas.openxmlformats.org/officeDocument/2006/relationships/image" Target="media/302405111a029f87fc0ba91bc55a1171b41f7a18.png"/><Relationship Id="rId12" Type="http://schemas.openxmlformats.org/officeDocument/2006/relationships/image" Target="media/94acd0995edaeacfcdc4cbff1d3fec0552fb738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2026-06-12T14:12:04.894Z</dcterms:created>
  <dcterms:modified xsi:type="dcterms:W3CDTF">2026-06-12T14:12:04.895Z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