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6"/>
        </w:pBdr>
        <w:spacing w:after="120"/>
        <w:jc w:val="center"/>
      </w:pPr>
      <w:r>
        <w:rPr>
          <w:rFonts w:ascii="Times New Roman" w:eastAsia="黑体" w:hAnsi="Times New Roman"/>
          <w:b/>
          <w:bCs/>
          <w:color w:val="1F3864"/>
          <w:sz w:val="44"/>
          <w:szCs w:val="44"/>
        </w:rPr>
        <w:t xml:space="preserve">关　于</w:t>
      </w:r>
    </w:p>
    <w:p>
      <w:pPr>
        <w:spacing w:after="80" w:before="24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证券虚假陈述裁判规则</w:t>
      </w:r>
    </w:p>
    <w:p>
      <w:pPr>
        <w:spacing w:after="120" w:before="8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研究报告</w:t>
      </w:r>
    </w:p>
    <w:p>
      <w:pPr>
        <w:pBdr>
          <w:top w:val="single" w:color="1F3864" w:sz="8" w:space="6"/>
        </w:pBdr>
        <w:spacing w:after="120" w:before="120"/>
        <w:jc w:val="center"/>
      </w:pPr>
      <w:r>
        <w:rPr>
          <w:rFonts w:ascii="Times New Roman" w:eastAsia="黑体" w:hAnsi="Times New Roman"/>
          <w:b/>
          <w:bCs/>
          <w:color w:val="1F3864"/>
          <w:sz w:val="40"/>
          <w:szCs w:val="40"/>
        </w:rPr>
        <w:t xml:space="preserve">分析报告</w:t>
      </w:r>
    </w:p>
    <w:p>
      <w:pPr>
        <w:sectPr>
          <w:footerReference w:type="default" r:id="rId7"/>
          <w:type w:val="nextPage"/>
          <w:pgSz w:w="11906" w:h="16838" w:orient="portrait"/>
          <w:pgMar w:top="1440" w:right="1800" w:bottom="1440" w:left="1800" w:header="708" w:footer="708" w:gutter="0"/>
          <w:pgNumType/>
          <w:vAlign w:val="center"/>
          <w:docGrid w:linePitch="360"/>
        </w:sectPr>
      </w:pPr>
    </w:p>
    <w:p>
      <w:pPr>
        <w:spacing w:after="16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　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执行摘要与核心发现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本报告以京沪金融审判体系下「证券虚假陈述责任纠纷」案由的 7 件核心判决为样本，沿侵权责任构成要件——责任主体、虚假陈述行为、损害结果、因果关系、主观过错——逐一拆解争点、梳理裁判规则，并附及揭露日、诉讼时效等程序事项。证券虚假陈述是典型的群体性诉讼：一个事件派生大量投资者分别起诉的平行判决，本研究按「上市公司＋虚假陈述事件」分组、组内只取示范判决/代表人诉讼/说理最完整者，平行判决另行留痕。核心发现如下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重大性是独立的「过滤阀」。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法院以「重大事件＋交易价量敏感性」双重标准独立审查重大性；对占比偏低、披露窗口前后量价无显著异常者，可因不具重大性而整体出罪（（2023）示01民初0212号·北京金融法院）。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交易因果「推定＋反证」结构稳定。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实施日后、揭露日前买入并持有受损者推定成立（（2022）示74民初0301号·上海金融法院）。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损失他因扣除走向精细化。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系统风险之外，行业风险、个股经营风险等非系统因素经举证亦可扣除（（2023）示民终0061号·上海市高级人民法院二审改判）。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中介机构责任转向「按过错分层的比例连带」。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会计师未对异常事项保持职业怀疑的，按过错程度比例连带，勤勉尽责抗辩从严（（2023）示74民初0455号·上海金融法院）。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样本以上海为主（5 件），北京 2 件，两地样本悬殊，本报告不作地域裁判倾向的统计比较；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个别问题的地域差异仅在相关争点处据个案点出。数据来源：本报告样本（N=7）。</w:t>
      </w:r>
    </w:p>
    <w:p>
      <w:pPr>
        <w:spacing w:before="120"/>
        <w:jc w:val="center"/>
      </w:pPr>
      <w:r>
        <w:drawing>
          <wp:inline distT="0" distB="0" distL="0" distR="0">
            <wp:extent cx="5143500" cy="3543300"/>
            <wp:effectExtent t="0" r="0" b="0" l="0"/>
            <wp:docPr id="1" name="chart" descr="图 1　样本概览：审理法院、审级、年份与裁判结果分布（N=7）" title="图 1　样本概览：审理法院、审级、年份与裁判结果分布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1　样本概览：审理法院、审级、年份与裁判结果分布（N=7）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一、研究范围与方法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（一）研究对象、法院与样本构成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研究案由为「证券虚假陈述责任纠纷」，目标法院为上海金融法院、北京金融法院及审理两院上诉、再审案件的对应高级人民法院。证券虚假陈述案件存在大量「同案平行判决」——同一事件下众多投资者分别起诉、分别判决。为避免重复计量，本研究按「涉案上市公司＋虚假陈述事件」分组，组内仅保留示范判决、代表人诉讼判决或说理最完整的核心判决，平行判决另行留痕。最终纳入分析的核心判决 7 件，覆盖 7 起虚假陈述事件；裁判结果为部分支持 5 件、驳回 1 件、撤销改判 1 件。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（二）方法与局限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本报告的实质说理基于裁判文书全文重构，量化部分仅作描述性呈现。样本量有限（N=7），各具体争点项下判决数为个位数，故下文数据仅示裁判取向，不作占比定论或显著性推断；样本以上海为主、北京仅 2 件，两地悬殊，本报告不进行京沪裁判倾向的统计比较，仅在确有个案差异处一句话点出。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二、裁判规则全景</w:t>
      </w:r>
    </w:p>
    <w:p>
      <w:pPr>
        <w:spacing w:before="120"/>
        <w:jc w:val="center"/>
      </w:pPr>
      <w:r>
        <w:drawing>
          <wp:inline distT="0" distB="0" distL="0" distR="0">
            <wp:extent cx="5143500" cy="3057525"/>
            <wp:effectExtent t="0" r="0" b="0" l="0"/>
            <wp:docPr id="1" name="chart" descr="图 2　各构成要件争点在核心判决中的出现频次" title="图 2　各构成要件争点在核心判决中的出现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2　各构成要件争点在核心判决中的出现频次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（一）责任主体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谁对虚假陈述担责、各主体责任如何分层，是责任认定的起点，涉及发行人、控股股东与组织指使者、中介机构三类主体。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发行人对招股文件等信息披露文件的虚假记载承担无过错责任；控股股东组织、指使上市公司实施虚假陈述的，与上市公司承担连带责任，在辛控股案（（2023）示01民初0276号·北京金融法院）中，法院否定了控股股东“非披露义务人”的抗辩，认定组织指使即应连带。中介机构则按工作范围与过错分层担责：乙生物科技案（（2023）示74民初0455号·上海金融法院）中，会计师事务所未对异常研发资本化保持职业怀疑，被认定存在过错，按 25% 比例承担连带责任。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中介机构若举证证明已尽特别注意义务、对专业范围外事项确无过错，可减免责任；本批样本中会计师的勤勉尽责抗辩因未尽职业怀疑而未被采纳。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责任主体认定已从「是否披露义务人」转向「是否对虚假陈述有组织、控制或注意义务」，中介责任的「比例连带」成为常态。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（二）虚假陈述行为与重大性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虚假陈述是否成立、是否具有「重大性」，是责任成立的实体门槛。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法院对重大性采「重大事件＋交易价量敏感性」双重标准独立审查。甲新材股份案（（2022）示74民初0301号·上海金融法院）中，虚增占当期利润比例显著，认定具有重大性。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丁能源集团案（（2023）示01民初0212号·北京金融法院）中，未披露合同金额占营业收入比例较低、披露窗口前后量价无显著异常，被认定不具重大性而整体出罪——重大性成为独立的过滤阀。预测性信息亦有安全港，但戊医药案（（2022）示74民初0388号·上海金融法院）指出，无合理测算依据且未作风险提示的业绩预告不能适用安全港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重大性的独立审查，使部分形式上构成虚假记载的行为因缺乏市场敏感性而不担责。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（三）损害结果与损失计算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投资者损失如何计算、哪些「他因」应从损失中扣除。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系统风险（同期大盘、行业下行）应从损失中扣除，甲新材股份案与戊医药案分别认定 15%、10% 的系统风险扣除比例。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他因扣除不限于系统风险：庚科技案二审（（2023）示民终0061号·上海市高级人民法院）认为，经举证证明的行业风险、个股经营风险等非系统因素亦应扣除，并据此撤销一审、改判缩减赔偿范围。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损失因果的他因扣除正走向精细化、模型化，主张方须就具体影响举证。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（四）因果关系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交易因果关系与损失因果关系是否成立、可否被反证推翻。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交易因果采「推定＋反证」：实施日后、揭露日前买入并持有受损者推定成立，甲新材股份案、壬股份案（（2022）示74民初0290号·上海金融法院）均循此结构。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不具重大性时交易因果无从成立（丁能源集团案）；损失因果中的非系统他因可部分切断因果（庚科技案二审）。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因果关系的「推定＋反证」结构稳定，反证集中于重大性缺失与他因扣除两条路径。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（五）主观过错与勤勉尽责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发行人之外的主体，主观过错如何认定、勤勉尽责抗辩可否免责。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发行人承担无过错责任；中介机构以过错为责任基础，乙生物科技案认定会计师未尽职业怀疑、存在过错，勤勉尽责抗辩不成立。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确能证明已尽特别注意义务者可免责，惟举证门槛较高。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勤勉尽责抗辩的成败，取决于中介是否对异常事项保持并记录了职业怀疑。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（六）程序事项：揭露日与诉讼时效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揭露日认定坚持「首次性＋警示性」：以立案调查公告日（甲新材股份案）或更正公告日（戊医药案）为揭露日。诉讼时效自投资者知道或应当知道权利受损之日起算，揭露日不当然等于起算日；适用示范判决机制审理的，平行案件时效在示范判决期间存在中止、中断情形，壬股份案据此认定时效抗辩部分不成立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三、综合分析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（一）裁判规则地图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2"/>
        <w:gridCol w:w="2431"/>
        <w:gridCol w:w="2431"/>
        <w:gridCol w:w="2432"/>
      </w:tblGrid>
      <w:tr>
        <w:trPr>
          <w:tblHeader/>
        </w:trP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构成要件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主流裁判规则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例外/反向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代表案例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责任主体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发行人无过错；组织指使者连带；中介按过错比例连带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中介尽特别注意义务可减免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（2023）示74民初0455号；（2023）示01民初0276号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虚假陈述/重大性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重大事件＋价量敏感双重标准独立审查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不具重大性整体出罪；安全港需合理基础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（2022）示74民初0301号；（2023）示01民初0212号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损害与损失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系统风险应扣除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非系统他因经举证亦扣除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（2022）示74民初0388号；（2023）示民终0061号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因果关系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交易因果「推定＋反证」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重大性缺失/他因切断因果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主观过错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中介以过错为基础、抗辩从严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尽特别注意义务可免责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（二）当事人指引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color w:val="1F3864"/>
          <w:sz w:val="24"/>
          <w:szCs w:val="24"/>
        </w:rPr>
        <w:t xml:space="preserve">投资者一方：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紧扣重大性与交易因果的推定结构，就平台/发行人主动行为与价量敏感性举证；对中介机构主张按过错比例连带。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color w:val="1F3864"/>
          <w:sz w:val="24"/>
          <w:szCs w:val="24"/>
        </w:rPr>
        <w:t xml:space="preserve">被告一方：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重大性缺失、他因扣除、勤勉尽责是三条现实抗辩路径；中介应保留职业怀疑与核查痕迹。</w:t>
      </w:r>
    </w:p>
    <w:p>
      <w:pPr>
        <w:spacing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chart" descr="图 3　裁判结果年度演进（N=7）" title="图 3　裁判结果年度演进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3　裁判结果年度演进（N=7）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四、结论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京沪金融审判体系下的证券虚假陈述裁判，已形成以重大性独立审查—交易因果推定与反证—损失他因精细扣除—中介比例连带为骨架的规则群。鉴于本批样本量有限（N=7），上述为裁判取向的归纳，不作占比定论或显著性推断；后续可扩大样本以验证趋势。数据来源：本报告样本（N=7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附录一　典型/参考案例索引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4344"/>
        <w:gridCol w:w="2427"/>
        <w:gridCol w:w="975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43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案件</w:t>
            </w:r>
          </w:p>
        </w:tc>
        <w:tc>
          <w:tcPr>
            <w:tcW w:type="dxa" w:w="242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案号</w:t>
            </w:r>
          </w:p>
        </w:tc>
        <w:tc>
          <w:tcPr>
            <w:tcW w:type="dxa" w:w="97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案件等级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43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某股份有限公司证券虚假陈述责任纠纷</w:t>
            </w:r>
          </w:p>
        </w:tc>
        <w:tc>
          <w:tcPr>
            <w:tcW w:type="dxa" w:w="242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（2021）示民再001号</w:t>
            </w:r>
          </w:p>
        </w:tc>
        <w:tc>
          <w:tcPr>
            <w:tcW w:type="dxa" w:w="97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公报案例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附录二　研究方法说明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样本经"问题体系搭建—关键词轮替检索—按主体+事件分组识别核心判决（平行判决留痕）—相关度筛查—按问题编码—描述性统计与出图—全文驱动深度写作"流程产出。样本量有限时定量部分仅作描述性呈现、不作显著性推断，分组样本不足时不作分组差异比较。全部案件数据来自检索样本池，引用案号均可溯源。本附录数据为合成演示数据，详见 `examples/DISCLAIMER.md`。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研究模式：学理研究（演示·全国规则全景，无指定法院）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报告人：（演示）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报告日期：2026年6月9日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检索法院：上海金融法院、北京金融法院、上海市高级人民法院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分析样本：核心判决 7 件，覆盖 7 起虚假陈述事件（另平行判决留痕、典型案例附录）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数据性质：合成演示数据（虚构案号/当事人，详见 examples/DISCLAIMER.md）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color w:val="595959"/>
        <w:sz w:val="18"/>
        <w:szCs w:val="18"/>
      </w:rPr>
      <w:t xml:space="preserve">第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 / 共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C9" w:sz="4" w:space="2"/>
      </w:pBdr>
      <w:jc w:val="right"/>
    </w:pPr>
    <w:r>
      <w:rPr>
        <w:rFonts w:ascii="Times New Roman" w:eastAsia="宋体" w:hAnsi="Times New Roman"/>
        <w:color w:val="595959"/>
        <w:sz w:val="16"/>
        <w:szCs w:val="16"/>
      </w:rPr>
      <w:t xml:space="preserve">证券虚假陈述裁判规则研究报告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eastAsia="黑体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eastAsia="黑体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黑体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c1a220c573eb0a9e19ea08e86d2c1b7087cb4864.png"/><Relationship Id="rId11" Type="http://schemas.openxmlformats.org/officeDocument/2006/relationships/image" Target="media/302405111a029f87fc0ba91bc55a1171b41f7a18.png"/><Relationship Id="rId12" Type="http://schemas.openxmlformats.org/officeDocument/2006/relationships/image" Target="media/94acd0995edaeacfcdc4cbff1d3fec0552fb73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2026-06-12T14:12:04.755Z</dcterms:created>
  <dcterms:modified xsi:type="dcterms:W3CDTF">2026-06-12T14:12:04.756Z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