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6"/>
        </w:pBdr>
        <w:spacing w:after="120"/>
        <w:jc w:val="center"/>
      </w:pPr>
      <w:r>
        <w:rPr>
          <w:rFonts w:ascii="Times New Roman" w:eastAsia="黑体" w:hAnsi="Times New Roman"/>
          <w:b/>
          <w:bCs/>
          <w:color w:val="1F3864"/>
          <w:sz w:val="44"/>
          <w:szCs w:val="44"/>
        </w:rPr>
        <w:t xml:space="preserve">关　于</w:t>
      </w:r>
    </w:p>
    <w:p>
      <w:pPr>
        <w:spacing w:after="80" w:before="24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证券虚假陈述责任纠纷</w:t>
      </w:r>
    </w:p>
    <w:p>
      <w:pPr>
        <w:spacing w:after="120" w:before="80"/>
        <w:jc w:val="center"/>
      </w:pPr>
      <w:r>
        <w:rPr>
          <w:rFonts w:ascii="Times New Roman" w:eastAsia="黑体" w:hAnsi="Times New Roman"/>
          <w:b/>
          <w:bCs/>
          <w:color w:val="1F1F1F"/>
          <w:sz w:val="52"/>
          <w:szCs w:val="52"/>
        </w:rPr>
        <w:t xml:space="preserve">类案检索报告</w:t>
      </w:r>
    </w:p>
    <w:p>
      <w:pPr>
        <w:pBdr>
          <w:top w:val="single" w:color="1F3864" w:sz="8" w:space="6"/>
        </w:pBdr>
        <w:spacing w:after="120" w:before="120"/>
        <w:jc w:val="center"/>
      </w:pPr>
      <w:r>
        <w:rPr>
          <w:rFonts w:ascii="Times New Roman" w:eastAsia="黑体" w:hAnsi="Times New Roman"/>
          <w:b/>
          <w:bCs/>
          <w:color w:val="1F3864"/>
          <w:sz w:val="40"/>
          <w:szCs w:val="40"/>
        </w:rPr>
        <w:t xml:space="preserve">分析报告</w:t>
      </w:r>
    </w:p>
    <w:p>
      <w:pPr>
        <w:sectPr>
          <w:footerReference w:type="default" r:id="rId7"/>
          <w:type w:val="nextPage"/>
          <w:pgSz w:w="11906" w:h="16838" w:orient="portrait"/>
          <w:pgMar w:top="1440" w:right="1800" w:bottom="1440" w:left="1800" w:header="708" w:footer="708" w:gutter="0"/>
          <w:pgNumType/>
          <w:vAlign w:val="center"/>
          <w:docGrid w:linePitch="360"/>
        </w:sectPr>
      </w:pPr>
    </w:p>
    <w:p>
      <w:pPr>
        <w:spacing w:after="160"/>
        <w:jc w:val="center"/>
      </w:pPr>
      <w:r>
        <w:rPr>
          <w:rFonts w:ascii="Times New Roman" w:eastAsia="黑体" w:hAnsi="Times New Roman"/>
          <w:b/>
          <w:bCs/>
          <w:sz w:val="32"/>
          <w:szCs w:val="32"/>
        </w:rPr>
        <w:t xml:space="preserve">目　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执行摘要与核心发现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本报告为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实案研究模式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的结构示范：假定一起"上市公司连续虚增收入利润、被立案调查后投资者索赔"的待决案件将诉至上海金融法院，依《最高人民法院关于统一法律适用加强类案检索的指导意见（试行）》（法发〔2020〕24号）第四条四顺位检索类案，逐案量化比对相似性并深挖抗辩↔裁判逻辑与证据对照；裁判规则全景作为内嵌主体（本演示精写其要点，完整全景范式见姊妹篇《证券虚假陈述-裁判规则研究报告》）。核心发现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基准案已锁定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：甲新材股份案（（2022）示74民初0301号·上海金融法院）与本案相似度 93——财务造假手段、立案揭露、区间买入结构完全对应，重大性、揭露日、因果、系统风险扣除的裁判路径可整体参照。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中介责任有正反剧本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：乙生物科技案会计师 25% 比例连带（职业怀疑失守），与勤勉尽责免责要件互为对照。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时效与示范机制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：壬股份案确认示范判决机制下时效中止中断，时效抗辩空间极小。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数据来源：本报告样本（N=7，合成演示数据）。</w:t>
      </w:r>
    </w:p>
    <w:p>
      <w:pPr>
        <w:spacing w:before="120"/>
        <w:jc w:val="center"/>
      </w:pPr>
      <w:r>
        <w:drawing>
          <wp:inline distT="0" distB="0" distL="0" distR="0">
            <wp:extent cx="5143500" cy="3543300"/>
            <wp:effectExtent t="0" r="0" b="0" l="0"/>
            <wp:docPr id="1" name="chart" descr="图 1　样本概览：审理法院、审级、年份与裁判结果分布（N=7）" title="图 1　样本概览：审理法院、审级、年份与裁判结果分布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1　样本概览：审理法院、审级、年份与裁判结果分布（N=7）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一、研究范围与方法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（一）研究模式、核心法院与检索顺位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核心法院为上海金融法院（演示），专门法院之上诉审为上海市高级人民法院，顺位③④高院重合：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420"/>
        <w:gridCol w:w="4326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范围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本案对应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①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最高法指导性案例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本地指导性案例数据集（经检索无直接对口，如实呈报）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②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最高法典型案例及生效裁判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最高人民法院（演示池含公报案例 1 件，入附录索引）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本省高院参考性案例及生效裁判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42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上一级法院及本院生效裁判</w:t>
            </w:r>
          </w:p>
        </w:tc>
        <w:tc>
          <w:tcPr>
            <w:tcW w:type="dxa" w:w="432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上海市高级人民法院、上海金融法院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（二）相似性量化评分方法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按《类案检索规定》第六条三要素加权评分（基本事实 50＋争议焦点 30＋法律适用 20）：≥90 高相关深挖、80–89 中相关深挖、60–79 单争点参照、&lt;60 背景提示。分项给分附理由，随案列示供复核。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（三）方法与局限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本演示为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结构与格式示范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（合成数据、无判决全文），真实运行时深挖深度为本示范的数倍。集团案形态由阀门自动检测折叠（本池为已折叠核心判决）。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二、类案规则（依据《类案检索规定》）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（一）顺位①②：指导性案例与最高法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经检索本地指导性案例数据集，暂无与本案情直接对口的指导性案例（如实呈报，无"应当参照"项）；顺位②演示池含公报案例 1 件（正文未公开，入附录索引）。下列各案均为"可以参考"（第九条）。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（二）顺位③④：核心判决深挖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1.（2022）示74民初0301号·上海金融法院——甲新材股份虚增收入案【相似度 93 · 高相关 · 本案基准案】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：甲新材股份 2018—2020 年连续虚增营业收入与利润，2021 年 5 月被证监会立案调查并公告、嗣后受罚；众多投资者分别起诉，本案为该事件示范判决。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：① 涉案虚增不具重大性；② 投资者损失主要系大盘下跌所致，应扣除系统风险。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对①：虚增占当期利润比例显著，足以影响理性投资者决策，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具有重大性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——不采纳；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对②：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部分采纳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——属同期大盘与行业下行的部分应予扣除，经专业测算系统风险扣除比例 15%；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时点与因果：以立案调查公告日为揭露日；实施日后揭露日前买入并持有受损者，交易因果关系推定成立。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证据对照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2469"/>
        <w:gridCol w:w="1795"/>
        <w:gridCol w:w="3145"/>
      </w:tblGrid>
      <w:tr>
        <w:trPr>
          <w:tblHeader/>
        </w:trP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原告举证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被告举证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法院采信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立案公告、行政处罚决定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〔演示：未详列〕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处罚认定的虚增占比</w:t>
            </w:r>
          </w:p>
        </w:tc>
      </w:tr>
      <w:tr>
        <w:tc>
          <w:tcPr>
            <w:tcW w:type="dxa" w:w="897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246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交易记录</w:t>
            </w:r>
          </w:p>
        </w:tc>
        <w:tc>
          <w:tcPr>
            <w:tcW w:type="dxa" w:w="179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申请专业测算</w:t>
            </w:r>
          </w:p>
        </w:tc>
        <w:tc>
          <w:tcPr>
            <w:tcW w:type="dxa" w:w="314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专业测算意见（系统风险 15%）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49（主体 14＋行为 20＋情节 15）＋争议焦点 25＋法律适用 19＝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93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：本案重大性、揭露日、因果、扣除四争点的推演底稿。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3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6"/>
          <w:szCs w:val="26"/>
        </w:rPr>
        <w:t xml:space="preserve">2.（2023）示74民初0455号·上海金融法院——乙生物科技招股书造假案【相似度 84 · 中相关】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基本案情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：乙生物科技首发招股说明书对研发投入与在研管线虚假记载，丙会计师事务所出具标准无保留意见；投资者提起代表人诉讼。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被告抗辩逻辑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：丙会计师事务所主张已勤勉尽责、对管线技术事项无专业判断能力。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法院裁判逻辑（逐项对应）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：发行人对招股文件虚假记载承担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无过错责任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；会计师未对异常研发资本化保持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职业怀疑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、未尽特别注意义务，勤勉尽责抗辩不成立，按过错在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25% 范围内连带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相似性评分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：基本事实 44＋争议焦点 22＋法律适用 18＝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84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（招股书造假与本案年报造假场景略偏移）。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参照要点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：若本案追加审计机构，其抗辩成败要件（职业怀疑＋特别注意义务）在此有完整预演。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可以参考。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（三）单争点参照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33"/>
        <w:gridCol w:w="638"/>
        <w:gridCol w:w="3835"/>
      </w:tblGrid>
      <w:tr>
        <w:trPr>
          <w:tblHeader/>
        </w:trP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案号·法院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参照争点与裁判要旨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预测性信息安全港边界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：无合理测算依据且未作风险提示的业绩预告不得入港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（2023）示民终0061号·上海市高级人民法院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非系统他因扣除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：行业/个股风险经举证亦应扣除（二审改判）</w:t>
            </w:r>
          </w:p>
        </w:tc>
      </w:tr>
      <w:tr>
        <w:tc>
          <w:tcPr>
            <w:tcW w:type="dxa" w:w="38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（2022）示74民初0290号·上海金融法院</w:t>
            </w:r>
          </w:p>
        </w:tc>
        <w:tc>
          <w:tcPr>
            <w:tcW w:type="dxa" w:w="638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383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222222"/>
                <w:sz w:val="17"/>
                <w:szCs w:val="17"/>
              </w:rPr>
              <w:t xml:space="preserve">时效与示范机制</w:t>
            </w: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：示范判决期间平行案件时效中止中断</w:t>
            </w:r>
          </w:p>
        </w:tc>
      </w:tr>
    </w:tbl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</w:t>
      </w: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背景提示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：（2023）示01民初0212号（重大性下边界，驳回）、（2023）示01民初0276号（控股股东组织指使连带）整体场景偏移，相关争点在全景章作代表案展开。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三、裁判规则全景（内嵌主体·要点版）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&gt; 实案报告完整内嵌裁判规则研究的全景章（五维四段＋理论展开＋演进对照，深度不降一分）。本演示为避免与姊妹篇《证券虚假陈述-裁判规则研究报告》重复，此处仅列各维要点；完整范式请见该篇。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责任主体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：发行人无过错责任；控股股东组织指使连带（示01民初0276号）；中介按过错比例连带（示74民初0455号 25%）。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行为与重大性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：双重标准（决策影响＋价量敏感）；重大性亦是出罪通道（示01民初0212号驳回）。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损害与时点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：立案公告日揭露主流；更正公告日例外（示74民初0388号）。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因果关系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：区间买入推定成立；他因扣除从系统风险扩展至非系统风险（示民终0061号）。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主观过错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：职业怀疑与特别注意义务是中介抗辩的成败线。</w:t>
      </w:r>
    </w:p>
    <w:p>
      <w:pPr>
        <w:pStyle w:val="ListParagraph"/>
        <w:numPr>
          <w:ilvl w:val="0"/>
          <w:numId w:val="2"/>
        </w:numPr>
        <w:spacing w:after="60" w:line="340"/>
      </w:pPr>
      <w:r>
        <w:rPr>
          <w:rFonts w:ascii="Times New Roman" w:eastAsia="宋体" w:hAnsi="Times New Roman"/>
          <w:b/>
          <w:bCs/>
          <w:i w:val="false"/>
          <w:iCs w:val="false"/>
          <w:sz w:val="24"/>
          <w:szCs w:val="24"/>
        </w:rPr>
        <w:t xml:space="preserve">程序机制</w:t>
      </w: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：示范判决＋时效中止中断（示74民初0290号）。</w:t>
      </w:r>
    </w:p>
    <w:p>
      <w:pPr>
        <w:spacing w:before="120"/>
        <w:jc w:val="center"/>
      </w:pPr>
      <w:r>
        <w:drawing>
          <wp:inline distT="0" distB="0" distL="0" distR="0">
            <wp:extent cx="5143500" cy="3057525"/>
            <wp:effectExtent t="0" r="0" b="0" l="0"/>
            <wp:docPr id="1" name="chart" descr="图 2　各构成要件争点在核心判决中的出现频次" title="图 2　各构成要件争点在核心判决中的出现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2　各构成要件争点在核心判决中的出现频次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四、综合分析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（一）控辩诉讼要点指引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3230"/>
        <w:gridCol w:w="4154"/>
      </w:tblGrid>
      <w:tr>
        <w:trPr>
          <w:tblHeader/>
        </w:trP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原告着力点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被告着力点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重大性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以处罚认定锁定＋虚增占比举证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占比与价量反证（示01民初0212号路径）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损失扣除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质疑扣除项可区分性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尽早申请专业测算（基准案 15% 先例）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紧扣职业怀疑缺口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尽调底稿＋特别注意义务履痕</w:t>
            </w:r>
          </w:p>
        </w:tc>
      </w:tr>
      <w:tr>
        <w:tc>
          <w:tcPr>
            <w:tcW w:type="dxa" w:w="922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时效</w:t>
            </w:r>
          </w:p>
        </w:tc>
        <w:tc>
          <w:tcPr>
            <w:tcW w:type="dxa" w:w="323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援引示范机制中止中断</w:t>
            </w:r>
          </w:p>
        </w:tc>
        <w:tc>
          <w:tcPr>
            <w:tcW w:type="dxa" w:w="415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仅临界日期有精算空间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（二）控辩证据准备清单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4"/>
        <w:gridCol w:w="4333"/>
        <w:gridCol w:w="2529"/>
      </w:tblGrid>
      <w:tr>
        <w:trPr>
          <w:tblHeader/>
        </w:trP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争议焦点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原告应备证据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被告应备证据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行为与重大性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行政处罚决定书、立案公告、定期报告原文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价量数据对比分析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因果与损失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证券账户对账单、交易流水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专业机构损失测算意见</w:t>
            </w:r>
          </w:p>
        </w:tc>
      </w:tr>
      <w:tr>
        <w:tc>
          <w:tcPr>
            <w:tcW w:type="dxa" w:w="144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中介责任</w:t>
            </w:r>
          </w:p>
        </w:tc>
        <w:tc>
          <w:tcPr>
            <w:tcW w:type="dxa" w:w="4333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处罚调查中执业缺陷认定</w:t>
            </w:r>
          </w:p>
        </w:tc>
        <w:tc>
          <w:tcPr>
            <w:tcW w:type="dxa" w:w="2529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完整尽调/审计工作底稿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chart" descr="图 3　裁判结果年度演进（N=7）" title="图 3　裁判结果年度演进（N=7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Times New Roman" w:eastAsia="宋体" w:hAnsi="Times New Roman"/>
          <w:color w:val="595959"/>
          <w:sz w:val="18"/>
          <w:szCs w:val="18"/>
        </w:rPr>
        <w:t xml:space="preserve">图 3　裁判结果年度演进（N=7）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五、结论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就本演示案情，上海金融法院（演示）的裁判路径可凝练为：处罚锁定行为与重大性 → 立案公告日揭露 → 区间买入因果推定 → 专业测算扣除系统风险 → 中介按职业怀疑成败定比例连带 → 时效抗辩近乎无效。基准案（（2022）示74民初0301号，相似度 93）提供整体推演底稿。本演示为结构示范，N=7 仅示流程形态。数据来源：本报告样本（N=7，合成演示数据）。</w:t>
      </w:r>
    </w:p>
    <w:p>
      <w:pPr>
        <w:pStyle w:val="Heading1"/>
        <w:pBdr>
          <w:bottom w:val="single" w:color="1F3864" w:sz="6" w:space="4"/>
        </w:pBdr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附录一　顺位内核心判决索引（含相似性评分）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3961"/>
        <w:gridCol w:w="766"/>
        <w:gridCol w:w="1405"/>
        <w:gridCol w:w="1614"/>
      </w:tblGrid>
      <w:tr>
        <w:trPr>
          <w:tblHeader/>
        </w:trP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顺位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案号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相似度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/>
                <w:bCs/>
                <w:color w:val="FFFFFF"/>
                <w:sz w:val="18"/>
                <w:szCs w:val="18"/>
              </w:rPr>
              <w:t xml:space="preserve">结果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（2022）示74民初0301号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93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高相关·深挖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（2023）示74民初0455号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84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中相关·深挖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（2022）示74民初0388号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76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③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（2023）示民终0061号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72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撤销改判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④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（2022）示74民初0290号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70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单争点参照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shd w:fill="EEF1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部分支持</w:t>
            </w:r>
          </w:p>
        </w:tc>
      </w:tr>
      <w:tr>
        <w:tc>
          <w:tcPr>
            <w:tcW w:type="dxa" w:w="560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center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——</w:t>
            </w:r>
          </w:p>
        </w:tc>
        <w:tc>
          <w:tcPr>
            <w:tcW w:type="dxa" w:w="3961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（2023）示01民初0212号 / 0276号</w:t>
            </w:r>
          </w:p>
        </w:tc>
        <w:tc>
          <w:tcPr>
            <w:tcW w:type="dxa" w:w="766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&lt;60</w:t>
            </w:r>
          </w:p>
        </w:tc>
        <w:tc>
          <w:tcPr>
            <w:tcW w:type="dxa" w:w="1405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背景提示</w:t>
            </w:r>
          </w:p>
        </w:tc>
        <w:tc>
          <w:tcPr>
            <w:tcW w:type="dxa" w:w="1614"/>
            <w:tcBorders>
              <w:top w:val="single" w:color="C9C9C9" w:sz="2"/>
              <w:left w:val="single" w:color="C9C9C9" w:sz="2"/>
              <w:bottom w:val="single" w:color="C9C9C9" w:sz="2"/>
              <w:right w:val="single" w:color="C9C9C9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40"/>
              <w:jc w:val="left"/>
            </w:pPr>
            <w:r>
              <w:rPr>
                <w:rFonts w:ascii="Times New Roman" w:eastAsia="宋体" w:hAnsi="Times New Roman"/>
                <w:b w:val="false"/>
                <w:bCs w:val="false"/>
                <w:color w:val="222222"/>
                <w:sz w:val="17"/>
                <w:szCs w:val="17"/>
              </w:rPr>
              <w:t xml:space="preserve">驳回/部分支持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eastAsia="黑体" w:hAnsi="Times New Roman"/>
          <w:b/>
          <w:bCs/>
          <w:color w:val="000000"/>
          <w:sz w:val="28"/>
          <w:szCs w:val="28"/>
        </w:rPr>
        <w:t xml:space="preserve">附录二　检索过程说明（法发〔2020〕24号第八条要素）</w:t>
      </w:r>
    </w:p>
    <w:p>
      <w:pPr>
        <w:spacing w:after="80" w:line="360"/>
        <w:ind w:firstLine="480"/>
        <w:jc w:val="both"/>
      </w:pPr>
      <w:r>
        <w:rPr>
          <w:rFonts w:ascii="Times New Roman" w:eastAsia="宋体" w:hAnsi="Times New Roman"/>
          <w:b w:val="false"/>
          <w:bCs w:val="false"/>
          <w:i w:val="false"/>
          <w:iCs w:val="false"/>
          <w:sz w:val="24"/>
          <w:szCs w:val="24"/>
        </w:rPr>
        <w:t xml:space="preserve">检索主体/时间/平台：（演示）；检索方法：案由＋A/B 两套关键词、四顺位标注、集团案阀门折叠；检索结果：核心判决 7 件＋平行留痕＋公报案例 1 件；类案裁判要点与待决案件争议焦点见第二、三章；参照/参考分析：无"应当参照"项，顺位内案件均"可以参考"并已逐案比对。本附录满足第八条检索报告要素，可随案归档（演示）。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研究模式：实案研究（演示·指定核心法院，按《类案检索规定》四顺位深挖）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报告人：（演示）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报告日期：2026年6月9日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核心法院：上海金融法院（演示）</w:t>
    </w:r>
  </w:p>
  <w:p>
    <w:pPr>
      <w:spacing w:after="60"/>
      <w:jc w:val="center"/>
    </w:pPr>
    <w:r>
      <w:rPr>
        <w:rFonts w:ascii="Times New Roman" w:eastAsia="宋体" w:hAnsi="Times New Roman"/>
        <w:color w:val="333333"/>
        <w:sz w:val="21"/>
        <w:szCs w:val="21"/>
      </w:rPr>
      <w:t xml:space="preserve">分析样本：顺位内核心判决 7 件（合成演示数据，见 examples/DISCLAIMER.md）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宋体" w:hAnsi="Times New Roman"/>
        <w:color w:val="595959"/>
        <w:sz w:val="18"/>
        <w:szCs w:val="18"/>
      </w:rPr>
      <w:t xml:space="preserve">第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 / 共 </w:t>
    </w:r>
    <w:r>
      <w:rPr>
        <w:rFonts w:ascii="Times New Roman" w:eastAsia="宋体" w:hAnsi="Times New Roman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eastAsia="宋体" w:hAnsi="Times New Roman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9C9" w:sz="4" w:space="2"/>
      </w:pBdr>
      <w:jc w:val="right"/>
    </w:pPr>
    <w:r>
      <w:rPr>
        <w:rFonts w:ascii="Times New Roman" w:eastAsia="宋体" w:hAnsi="Times New Roman"/>
        <w:color w:val="595959"/>
        <w:sz w:val="16"/>
        <w:szCs w:val="16"/>
      </w:rPr>
      <w:t xml:space="preserve">证券虚假陈述责任纠纷类案检索报告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1F386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eastAsia="黑体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eastAsia="黑体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黑体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c1a220c573eb0a9e19ea08e86d2c1b7087cb4864.png"/><Relationship Id="rId11" Type="http://schemas.openxmlformats.org/officeDocument/2006/relationships/image" Target="media/302405111a029f87fc0ba91bc55a1171b41f7a18.png"/><Relationship Id="rId12" Type="http://schemas.openxmlformats.org/officeDocument/2006/relationships/image" Target="media/94acd0995edaeacfcdc4cbff1d3fec0552fb738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2026-06-12T08:22:48.859Z</dcterms:created>
  <dcterms:modified xsi:type="dcterms:W3CDTF">2026-06-12T08:22:48.859Z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