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6"/>
        </w:pBdr>
        <w:spacing w:after="120"/>
        <w:jc w:val="center"/>
      </w:pPr>
      <w:r>
        <w:rPr>
          <w:rFonts w:ascii="Times New Roman" w:eastAsia="黑体" w:hAnsi="Times New Roman"/>
          <w:b/>
          <w:bCs/>
          <w:color w:val="1F3864"/>
          <w:sz w:val="44"/>
          <w:szCs w:val="44"/>
        </w:rPr>
        <w:t xml:space="preserve">关　于</w:t>
      </w:r>
    </w:p>
    <w:p>
      <w:pPr>
        <w:spacing w:after="80" w:before="240"/>
        <w:jc w:val="center"/>
      </w:pPr>
      <w:r>
        <w:rPr>
          <w:rFonts w:ascii="Times New Roman" w:eastAsia="黑体" w:hAnsi="Times New Roman"/>
          <w:b/>
          <w:bCs/>
          <w:color w:val="1F1F1F"/>
          <w:sz w:val="52"/>
          <w:szCs w:val="52"/>
        </w:rPr>
        <w:t xml:space="preserve">证券虚假陈述裁判规则</w:t>
      </w:r>
    </w:p>
    <w:p>
      <w:pPr>
        <w:spacing w:after="120" w:before="80"/>
        <w:jc w:val="center"/>
      </w:pPr>
      <w:r>
        <w:rPr>
          <w:rFonts w:ascii="Times New Roman" w:eastAsia="黑体" w:hAnsi="Times New Roman"/>
          <w:b/>
          <w:bCs/>
          <w:color w:val="1F1F1F"/>
          <w:sz w:val="52"/>
          <w:szCs w:val="52"/>
        </w:rPr>
        <w:t xml:space="preserve">研究报告</w:t>
      </w:r>
    </w:p>
    <w:p>
      <w:pPr>
        <w:pBdr>
          <w:top w:val="single" w:color="1F3864" w:sz="8" w:space="6"/>
        </w:pBdr>
        <w:spacing w:after="120" w:before="120"/>
        <w:jc w:val="center"/>
      </w:pPr>
      <w:r>
        <w:rPr>
          <w:rFonts w:ascii="Times New Roman" w:eastAsia="黑体" w:hAnsi="Times New Roman"/>
          <w:b/>
          <w:bCs/>
          <w:color w:val="1F3864"/>
          <w:sz w:val="40"/>
          <w:szCs w:val="40"/>
        </w:rPr>
        <w:t xml:space="preserve">分析报告</w:t>
      </w:r>
    </w:p>
    <w:p>
      <w:pPr>
        <w:sectPr>
          <w:footerReference w:type="default" r:id="rId7"/>
          <w:type w:val="nextPage"/>
          <w:pgSz w:w="11906" w:h="16838" w:orient="portrait"/>
          <w:pgMar w:top="1440" w:right="1800" w:bottom="1440" w:left="1800" w:header="708" w:footer="708" w:gutter="0"/>
          <w:pgNumType/>
          <w:vAlign w:val="center"/>
          <w:docGrid w:linePitch="360"/>
        </w:sectPr>
      </w:pPr>
    </w:p>
    <w:p>
      <w:pPr>
        <w:spacing w:after="16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　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执行摘要与核心发现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本报告以京沪金融审判体系下"证券虚假陈述责任纠纷"案由的 7 件核心判决为样本，沿侵权责任构成要件——责任主体、虚假陈述行为、损害结果、因果关系、主观过错——逐一拆解争点、梳理裁判规则，并附及揭露日、诉讼时效等程序事项。证券虚假陈述是典型的群体性诉讼：一个事件派生大量投资者分别起诉的平行判决，本研究按"上市公司＋虚假陈述事件"分组、组内只取示范判决/代表人诉讼/说理最完整者，平行判决另行留痕。核心发现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重大性是独立的"过滤阀"。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法院以"重大事件＋交易价量敏感性"双重标准独立审查重大性；对占比偏低、披露窗口前后量价无显著异常者，可因不具重大性而整体出罪（（2023）示01民初0212号·北京金融法院）。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交易因果"推定＋反证"结构稳定。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实施日后、揭露日前买入并持有受损者推定成立（（2022）示74民初0301号·上海金融法院）。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损失他因扣除走向精细化。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系统风险之外，行业风险、个股经营风险等非系统因素经举证亦可扣除（（2023）示民终0061号·上海市高级人民法院二审改判）。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中介机构责任转向"按过错分层的比例连带"。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会计师未对异常事项保持职业怀疑的，按过错程度比例连带，勤勉尽责抗辩从严（（2023）示74民初0455号·上海金融法院）。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样本以上海为主（5 件），北京 2 件，两地样本悬殊，本报告不作地域裁判倾向的统计比较；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个别问题的地域差异仅在相关争点处据个案点出。数据来源：本报告样本（N=7）。</w:t>
      </w:r>
    </w:p>
    <w:p>
      <w:pPr>
        <w:spacing w:before="120"/>
        <w:jc w:val="center"/>
      </w:pPr>
      <w:r>
        <w:drawing>
          <wp:inline distT="0" distB="0" distL="0" distR="0">
            <wp:extent cx="5143500" cy="3543300"/>
            <wp:effectExtent t="0" r="0" b="0" l="0"/>
            <wp:docPr id="1" name="chart" descr="图 1　样本概览：审理法院、审级、年份与裁判结果分布（N=7）" title="图 1　样本概览：审理法院、审级、年份与裁判结果分布（N=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1　样本概览：审理法院、审级、年份与裁判结果分布（N=7）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一、研究范围与方法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（一）研究对象、法院与样本构成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研究案由为"证券虚假陈述责任纠纷"，目标法院为上海金融法院、北京金融法院及审理两院上诉、再审案件的对应高级人民法院。证券虚假陈述案件存在大量"同案平行判决"——同一事件下众多投资者分别起诉、分别判决。为避免重复计量，本研究按"涉案上市公司＋虚假陈述事件"分组，组内仅保留示范判决、代表人诉讼判决或说理最完整的核心判决，平行判决另行留痕。最终纳入分析的核心判决 7 件，覆盖 7 起虚假陈述事件；裁判结果为部分支持 5 件、驳回 1 件、撤销改判 1 件。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（二）方法与局限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本报告的实质说理基于裁判文书全文重构，量化部分仅作描述性呈现。样本量有限（N=7），各具体争点项下判决数为个位数，故下文数据仅示裁判取向，不作占比定论或显著性推断；样本以上海为主、北京仅 2 件，两地悬殊，本报告不进行京沪裁判倾向的统计比较，仅在确有个案差异处一句话点出。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二、裁判规则全景</w:t>
      </w:r>
    </w:p>
    <w:p>
      <w:pPr>
        <w:spacing w:before="120"/>
        <w:jc w:val="center"/>
      </w:pPr>
      <w:r>
        <w:drawing>
          <wp:inline distT="0" distB="0" distL="0" distR="0">
            <wp:extent cx="5143500" cy="3057525"/>
            <wp:effectExtent t="0" r="0" b="0" l="0"/>
            <wp:docPr id="1" name="chart" descr="图 2　各构成要件争点在核心判决中的出现频次" title="图 2　各构成要件争点在核心判决中的出现频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2　各构成要件争点在核心判决中的出现频次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（一）责任主体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争点界定。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谁对虚假陈述担责、各主体责任如何分层，是责任认定的起点，涉及发行人、控股股东与组织指使者、中介机构三类主体。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主流裁判规则与代表案例。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发行人对招股文件等信息披露文件的虚假记载承担无过错责任；控股股东组织、指使上市公司实施虚假陈述的，与上市公司承担连带责任，在辛控股案（（2023）示01民初0276号·北京金融法院）中，法院否定了控股股东"非披露义务人"的抗辩，认定组织指使即应连带。中介机构则按工作范围与过错分层担责：乙生物科技案（（2023）示74民初0455号·上海金融法院）中，会计师事务所未对异常研发资本化保持职业怀疑，被认定存在过错，按 25% 比例承担连带责任。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例外与反向。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中介机构若举证证明已尽特别注意义务、对专业范围外事项确无过错，可减免责任；本批样本中会计师的勤勉尽责抗辩因未尽职业怀疑而未被采纳。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评析要点。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责任主体认定已从"是否披露义务人"转向"是否对虚假陈述有组织、控制或注意义务"，中介责任的"比例连带"成为常态。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（二）虚假陈述行为与重大性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争点界定。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虚假陈述是否成立、是否具有"重大性"，是责任成立的实体门槛。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主流裁判规则与代表案例。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法院对重大性采"重大事件＋交易价量敏感性"双重标准独立审查。甲新材股份案（（2022）示74民初0301号·上海金融法院）中，虚增占当期利润比例显著，认定具有重大性。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例外与反向。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丁能源集团案（（2023）示01民初0212号·北京金融法院）中，未披露合同金额占营业收入比例较低、披露窗口前后量价无显著异常，被认定不具重大性而整体出罪——重大性成为独立的过滤阀。预测性信息亦有安全港，但戊医药案（（2022）示74民初0388号·上海金融法院）指出，无合理测算依据且未作风险提示的业绩预告不能适用安全港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评析要点。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重大性的独立审查，使部分形式上构成虚假记载的行为因缺乏市场敏感性而不担责。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（三）损害结果与损失计算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争点界定。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投资者损失如何计算、哪些"他因"应从损失中扣除。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主流裁判规则与代表案例。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系统风险（同期大盘、行业下行）应从损失中扣除，甲新材股份案与戊医药案分别认定 15%、10% 的系统风险扣除比例。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例外与反向。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他因扣除不限于系统风险：庚科技案二审（（2023）示民终0061号·上海市高级人民法院）认为，经举证证明的行业风险、个股经营风险等非系统因素亦应扣除，并据此撤销一审、改判缩减赔偿范围。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评析要点。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损失因果的他因扣除正走向精细化、模型化，主张方须就具体影响举证。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（四）因果关系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争点界定。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交易因果关系与损失因果关系是否成立、可否被反证推翻。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主流裁判规则与代表案例。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交易因果采"推定＋反证"：实施日后、揭露日前买入并持有受损者推定成立，甲新材股份案、壬股份案（（2022）示74民初0290号·上海金融法院）均循此结构。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例外与反向。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不具重大性时交易因果无从成立（丁能源集团案）；损失因果中的非系统他因可部分切断因果（庚科技案二审）。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评析要点。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因果关系的"推定＋反证"结构稳定，反证集中于重大性缺失与他因扣除两条路径。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（五）主观过错与勤勉尽责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① 争点界定。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发行人之外的主体，主观过错如何认定、勤勉尽责抗辩可否免责。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② 主流裁判规则与代表案例。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发行人承担无过错责任；中介机构以过错为责任基础，乙生物科技案认定会计师未尽职业怀疑、存在过错，勤勉尽责抗辩不成立。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③ 例外与反向。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确能证明已尽特别注意义务者可免责，惟举证门槛较高。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④ 评析要点。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勤勉尽责抗辩的成败，取决于中介是否对异常事项保持并记录了职业怀疑。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（六）程序事项：揭露日与诉讼时效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揭露日认定坚持"首次性＋警示性"：以立案调查公告日（甲新材股份案）或更正公告日（戊医药案）为揭露日。诉讼时效自投资者知道或应当知道权利受损之日起算，揭露日不当然等于起算日；适用示范判决机制审理的，平行案件时效在示范判决期间存在中止、中断情形，壬股份案据此认定时效抗辩部分不成立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三、综合分析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（一）裁判规则地图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2"/>
        <w:gridCol w:w="2431"/>
        <w:gridCol w:w="2431"/>
        <w:gridCol w:w="2432"/>
      </w:tblGrid>
      <w:tr>
        <w:trPr>
          <w:tblHeader/>
        </w:trP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构成要件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主流裁判规则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例外/反向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代表案例</w:t>
            </w:r>
          </w:p>
        </w:tc>
      </w:tr>
      <w:t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责任主体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发行人无过错；组织指使者连带；中介按过错比例连带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中介尽特别注意义务可减免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（2023）示74民初0455号；（2023）示01民初0276号</w:t>
            </w:r>
          </w:p>
        </w:tc>
      </w:tr>
      <w:t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虚假陈述/重大性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重大事件＋价量敏感双重标准独立审查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不具重大性整体出罪；安全港需合理基础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（2022）示74民初0301号；（2023）示01民初0212号</w:t>
            </w:r>
          </w:p>
        </w:tc>
      </w:tr>
      <w:t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损害与损失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系统风险应扣除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非系统他因经举证亦扣除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（2022）示74民初0388号；（2023）示民终0061号</w:t>
            </w:r>
          </w:p>
        </w:tc>
      </w:tr>
      <w:t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因果关系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交易因果"推定＋反证"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重大性缺失/他因切断因果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（2022）示74民初0290号</w:t>
            </w:r>
          </w:p>
        </w:tc>
      </w:tr>
      <w:tr>
        <w:tc>
          <w:tcPr>
            <w:tcW w:type="dxa" w:w="101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主观过错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中介以过错为基础、抗辩从严</w:t>
            </w:r>
          </w:p>
        </w:tc>
        <w:tc>
          <w:tcPr>
            <w:tcW w:type="dxa" w:w="2431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尽特别注意义务可免责</w:t>
            </w:r>
          </w:p>
        </w:tc>
        <w:tc>
          <w:tcPr>
            <w:tcW w:type="dxa" w:w="2432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（2023）示74民初0455号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（二）当事人指引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color w:val="1F3864"/>
          <w:sz w:val="24"/>
          <w:szCs w:val="24"/>
        </w:rPr>
        <w:t xml:space="preserve">投资者一方：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紧扣重大性与交易因果的推定结构，就平台/发行人主动行为与价量敏感性举证；对中介机构主张按过错比例连带。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/>
          <w:bCs/>
          <w:i w:val="false"/>
          <w:iCs w:val="false"/>
          <w:color w:val="1F3864"/>
          <w:sz w:val="24"/>
          <w:szCs w:val="24"/>
        </w:rPr>
        <w:t xml:space="preserve">被告一方：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重大性缺失、他因扣除、勤勉尽责是三条现实抗辩路径；中介应保留职业怀疑与核查痕迹。</w:t>
      </w:r>
    </w:p>
    <w:p>
      <w:pPr>
        <w:spacing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chart" descr="图 3　裁判结果年度演进（N=7）" title="图 3　裁判结果年度演进（N=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图 3　裁判结果年度演进（N=7）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四、结论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京沪金融审判体系下的证券虚假陈述裁判，已形成以"重大性独立审查—交易因果推定与反证—损失他因精细扣除—中介比例连带"为骨架的规则群。鉴于本批样本量有限（N=7），上述为裁判取向的归纳，不作占比定论或显著性推断；后续可扩大样本以验证趋势。数据来源：本报告样本（N=7）。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附录</w:t>
      </w:r>
    </w:p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附录一　典型/参考案例索引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344"/>
        <w:gridCol w:w="2427"/>
        <w:gridCol w:w="975"/>
      </w:tblGrid>
      <w:tr>
        <w:trPr>
          <w:tblHeader/>
        </w:trP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43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案件</w:t>
            </w:r>
          </w:p>
        </w:tc>
        <w:tc>
          <w:tcPr>
            <w:tcW w:type="dxa" w:w="2427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案号</w:t>
            </w:r>
          </w:p>
        </w:tc>
        <w:tc>
          <w:tcPr>
            <w:tcW w:type="dxa" w:w="97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案件等级</w:t>
            </w:r>
          </w:p>
        </w:tc>
      </w:tr>
      <w:tr>
        <w:tc>
          <w:tcPr>
            <w:tcW w:type="dxa" w:w="5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4344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某股份有限公司证券虚假陈述责任纠纷</w:t>
            </w:r>
          </w:p>
        </w:tc>
        <w:tc>
          <w:tcPr>
            <w:tcW w:type="dxa" w:w="2427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（2021）示民再001号</w:t>
            </w:r>
          </w:p>
        </w:tc>
        <w:tc>
          <w:tcPr>
            <w:tcW w:type="dxa" w:w="975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7"/>
                <w:szCs w:val="17"/>
              </w:rPr>
              <w:t xml:space="preserve">公报案例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附录二　研究方法说明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报告样本经"问题体系搭建—关键词轮替检索—按主体+事件分组识别核心判决（平行判决留痕）—相关度筛查—按问题编码—描述性统计与出图—全文驱动深度写作"流程产出。样本量有限时定量部分仅作描述性呈现、不作显著性推断，分组样本不足时不作分组差异比较。全部案件数据来自检索样本池，引用案号均可溯源。本附录数据为合成演示数据，详见 `examples/DISCLAIMER.md`。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研究模式：学理研究（演示·全国规则全景，无指定法院）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报告人：（演示）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报告日期：2026年6月9日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检索法院：上海金融法院、北京金融法院、上海市高级人民法院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分析样本：核心判决 7 件，覆盖 7 起虚假陈述事件（另平行判决留痕、典型案例附录）</w:t>
    </w:r>
  </w:p>
  <w:p>
    <w:pPr>
      <w:spacing w:after="60"/>
      <w:jc w:val="center"/>
    </w:pPr>
    <w:r>
      <w:rPr>
        <w:rFonts w:ascii="Times New Roman" w:eastAsia="宋体" w:hAnsi="Times New Roman"/>
        <w:color w:val="333333"/>
        <w:sz w:val="21"/>
        <w:szCs w:val="21"/>
      </w:rPr>
      <w:t xml:space="preserve">数据性质：合成演示数据（虚构案号/当事人，详见 examples/DISCLAIMER.md）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595959"/>
        <w:sz w:val="18"/>
        <w:szCs w:val="18"/>
      </w:rPr>
      <w:t xml:space="preserve">第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 / 共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2"/>
      </w:pBdr>
      <w:jc w:val="right"/>
    </w:pPr>
    <w:r>
      <w:rPr>
        <w:rFonts w:ascii="Times New Roman" w:eastAsia="宋体" w:hAnsi="Times New Roman"/>
        <w:color w:val="595959"/>
        <w:sz w:val="16"/>
        <w:szCs w:val="16"/>
      </w:rPr>
      <w:t xml:space="preserve">证券虚假陈述裁判规则研究报告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eastAsia="黑体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黑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c1a220c573eb0a9e19ea08e86d2c1b7087cb4864.png"/><Relationship Id="rId11" Type="http://schemas.openxmlformats.org/officeDocument/2006/relationships/image" Target="media/302405111a029f87fc0ba91bc55a1171b41f7a18.png"/><Relationship Id="rId12" Type="http://schemas.openxmlformats.org/officeDocument/2006/relationships/image" Target="media/94acd0995edaeacfcdc4cbff1d3fec0552fb738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2026-06-12T08:22:48.715Z</dcterms:created>
  <dcterms:modified xsi:type="dcterms:W3CDTF">2026-06-12T08:22:48.719Z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