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6"/>
        </w:pBdr>
        <w:spacing w:after="120"/>
        <w:jc w:val="center"/>
      </w:pPr>
      <w:r>
        <w:rPr>
          <w:rFonts w:ascii="黑体" w:cs="黑体" w:eastAsia="黑体" w:hAnsi="黑体"/>
          <w:b/>
          <w:bCs/>
          <w:color w:val="1F3864"/>
          <w:sz w:val="44"/>
          <w:szCs w:val="44"/>
        </w:rPr>
        <w:t xml:space="preserve">关　于</w:t>
      </w:r>
    </w:p>
    <w:p>
      <w:pPr>
        <w:spacing w:after="120" w:before="240"/>
        <w:jc w:val="center"/>
      </w:pPr>
      <w:r>
        <w:rPr>
          <w:rFonts w:ascii="黑体" w:cs="黑体" w:eastAsia="黑体" w:hAnsi="黑体"/>
          <w:b/>
          <w:bCs/>
          <w:color w:val="1F1F1F"/>
          <w:sz w:val="52"/>
          <w:szCs w:val="52"/>
        </w:rPr>
        <w:t xml:space="preserve">证券虚假陈述裁判规则研究</w:t>
      </w:r>
    </w:p>
    <w:p>
      <w:pPr>
        <w:spacing w:after="120"/>
        <w:jc w:val="center"/>
      </w:pPr>
      <w:r>
        <w:rPr>
          <w:rFonts w:ascii="黑体" w:cs="黑体" w:eastAsia="黑体" w:hAnsi="黑体"/>
          <w:color w:val="595959"/>
          <w:sz w:val="28"/>
          <w:szCs w:val="28"/>
        </w:rPr>
        <w:t xml:space="preserve">——以京沪金融法院核心判决为样本</w:t>
      </w:r>
    </w:p>
    <w:p>
      <w:pPr>
        <w:pBdr>
          <w:top w:val="single" w:color="1F3864" w:sz="8" w:space="6"/>
        </w:pBdr>
        <w:spacing w:after="120" w:before="120"/>
        <w:jc w:val="center"/>
      </w:pPr>
      <w:r>
        <w:rPr>
          <w:rFonts w:ascii="黑体" w:cs="黑体" w:eastAsia="黑体" w:hAnsi="黑体"/>
          <w:b/>
          <w:bCs/>
          <w:color w:val="1F3864"/>
          <w:sz w:val="40"/>
          <w:szCs w:val="40"/>
        </w:rPr>
        <w:t xml:space="preserve">分析报告</w:t>
      </w:r>
    </w:p>
    <w:p>
      <w:pPr>
        <w:sectPr>
          <w:footerReference w:type="default" r:id="rId7"/>
          <w:type w:val="nextPage"/>
          <w:pgSz w:w="11906" w:h="16838" w:orient="portrait"/>
          <w:pgMar w:top="1440" w:right="1800" w:bottom="1440" w:left="1800" w:header="708" w:footer="708" w:gutter="0"/>
          <w:pgNumType/>
          <w:vAlign w:val="center"/>
          <w:docGrid w:linePitch="360"/>
        </w:sectPr>
      </w:pPr>
    </w:p>
    <w:p>
      <w:pPr>
        <w:spacing w:after="16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目　录</w:t>
      </w:r>
    </w:p>
    <w:sdt>
      <w:sdtPr>
        <w:alias w:val="TO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32"/>
          <w:szCs w:val="32"/>
        </w:rPr>
        <w:t xml:space="preserve">执行摘要与核心发现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本报告以京沪金融审判体系下"证券虚假陈述责任纠纷"案由的 7 件核心判决为样本，沿侵权责任构成要件——责任主体、虚假陈述行为、损害结果、因果关系、主观过错——逐一拆解争点、梳理裁判规则，并附及揭露日、诉讼时效等程序事项。证券虚假陈述是典型的群体性诉讼：一个事件派生大量投资者分别起诉的平行判决，本研究按"上市公司＋虚假陈述事件"分组、组内只取示范判决/代表人诉讼/说理最完整者，平行判决另行留痕。核心发现如下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重大性是独立的"过滤阀"。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法院以"重大事件＋交易价量敏感性"双重标准独立审查重大性；对占比偏低、披露窗口前后量价无显著异常者，可因不具重大性而整体出罪（（2023）示01民初0212号·北京金融法院）。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交易因果"推定＋反证"结构稳定。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实施日后、揭露日前买入并持有受损者推定成立（（2022）示74民初0301号·上海金融法院）。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损失他因扣除走向精细化。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系统风险之外，行业风险、个股经营风险等非系统因素经举证亦可扣除（（2023）示民终0061号·上海市高级人民法院二审改判）。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中介机构责任转向"按过错分层的比例连带"。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会计师未对异常事项保持职业怀疑的，按过错程度比例连带，勤勉尽责抗辩从严（（2023）示74民初0455号·上海金融法院）。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样本以上海为主（5 件），北京 2 件，两地样本悬殊，本报告不作地域裁判倾向的统计比较；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个别问题的地域差异仅在相关争点处据个案点出。数据来源：本报告样本（N=7）。</w:t>
      </w:r>
    </w:p>
    <w:p>
      <w:pPr>
        <w:spacing w:before="120"/>
        <w:jc w:val="center"/>
      </w:pPr>
      <w:r>
        <w:drawing>
          <wp:inline distT="0" distB="0" distL="0" distR="0">
            <wp:extent cx="5143500" cy="3543300"/>
            <wp:effectExtent t="0" r="0" b="0" l="0"/>
            <wp:docPr id="1" name="chart" descr="图 1　样本概览：审理法院、审级、年份与裁判结果分布（N=7）" title="图 1　样本概览：审理法院、审级、年份与裁判结果分布（N=7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宋体" w:cs="宋体" w:eastAsia="宋体" w:hAnsi="宋体"/>
          <w:color w:val="595959"/>
          <w:sz w:val="18"/>
          <w:szCs w:val="18"/>
        </w:rPr>
        <w:t xml:space="preserve">图 1　样本概览：审理法院、审级、年份与裁判结果分布（N=7）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32"/>
          <w:szCs w:val="32"/>
        </w:rPr>
        <w:t xml:space="preserve">一、研究范围与方法</w:t>
      </w:r>
    </w:p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（一）研究对象、法院与样本构成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本研究案由为"证券虚假陈述责任纠纷"，目标法院为上海金融法院、北京金融法院及审理两院上诉、再审案件的对应高级人民法院。证券虚假陈述案件存在大量"同案平行判决"——同一事件下众多投资者分别起诉、分别判决。为避免重复计量，本研究按"涉案上市公司＋虚假陈述事件"分组，组内仅保留示范判决、代表人诉讼判决或说理最完整的核心判决，平行判决另行留痕。最终纳入分析的核心判决 7 件，覆盖 7 起虚假陈述事件；裁判结果为部分支持 5 件、驳回 1 件、撤销改判 1 件。</w:t>
      </w:r>
    </w:p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（二）方法与局限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本报告的实质说理基于裁判文书全文重构，量化部分仅作描述性呈现。样本量有限（N=7），各具体争点项下判决数为个位数，故下文数据仅示裁判取向，不作占比定论或显著性推断；样本以上海为主、北京仅 2 件，两地悬殊，本报告不进行京沪裁判倾向的统计比较，仅在确有个案差异处一句话点出。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32"/>
          <w:szCs w:val="32"/>
        </w:rPr>
        <w:t xml:space="preserve">二、裁判规则全景</w:t>
      </w:r>
    </w:p>
    <w:p>
      <w:pPr>
        <w:spacing w:before="120"/>
        <w:jc w:val="center"/>
      </w:pPr>
      <w:r>
        <w:drawing>
          <wp:inline distT="0" distB="0" distL="0" distR="0">
            <wp:extent cx="5143500" cy="3057525"/>
            <wp:effectExtent t="0" r="0" b="0" l="0"/>
            <wp:docPr id="1" name="chart" descr="图 2　各构成要件争点在核心判决中的出现频次" title="图 2　各构成要件争点在核心判决中的出现频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宋体" w:cs="宋体" w:eastAsia="宋体" w:hAnsi="宋体"/>
          <w:color w:val="595959"/>
          <w:sz w:val="18"/>
          <w:szCs w:val="18"/>
        </w:rPr>
        <w:t xml:space="preserve">图 2　各构成要件争点在核心判决中的出现频次</w:t>
      </w:r>
    </w:p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（一）责任主体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谁对虚假陈述担责、各主体责任如何分层，是责任认定的起点，涉及发行人、控股股东与组织指使者、中介机构三类主体。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发行人对招股文件等信息披露文件的虚假记载承担无过错责任；控股股东组织、指使上市公司实施虚假陈述的，与上市公司承担连带责任，在辛控股案（（2023）示01民初0276号·北京金融法院）中，法院否定了控股股东"非披露义务人"的抗辩，认定组织指使即应连带。中介机构则按工作范围与过错分层担责：乙生物科技案（（2023）示74民初0455号·上海金融法院）中，会计师事务所未对异常研发资本化保持职业怀疑，被认定存在过错，按 25% 比例承担连带责任。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中介机构若举证证明已尽特别注意义务、对专业范围外事项确无过错，可减免责任；本批样本中会计师的勤勉尽责抗辩因未尽职业怀疑而未被采纳。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责任主体认定已从"是否披露义务人"转向"是否对虚假陈述有组织、控制或注意义务"，中介责任的"比例连带"成为常态。</w:t>
      </w:r>
    </w:p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（二）虚假陈述行为与重大性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虚假陈述是否成立、是否具有"重大性"，是责任成立的实体门槛。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法院对重大性采"重大事件＋交易价量敏感性"双重标准独立审查。甲新材股份案（（2022）示74民初0301号·上海金融法院）中，虚增占当期利润比例显著，认定具有重大性。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丁能源集团案（（2023）示01民初0212号·北京金融法院）中，未披露合同金额占营业收入比例较低、披露窗口前后量价无显著异常，被认定不具重大性而整体出罪——重大性成为独立的过滤阀。预测性信息亦有安全港，但戊医药案（（2022）示74民初0388号·上海金融法院）指出，无合理测算依据且未作风险提示的业绩预告不能适用安全港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重大性的独立审查，使部分形式上构成虚假记载的行为因缺乏市场敏感性而不担责。</w:t>
      </w:r>
    </w:p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（三）损害结果与损失计算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投资者损失如何计算、哪些"他因"应从损失中扣除。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系统风险（同期大盘、行业下行）应从损失中扣除，甲新材股份案与戊医药案分别认定 15%、10% 的系统风险扣除比例。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他因扣除不限于系统风险：庚科技案二审（（2023）示民终0061号·上海市高级人民法院）认为，经举证证明的行业风险、个股经营风险等非系统因素亦应扣除，并据此撤销一审、改判缩减赔偿范围。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损失因果的他因扣除正走向精细化、模型化，主张方须就具体影响举证。</w:t>
      </w:r>
    </w:p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（四）因果关系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交易因果关系与损失因果关系是否成立、可否被反证推翻。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交易因果采"推定＋反证"：实施日后、揭露日前买入并持有受损者推定成立，甲新材股份案、壬股份案（（2022）示74民初0290号·上海金融法院）均循此结构。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不具重大性时交易因果无从成立（丁能源集团案）；损失因果中的非系统他因可部分切断因果（庚科技案二审）。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因果关系的"推定＋反证"结构稳定，反证集中于重大性缺失与他因扣除两条路径。</w:t>
      </w:r>
    </w:p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（五）主观过错与勤勉尽责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发行人之外的主体，主观过错如何认定、勤勉尽责抗辩可否免责。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发行人承担无过错责任；中介机构以过错为责任基础，乙生物科技案认定会计师未尽职业怀疑、存在过错，勤勉尽责抗辩不成立。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确能证明已尽特别注意义务者可免责，惟举证门槛较高。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勤勉尽责抗辩的成败，取决于中介是否对异常事项保持并记录了职业怀疑。</w:t>
      </w:r>
    </w:p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（六）程序事项：揭露日与诉讼时效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揭露日认定坚持"首次性＋警示性"：以立案调查公告日（甲新材股份案）或更正公告日（戊医药案）为揭露日。诉讼时效自投资者知道或应当知道权利受损之日起算，揭露日不当然等于起算日；适用示范判决机制审理的，平行案件时效在示范判决期间存在中止、中断情形，壬股份案据此认定时效抗辩部分不成立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32"/>
          <w:szCs w:val="32"/>
        </w:rPr>
        <w:t xml:space="preserve">三、综合分析</w:t>
      </w:r>
    </w:p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（一）裁判规则地图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2"/>
        <w:gridCol w:w="2431"/>
        <w:gridCol w:w="2431"/>
        <w:gridCol w:w="2432"/>
      </w:tblGrid>
      <w:tr>
        <w:trPr>
          <w:tblHeader/>
        </w:trP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构成要件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主流裁判规则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例外/反向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代表案例</w:t>
            </w:r>
          </w:p>
        </w:tc>
      </w:tr>
      <w:t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责任主体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发行人无过错；组织指使者连带；中介按过错比例连带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中介尽特别注意义务可减免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（2023）示74民初0455号；（2023）示01民初0276号</w:t>
            </w:r>
          </w:p>
        </w:tc>
      </w:tr>
      <w:t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虚假陈述/重大性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重大事件＋价量敏感双重标准独立审查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不具重大性整体出罪；安全港需合理基础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（2022）示74民初0301号；（2023）示01民初0212号</w:t>
            </w:r>
          </w:p>
        </w:tc>
      </w:tr>
      <w:t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损害与损失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系统风险应扣除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非系统他因经举证亦扣除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（2022）示74民初0388号；（2023）示民终0061号</w:t>
            </w:r>
          </w:p>
        </w:tc>
      </w:tr>
      <w:t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因果关系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交易因果"推定＋反证"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重大性缺失/他因切断因果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（2022）示74民初0290号</w:t>
            </w:r>
          </w:p>
        </w:tc>
      </w:tr>
      <w:t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主观过错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中介以过错为基础、抗辩从严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尽特别注意义务可免责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（2023）示74民初0455号</w:t>
            </w:r>
          </w:p>
        </w:tc>
      </w:tr>
    </w:tbl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（二）当事人指引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宋体" w:cs="宋体" w:eastAsia="宋体" w:hAnsi="宋体"/>
          <w:b/>
          <w:bCs/>
          <w:i w:val="false"/>
          <w:iCs w:val="false"/>
          <w:color w:val="1F3864"/>
          <w:sz w:val="24"/>
          <w:szCs w:val="24"/>
        </w:rPr>
        <w:t xml:space="preserve">投资者一方：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紧扣重大性与交易因果的推定结构，就平台/发行人主动行为与价量敏感性举证；对中介机构主张按过错比例连带。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宋体" w:cs="宋体" w:eastAsia="宋体" w:hAnsi="宋体"/>
          <w:b/>
          <w:bCs/>
          <w:i w:val="false"/>
          <w:iCs w:val="false"/>
          <w:color w:val="1F3864"/>
          <w:sz w:val="24"/>
          <w:szCs w:val="24"/>
        </w:rPr>
        <w:t xml:space="preserve">被告一方：</w:t>
      </w: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 重大性缺失、他因扣除、勤勉尽责是三条现实抗辩路径；中介应保留职业怀疑与核查痕迹。</w:t>
      </w:r>
    </w:p>
    <w:p>
      <w:pPr>
        <w:spacing w:before="12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chart" descr="图 3　裁判结果年度演进（N=7）" title="图 3　裁判结果年度演进（N=7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宋体" w:cs="宋体" w:eastAsia="宋体" w:hAnsi="宋体"/>
          <w:color w:val="595959"/>
          <w:sz w:val="18"/>
          <w:szCs w:val="18"/>
        </w:rPr>
        <w:t xml:space="preserve">图 3　裁判结果年度演进（N=7）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32"/>
          <w:szCs w:val="32"/>
        </w:rPr>
        <w:t xml:space="preserve">四、结论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京沪金融审判体系下的证券虚假陈述裁判，已形成以"重大性独立审查—交易因果推定与反证—损失他因精细扣除—中介比例连带"为骨架的规则群。鉴于本批样本量有限（N=7），上述为裁判取向的归纳，不作占比定论或显著性推断；后续可扩大样本以验证趋势。数据来源：本报告样本（N=7）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32"/>
          <w:szCs w:val="32"/>
        </w:rPr>
        <w:t xml:space="preserve">附录</w:t>
      </w:r>
    </w:p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附录一　典型/参考案例索引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4344"/>
        <w:gridCol w:w="2427"/>
        <w:gridCol w:w="975"/>
      </w:tblGrid>
      <w:tr>
        <w:trPr>
          <w:tblHeader/>
        </w:trP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序号</w:t>
            </w:r>
          </w:p>
        </w:tc>
        <w:tc>
          <w:tcPr>
            <w:tcW w:type="dxa" w:w="43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案件</w:t>
            </w:r>
          </w:p>
        </w:tc>
        <w:tc>
          <w:tcPr>
            <w:tcW w:type="dxa" w:w="2427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案号</w:t>
            </w:r>
          </w:p>
        </w:tc>
        <w:tc>
          <w:tcPr>
            <w:tcW w:type="dxa" w:w="97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案件等级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  <w:tc>
          <w:tcPr>
            <w:tcW w:type="dxa" w:w="43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某股份有限公司证券虚假陈述责任纠纷</w:t>
            </w:r>
          </w:p>
        </w:tc>
        <w:tc>
          <w:tcPr>
            <w:tcW w:type="dxa" w:w="2427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（2021）示民再001号</w:t>
            </w:r>
          </w:p>
        </w:tc>
        <w:tc>
          <w:tcPr>
            <w:tcW w:type="dxa" w:w="97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222222"/>
                <w:sz w:val="17"/>
                <w:szCs w:val="17"/>
              </w:rPr>
              <w:t xml:space="preserve">公报案例</w:t>
            </w:r>
          </w:p>
        </w:tc>
      </w:tr>
    </w:tbl>
    <w:p>
      <w:pPr>
        <w:pStyle w:val="Heading2"/>
        <w:spacing w:after="120" w:before="240"/>
      </w:pPr>
      <w:r>
        <w:rPr>
          <w:rFonts w:ascii="黑体" w:cs="黑体" w:eastAsia="黑体" w:hAnsi="黑体"/>
          <w:b/>
          <w:bCs/>
          <w:color w:val="000000"/>
          <w:sz w:val="28"/>
          <w:szCs w:val="28"/>
        </w:rPr>
        <w:t xml:space="preserve">附录二　研究方法说明</w:t>
      </w:r>
    </w:p>
    <w:p>
      <w:pPr>
        <w:spacing w:after="8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i w:val="false"/>
          <w:iCs w:val="false"/>
          <w:sz w:val="24"/>
          <w:szCs w:val="24"/>
        </w:rPr>
        <w:t xml:space="preserve">本报告样本经"问题体系搭建—关键词轮替检索—按主体+事件分组识别核心判决（平行判决留痕）—相关度筛查—按问题编码—描述性统计与出图—全文驱动深度写作"流程产出。样本量有限时定量部分仅作描述性呈现、不作显著性推断，分组样本不足时不作分组差异比较。全部案件数据来自检索样本池，引用案号均可溯源。本附录数据为合成演示数据，详见 `examples/DISCLAIMER.md`。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60"/>
      <w:jc w:val="center"/>
    </w:pPr>
    <w:r>
      <w:rPr>
        <w:rFonts w:ascii="宋体" w:cs="宋体" w:eastAsia="宋体" w:hAnsi="宋体"/>
        <w:color w:val="333333"/>
        <w:sz w:val="21"/>
        <w:szCs w:val="21"/>
      </w:rPr>
      <w:t xml:space="preserve">报告人：（演示）</w:t>
    </w:r>
  </w:p>
  <w:p>
    <w:pPr>
      <w:spacing w:after="60"/>
      <w:jc w:val="center"/>
    </w:pPr>
    <w:r>
      <w:rPr>
        <w:rFonts w:ascii="宋体" w:cs="宋体" w:eastAsia="宋体" w:hAnsi="宋体"/>
        <w:color w:val="333333"/>
        <w:sz w:val="21"/>
        <w:szCs w:val="21"/>
      </w:rPr>
      <w:t xml:space="preserve">报告日期：2026年6月9日</w:t>
    </w:r>
  </w:p>
  <w:p>
    <w:pPr>
      <w:spacing w:after="60"/>
      <w:jc w:val="center"/>
    </w:pPr>
    <w:r>
      <w:rPr>
        <w:rFonts w:ascii="宋体" w:cs="宋体" w:eastAsia="宋体" w:hAnsi="宋体"/>
        <w:color w:val="333333"/>
        <w:sz w:val="21"/>
        <w:szCs w:val="21"/>
      </w:rPr>
      <w:t xml:space="preserve">检索法院：上海金融法院、北京金融法院、上海市高级人民法院</w:t>
    </w:r>
  </w:p>
  <w:p>
    <w:pPr>
      <w:spacing w:after="60"/>
      <w:jc w:val="center"/>
    </w:pPr>
    <w:r>
      <w:rPr>
        <w:rFonts w:ascii="宋体" w:cs="宋体" w:eastAsia="宋体" w:hAnsi="宋体"/>
        <w:color w:val="333333"/>
        <w:sz w:val="21"/>
        <w:szCs w:val="21"/>
      </w:rPr>
      <w:t xml:space="preserve">分析样本：核心判决 7 件，覆盖 7 起虚假陈述事件（另平行判决留痕、典型案例附录）</w:t>
    </w:r>
  </w:p>
  <w:p>
    <w:pPr>
      <w:spacing w:after="60"/>
      <w:jc w:val="center"/>
    </w:pPr>
    <w:r>
      <w:rPr>
        <w:rFonts w:ascii="宋体" w:cs="宋体" w:eastAsia="宋体" w:hAnsi="宋体"/>
        <w:color w:val="333333"/>
        <w:sz w:val="21"/>
        <w:szCs w:val="21"/>
      </w:rPr>
      <w:t xml:space="preserve">数据性质：合成演示数据（虚构案号/当事人，详见 examples/DISCLAIMER.md）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595959"/>
        <w:sz w:val="18"/>
        <w:szCs w:val="18"/>
      </w:rPr>
      <w:t xml:space="preserve">第 </w:t>
    </w:r>
    <w:r>
      <w:rPr>
        <w:rFonts w:ascii="宋体" w:cs="宋体" w:eastAsia="宋体" w:hAnsi="宋体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595959"/>
        <w:sz w:val="18"/>
        <w:szCs w:val="18"/>
      </w:rPr>
      <w:t xml:space="preserve"> 页 / 共 </w:t>
    </w:r>
    <w:r>
      <w:rPr>
        <w:rFonts w:ascii="宋体" w:cs="宋体" w:eastAsia="宋体" w:hAnsi="宋体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宋体" w:cs="宋体" w:eastAsia="宋体" w:hAnsi="宋体"/>
        <w:color w:val="59595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9C9" w:sz="4" w:space="2"/>
      </w:pBdr>
      <w:jc w:val="right"/>
    </w:pPr>
    <w:r>
      <w:rPr>
        <w:rFonts w:ascii="宋体" w:cs="宋体" w:eastAsia="宋体" w:hAnsi="宋体"/>
        <w:color w:val="595959"/>
        <w:sz w:val="16"/>
        <w:szCs w:val="16"/>
      </w:rPr>
      <w:t xml:space="preserve">证券虚假陈述裁判规则研究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560" w:hanging="280"/>
      </w:pPr>
      <w:rPr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黑体" w:cs="黑体" w:eastAsia="黑体" w:hAnsi="黑体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黑体" w:cs="黑体" w:eastAsia="黑体" w:hAnsi="黑体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黑体" w:cs="黑体" w:eastAsia="黑体" w:hAnsi="黑体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c1a220c573eb0a9e19ea08e86d2c1b7087cb4864.png"/><Relationship Id="rId11" Type="http://schemas.openxmlformats.org/officeDocument/2006/relationships/image" Target="media/302405111a029f87fc0ba91bc55a1171b41f7a18.png"/><Relationship Id="rId12" Type="http://schemas.openxmlformats.org/officeDocument/2006/relationships/image" Target="media/94acd0995edaeacfcdc4cbff1d3fec0552fb738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2026-06-11T14:14:24.830Z</dcterms:created>
  <dcterms:modified xsi:type="dcterms:W3CDTF">2026-06-11T14:14:24.832Z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