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6"/>
        </w:pBdr>
        <w:spacing w:after="120"/>
        <w:jc w:val="center"/>
      </w:pPr>
      <w:r>
        <w:rPr>
          <w:rFonts w:ascii="Times New Roman" w:eastAsia="黑体" w:hAnsi="Times New Roman"/>
          <w:b/>
          <w:bCs/>
          <w:color w:val="1F3864"/>
          <w:sz w:val="44"/>
          <w:szCs w:val="44"/>
        </w:rPr>
        <w:t xml:space="preserve">关　于</w:t>
      </w:r>
    </w:p>
    <w:p>
      <w:pPr>
        <w:spacing w:after="80" w:before="240"/>
        <w:jc w:val="center"/>
      </w:pPr>
      <w:r>
        <w:rPr>
          <w:rFonts w:ascii="Times New Roman" w:eastAsia="黑体" w:hAnsi="Times New Roman"/>
          <w:b/>
          <w:bCs/>
          <w:color w:val="1F1F1F"/>
          <w:sz w:val="52"/>
          <w:szCs w:val="52"/>
        </w:rPr>
        <w:t xml:space="preserve">证券虚假陈述裁判规则</w:t>
      </w:r>
    </w:p>
    <w:p>
      <w:pPr>
        <w:spacing w:after="120" w:before="80"/>
        <w:jc w:val="center"/>
      </w:pPr>
      <w:r>
        <w:rPr>
          <w:rFonts w:ascii="Times New Roman" w:eastAsia="黑体" w:hAnsi="Times New Roman"/>
          <w:b/>
          <w:bCs/>
          <w:color w:val="1F1F1F"/>
          <w:sz w:val="52"/>
          <w:szCs w:val="52"/>
        </w:rPr>
        <w:t xml:space="preserve">研究报告</w:t>
      </w:r>
    </w:p>
    <w:p>
      <w:pPr>
        <w:pBdr>
          <w:top w:val="single" w:color="1F3864" w:sz="8" w:space="6"/>
        </w:pBdr>
        <w:spacing w:after="120" w:before="120"/>
        <w:jc w:val="center"/>
      </w:pPr>
      <w:r>
        <w:rPr>
          <w:rFonts w:ascii="Times New Roman" w:eastAsia="黑体" w:hAnsi="Times New Roman"/>
          <w:b/>
          <w:bCs/>
          <w:color w:val="1F3864"/>
          <w:sz w:val="40"/>
          <w:szCs w:val="40"/>
        </w:rPr>
        <w:t xml:space="preserve">分析报告</w:t>
      </w:r>
    </w:p>
    <w:p>
      <w:pPr>
        <w:sectPr>
          <w:footerReference w:type="default" r:id="rId7"/>
          <w:type w:val="nextPage"/>
          <w:pgSz w:w="11906" w:h="16838" w:orient="portrait"/>
          <w:pgMar w:top="1440" w:right="1800" w:bottom="1440" w:left="1800" w:header="708" w:footer="708" w:gutter="0"/>
          <w:pgNumType/>
          <w:vAlign w:val="center"/>
          <w:docGrid w:linePitch="360"/>
        </w:sectPr>
      </w:pPr>
    </w:p>
    <w:p>
      <w:pPr>
        <w:spacing w:after="160"/>
        <w:jc w:val="center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目　录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执行摘要与核心发现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本报告以京沪金融审判体系下「证券虚假陈述责任纠纷」案由的 7 件核心判决为样本，沿侵权责任构成要件——责任主体、虚假陈述行为、损害结果、因果关系、主观过错——逐一拆解争点、梳理裁判规则，并附及揭露日、诉讼时效等程序事项。证券虚假陈述是典型的群体性诉讼：一个事件派生大量投资者分别起诉的平行判决，本研究按「上市公司＋虚假陈述事件」分组、组内只取示范判决/代表人诉讼/说理最完整者，平行判决另行留痕。核心发现如下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重大性是独立的「过滤阀」。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法院以「重大事件＋交易价量敏感性」双重标准独立审查重大性；对占比偏低、披露窗口前后量价无显著异常者，可因不具重大性而整体出罪（（2023）示01民初0212号·北京金融法院）。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交易因果「推定＋反证」结构稳定。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实施日后、揭露日前买入并持有受损者推定成立（（2022）示74民初0301号·上海金融法院）。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损失他因扣除走向精细化。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系统风险之外，行业风险、个股经营风险等非系统因素经举证亦可扣除（（2023）示民终0061号·上海市高级人民法院二审改判）。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中介机构责任转向「按过错分层的比例连带」。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会计师未对异常事项保持职业怀疑的，按过错程度比例连带，勤勉尽责抗辩从严（（2023）示74民初0455号·上海金融法院）。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样本以上海为主（5 件），北京 2 件，两地样本悬殊，本报告不作地域裁判倾向的统计比较；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个别问题的地域差异仅在相关争点处据个案点出。数据来源：本报告样本（N=7）。</w:t>
      </w:r>
    </w:p>
    <w:p>
      <w:pPr>
        <w:spacing w:before="120"/>
        <w:jc w:val="center"/>
      </w:pPr>
      <w:r>
        <w:drawing>
          <wp:inline distT="0" distB="0" distL="0" distR="0">
            <wp:extent cx="5143500" cy="3543300"/>
            <wp:effectExtent t="0" r="0" b="0" l="0"/>
            <wp:docPr id="1" name="chart" descr="图 1　样本概览：审理法院、审级、年份与裁判结果分布（N=7）" title="图 1　样本概览：审理法院、审级、年份与裁判结果分布（N=7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1　样本概览：审理法院、审级、年份与裁判结果分布（N=7）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一、研究范围与方法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（一）研究对象、法院与样本构成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研究案由为「证券虚假陈述责任纠纷」，目标法院为上海金融法院、北京金融法院及审理两院上诉、再审案件的对应高级人民法院。证券虚假陈述案件存在大量「同案平行判决」——同一事件下众多投资者分别起诉、分别判决。为避免重复计量，本研究按「涉案上市公司＋虚假陈述事件」分组，组内仅保留示范判决、代表人诉讼判决或说理最完整的核心判决，平行判决另行留痕。最终纳入分析的核心判决 7 件，覆盖 7 起虚假陈述事件；裁判结果为部分支持 5 件、驳回 1 件、撤销改判 1 件。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（二）方法与局限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本报告的实质说理基于裁判文书全文重构，量化部分仅作描述性呈现。样本量有限（N=7），各具体争点项下判决数为个位数，故下文数据仅示裁判取向，不作占比定论或显著性推断；样本以上海为主、北京仅 2 件，两地悬殊，本报告不进行京沪裁判倾向的统计比较，仅在确有个案差异处一句话点出。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二、裁判规则全景</w:t>
      </w:r>
    </w:p>
    <w:p>
      <w:pPr>
        <w:spacing w:before="120"/>
        <w:jc w:val="center"/>
      </w:pPr>
      <w:r>
        <w:drawing>
          <wp:inline distT="0" distB="0" distL="0" distR="0">
            <wp:extent cx="5143500" cy="3057525"/>
            <wp:effectExtent t="0" r="0" b="0" l="0"/>
            <wp:docPr id="1" name="chart" descr="图 2　各构成要件争点在核心判决中的出现频次" title="图 2　各构成要件争点在核心判决中的出现频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2　各构成要件争点在核心判决中的出现频次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（一）责任主体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谁对虚假陈述担责、各主体责任如何分层，是责任认定的起点，涉及发行人、控股股东与组织指使者、中介机构三类主体。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发行人对招股文件等信息披露文件的虚假记载承担无过错责任；控股股东组织、指使上市公司实施虚假陈述的，与上市公司承担连带责任，在辛控股案（（2023）示01民初0276号·北京金融法院）中，法院否定了控股股东“非披露义务人”的抗辩，认定组织指使即应连带。中介机构则按工作范围与过错分层担责：乙生物科技案（（2023）示74民初0455号·上海金融法院）中，会计师事务所未对异常研发资本化保持职业怀疑，被认定存在过错，按 25% 比例承担连带责任。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中介机构若举证证明已尽特别注意义务、对专业范围外事项确无过错，可减免责任；本批样本中会计师的勤勉尽责抗辩因未尽职业怀疑而未被采纳。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责任主体认定已从「是否披露义务人」转向「是否对虚假陈述有组织、控制或注意义务」，中介责任的「比例连带」成为常态。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（二）虚假陈述行为与重大性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虚假陈述是否成立、是否具有「重大性」，是责任成立的实体门槛。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法院对重大性采「重大事件＋交易价量敏感性」双重标准独立审查。甲新材股份案（（2022）示74民初0301号·上海金融法院）中，虚增占当期利润比例显著，认定具有重大性。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丁能源集团案（（2023）示01民初0212号·北京金融法院）中，未披露合同金额占营业收入比例较低、披露窗口前后量价无显著异常，被认定不具重大性而整体出罪——重大性成为独立的过滤阀。预测性信息亦有安全港，但戊医药案（（2022）示74民初0388号·上海金融法院）指出，无合理测算依据且未作风险提示的业绩预告不能适用安全港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重大性的独立审查，使部分形式上构成虚假记载的行为因缺乏市场敏感性而不担责。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（三）损害结果与损失计算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投资者损失如何计算、哪些「他因」应从损失中扣除。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系统风险（同期大盘、行业下行）应从损失中扣除，甲新材股份案与戊医药案分别认定 15%、10% 的系统风险扣除比例。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他因扣除不限于系统风险：庚科技案二审（（2023）示民终0061号·上海市高级人民法院）认为，经举证证明的行业风险、个股经营风险等非系统因素亦应扣除，并据此撤销一审、改判缩减赔偿范围。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损失因果的他因扣除正走向精细化、模型化，主张方须就具体影响举证。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（四）因果关系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交易因果关系与损失因果关系是否成立、可否被反证推翻。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交易因果采「推定＋反证」：实施日后、揭露日前买入并持有受损者推定成立，甲新材股份案、壬股份案（（2022）示74民初0290号·上海金融法院）均循此结构。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不具重大性时交易因果无从成立（丁能源集团案）；损失因果中的非系统他因可部分切断因果（庚科技案二审）。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因果关系的「推定＋反证」结构稳定，反证集中于重大性缺失与他因扣除两条路径。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（五）主观过错与勤勉尽责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① 争点界定。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发行人之外的主体，主观过错如何认定、勤勉尽责抗辩可否免责。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② 主流裁判规则与代表案例。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发行人承担无过错责任；中介机构以过错为责任基础，乙生物科技案认定会计师未尽职业怀疑、存在过错，勤勉尽责抗辩不成立。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③ 例外与反向。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确能证明已尽特别注意义务者可免责，惟举证门槛较高。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④ 评析要点。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勤勉尽责抗辩的成败，取决于中介是否对异常事项保持并记录了职业怀疑。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（六）程序事项：揭露日与诉讼时效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揭露日认定坚持「首次性＋警示性」：以立案调查公告日（甲新材股份案）或更正公告日（戊医药案）为揭露日。诉讼时效自投资者知道或应当知道权利受损之日起算，揭露日不当然等于起算日；适用示范判决机制审理的，平行案件时效在示范判决期间存在中止、中断情形，壬股份案据此认定时效抗辩部分不成立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三、综合分析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（一）裁判规则地图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2"/>
        <w:gridCol w:w="2431"/>
        <w:gridCol w:w="2431"/>
        <w:gridCol w:w="2432"/>
      </w:tblGrid>
      <w:tr>
        <w:trPr>
          <w:tblHeader/>
        </w:trP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构成要件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主流裁判规则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例外/反向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代表案例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责任主体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发行人无过错；组织指使者连带；中介按过错比例连带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中介尽特别注意义务可减免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（2023）示74民初0455号；（2023）示01民初0276号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虚假陈述/重大性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重大事件＋价量敏感双重标准独立审查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不具重大性整体出罪；安全港需合理基础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（2022）示74民初0301号；（2023）示01民初0212号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损害与损失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系统风险应扣除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非系统他因经举证亦扣除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（2022）示74民初0388号；（2023）示民终0061号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因果关系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交易因果「推定＋反证」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重大性缺失/他因切断因果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（2022）示74民初0290号</w:t>
            </w:r>
          </w:p>
        </w:tc>
      </w:tr>
      <w:tr>
        <w:tc>
          <w:tcPr>
            <w:tcW w:type="dxa" w:w="101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主观过错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中介以过错为基础、抗辩从严</w:t>
            </w:r>
          </w:p>
        </w:tc>
        <w:tc>
          <w:tcPr>
            <w:tcW w:type="dxa" w:w="243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尽特别注意义务可免责</w:t>
            </w:r>
          </w:p>
        </w:tc>
        <w:tc>
          <w:tcPr>
            <w:tcW w:type="dxa" w:w="243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（2023）示74民初0455号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（二）当事人指引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color w:val="1F3864"/>
          <w:sz w:val="24"/>
          <w:szCs w:val="24"/>
        </w:rPr>
        <w:t xml:space="preserve">投资者一方：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紧扣重大性与交易因果的推定结构，就平台/发行人主动行为与价量敏感性举证；对中介机构主张按过错比例连带。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color w:val="1F3864"/>
          <w:sz w:val="24"/>
          <w:szCs w:val="24"/>
        </w:rPr>
        <w:t xml:space="preserve">被告一方：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 重大性缺失、他因扣除、勤勉尽责是三条现实抗辩路径；中介应保留职业怀疑与核查痕迹。</w:t>
      </w:r>
    </w:p>
    <w:p>
      <w:pPr>
        <w:spacing w:before="12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chart" descr="图 3　裁判结果年度演进（N=7）" title="图 3　裁判结果年度演进（N=7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3　裁判结果年度演进（N=7）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四、结论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京沪金融审判体系下的证券虚假陈述裁判，已形成以「重大性独立审查—交易因果推定与反证—损失他因精细扣除—中介比例连带」为骨架的规则群。鉴于本批样本量有限（N=7），上述为裁判取向的归纳，不作占比定论或显著性推断；后续可扩大样本以验证趋势。数据来源：本报告样本（N=7）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附录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附录一　典型/参考案例索引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4344"/>
        <w:gridCol w:w="2427"/>
        <w:gridCol w:w="975"/>
      </w:tblGrid>
      <w:tr>
        <w:trPr>
          <w:tblHeader/>
        </w:trP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序号</w:t>
            </w:r>
          </w:p>
        </w:tc>
        <w:tc>
          <w:tcPr>
            <w:tcW w:type="dxa" w:w="43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案件</w:t>
            </w:r>
          </w:p>
        </w:tc>
        <w:tc>
          <w:tcPr>
            <w:tcW w:type="dxa" w:w="242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案号</w:t>
            </w:r>
          </w:p>
        </w:tc>
        <w:tc>
          <w:tcPr>
            <w:tcW w:type="dxa" w:w="97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案件等级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  <w:tc>
          <w:tcPr>
            <w:tcW w:type="dxa" w:w="43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某股份有限公司证券虚假陈述责任纠纷</w:t>
            </w:r>
          </w:p>
        </w:tc>
        <w:tc>
          <w:tcPr>
            <w:tcW w:type="dxa" w:w="242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（2021）示民再001号</w:t>
            </w:r>
          </w:p>
        </w:tc>
        <w:tc>
          <w:tcPr>
            <w:tcW w:type="dxa" w:w="97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公报案例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附录二　研究方法说明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报告样本经"问题体系搭建—关键词轮替检索—按主体+事件分组识别核心判决（平行判决留痕）—相关度筛查—按问题编码—描述性统计与出图—全文驱动深度写作"流程产出。样本量有限时定量部分仅作描述性呈现、不作显著性推断，分组样本不足时不作分组差异比较。全部案件数据来自检索样本池，引用案号均可溯源。本附录数据为合成演示数据，详见 `examples/DISCLAIMER.md`。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研究模式：学理研究（演示·全国规则全景，无指定法院）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报告人：（演示）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报告日期：2026年6月9日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检索法院：上海金融法院、北京金融法院、上海市高级人民法院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分析样本：核心判决 7 件，覆盖 7 起虚假陈述事件（另平行判决留痕、典型案例附录）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数据性质：合成演示数据（虚构案号/当事人，详见 examples/DISCLAIMER.md）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color w:val="595959"/>
        <w:sz w:val="18"/>
        <w:szCs w:val="18"/>
      </w:rPr>
      <w:t xml:space="preserve">第 </w:t>
    </w:r>
    <w:r>
      <w:rPr>
        <w:rFonts w:ascii="Times New Roman" w:eastAsia="宋体" w:hAnsi="Times New Roman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eastAsia="宋体" w:hAnsi="Times New Roman"/>
        <w:color w:val="595959"/>
        <w:sz w:val="18"/>
        <w:szCs w:val="18"/>
      </w:rPr>
      <w:t xml:space="preserve"> 页 / 共 </w:t>
    </w:r>
    <w:r>
      <w:rPr>
        <w:rFonts w:ascii="Times New Roman" w:eastAsia="宋体" w:hAnsi="Times New Roman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eastAsia="宋体" w:hAnsi="Times New Roman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9C9" w:sz="4" w:space="2"/>
      </w:pBdr>
      <w:jc w:val="right"/>
    </w:pPr>
    <w:r>
      <w:rPr>
        <w:rFonts w:ascii="Times New Roman" w:eastAsia="宋体" w:hAnsi="Times New Roman"/>
        <w:color w:val="595959"/>
        <w:sz w:val="16"/>
        <w:szCs w:val="16"/>
      </w:rPr>
      <w:t xml:space="preserve">证券虚假陈述裁判规则研究报告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560" w:hanging="280"/>
      </w:pPr>
      <w:rPr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eastAsia="黑体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eastAsia="黑体" w:hAnsi="Times New Roman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eastAsia="黑体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c1a220c573eb0a9e19ea08e86d2c1b7087cb4864.png"/><Relationship Id="rId11" Type="http://schemas.openxmlformats.org/officeDocument/2006/relationships/image" Target="media/302405111a029f87fc0ba91bc55a1171b41f7a18.png"/><Relationship Id="rId12" Type="http://schemas.openxmlformats.org/officeDocument/2006/relationships/image" Target="media/94acd0995edaeacfcdc4cbff1d3fec0552fb738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2026-06-12T13:43:33.552Z</dcterms:created>
  <dcterms:modified xsi:type="dcterms:W3CDTF">2026-06-12T13:43:33.553Z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