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6"/>
        </w:pBdr>
        <w:spacing w:after="120"/>
        <w:jc w:val="center"/>
      </w:pPr>
      <w:r>
        <w:rPr>
          <w:rFonts w:ascii="黑体" w:cs="黑体" w:eastAsia="黑体" w:hAnsi="黑体"/>
          <w:b/>
          <w:bCs/>
          <w:color w:val="1F3864"/>
          <w:sz w:val="44"/>
          <w:szCs w:val="44"/>
        </w:rPr>
        <w:t xml:space="preserve">关　于</w:t>
      </w:r>
    </w:p>
    <w:p>
      <w:pPr>
        <w:spacing w:after="120" w:before="240"/>
        <w:jc w:val="center"/>
      </w:pPr>
      <w:r>
        <w:rPr>
          <w:rFonts w:ascii="黑体" w:cs="黑体" w:eastAsia="黑体" w:hAnsi="黑体"/>
          <w:b/>
          <w:bCs/>
          <w:color w:val="1F1F1F"/>
          <w:sz w:val="52"/>
          <w:szCs w:val="52"/>
        </w:rPr>
        <w:t xml:space="preserve">算法推荐短视频侵权案件的类案检索</w:t>
      </w:r>
    </w:p>
    <w:p>
      <w:pPr>
        <w:pBdr>
          <w:top w:val="single" w:color="1F3864" w:sz="8" w:space="6"/>
        </w:pBdr>
        <w:spacing w:after="480" w:before="120"/>
        <w:jc w:val="center"/>
      </w:pPr>
      <w:r>
        <w:rPr>
          <w:rFonts w:ascii="黑体" w:cs="黑体" w:eastAsia="黑体" w:hAnsi="黑体"/>
          <w:b/>
          <w:bCs/>
          <w:color w:val="1F3864"/>
          <w:sz w:val="40"/>
          <w:szCs w:val="40"/>
        </w:rPr>
        <w:t xml:space="preserve">分析报告</w:t>
      </w:r>
    </w:p>
    <w:p>
      <w:pPr>
        <w:spacing w:after="60"/>
        <w:jc w:val="center"/>
      </w:pPr>
      <w:r>
        <w:rPr>
          <w:rFonts w:ascii="宋体" w:cs="宋体" w:eastAsia="宋体" w:hAnsi="宋体"/>
          <w:color w:val="333333"/>
          <w:sz w:val="21"/>
          <w:szCs w:val="21"/>
        </w:rPr>
        <w:t xml:space="preserve">报告人：Master教授</w:t>
      </w:r>
    </w:p>
    <w:p>
      <w:pPr>
        <w:spacing w:after="60"/>
        <w:jc w:val="center"/>
      </w:pPr>
      <w:r>
        <w:rPr>
          <w:rFonts w:ascii="宋体" w:cs="宋体" w:eastAsia="宋体" w:hAnsi="宋体"/>
          <w:color w:val="333333"/>
          <w:sz w:val="21"/>
          <w:szCs w:val="21"/>
        </w:rPr>
        <w:t xml:space="preserve">报告日期：2026年6月8日</w:t>
      </w:r>
    </w:p>
    <w:p>
      <w:pPr>
        <w:spacing w:after="60"/>
        <w:jc w:val="center"/>
      </w:pPr>
      <w:r>
        <w:rPr>
          <w:rFonts w:ascii="宋体" w:cs="宋体" w:eastAsia="宋体" w:hAnsi="宋体"/>
          <w:color w:val="333333"/>
          <w:sz w:val="21"/>
          <w:szCs w:val="21"/>
        </w:rPr>
        <w:t xml:space="preserve">检索地域：北京、上海、广东、浙江</w:t>
      </w:r>
    </w:p>
    <w:p>
      <w:pPr>
        <w:spacing w:after="60"/>
        <w:jc w:val="center"/>
      </w:pPr>
      <w:r>
        <w:rPr>
          <w:rFonts w:ascii="宋体" w:cs="宋体" w:eastAsia="宋体" w:hAnsi="宋体"/>
          <w:color w:val="333333"/>
          <w:sz w:val="21"/>
          <w:szCs w:val="21"/>
        </w:rPr>
        <w:t xml:space="preserve">分析样本：普通案例 6 件（另权威案例 2 件入附录）</w:t>
      </w:r>
    </w:p>
    <w:p>
      <w:pPr>
        <w:spacing w:after="60"/>
        <w:jc w:val="center"/>
      </w:pPr>
      <w:r>
        <w:rPr>
          <w:rFonts w:ascii="宋体" w:cs="宋体" w:eastAsia="宋体" w:hAnsi="宋体"/>
          <w:color w:val="333333"/>
          <w:sz w:val="21"/>
          <w:szCs w:val="21"/>
        </w:rPr>
        <w:t xml:space="preserve">数据性质：合成演示数据（虚构案号/当事人，详见 examples/DISCLAIMER.md）</w:t>
      </w:r>
    </w:p>
    <w:p>
      <w:pPr>
        <w:sectPr>
          <w:type w:val="nextPage"/>
          <w:pgSz w:w="11906" w:h="16838" w:orient="portrait"/>
          <w:pgMar w:top="1440" w:right="1800" w:bottom="1440" w:left="1800" w:header="708" w:footer="708" w:gutter="0"/>
          <w:pgNumType/>
          <w:vAlign w:val="center"/>
          <w:docGrid w:linePitch="360"/>
        </w:sectPr>
      </w:pPr>
    </w:p>
    <w:p>
      <w:pPr>
        <w:spacing w:after="160"/>
        <w:jc w:val="center"/>
      </w:pPr>
      <w:r>
        <w:rPr>
          <w:rFonts w:ascii="黑体" w:cs="黑体" w:eastAsia="黑体" w:hAnsi="黑体"/>
          <w:b/>
          <w:bCs/>
          <w:sz w:val="32"/>
          <w:szCs w:val="32"/>
        </w:rPr>
        <w:t xml:space="preserve">目　录</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120" w:before="240"/>
      </w:pPr>
      <w:r>
        <w:rPr>
          <w:rFonts w:ascii="黑体" w:cs="黑体" w:eastAsia="黑体" w:hAnsi="黑体"/>
          <w:b/>
          <w:bCs/>
          <w:color w:val="000000"/>
          <w:sz w:val="32"/>
          <w:szCs w:val="32"/>
        </w:rPr>
        <w:t xml:space="preserve">执行摘要与核心发现</w:t>
      </w:r>
    </w:p>
    <w:p>
      <w:pPr>
        <w:spacing w:after="80" w:line="360"/>
        <w:ind w:firstLine="480"/>
        <w:jc w:val="both"/>
      </w:pPr>
      <w:r>
        <w:rPr>
          <w:rFonts w:ascii="宋体" w:cs="宋体" w:eastAsia="宋体" w:hAnsi="宋体"/>
          <w:b w:val="false"/>
          <w:bCs w:val="false"/>
          <w:i w:val="false"/>
          <w:iCs w:val="false"/>
          <w:sz w:val="24"/>
          <w:szCs w:val="24"/>
        </w:rPr>
        <w:t xml:space="preserve">本报告以"短视频平台经算法推荐机制传播用户上传的侵权影视切条"为基准案情，就"侵害作品信息网络传播权纠纷"案由检索并分析普通案例 6 件，沿"平台侵权认定—技术中立/避风港抗辩—通知与必要措施"三条争点主线梳理裁判规则。核心发现如下：</w:t>
      </w:r>
    </w:p>
    <w:p>
      <w:pPr>
        <w:pStyle w:val="ListParagraph"/>
        <w:numPr>
          <w:ilvl w:val="0"/>
          <w:numId w:val="2"/>
        </w:numPr>
        <w:spacing w:after="60" w:line="340"/>
      </w:pPr>
      <w:r>
        <w:rPr>
          <w:rFonts w:ascii="宋体" w:cs="宋体" w:eastAsia="宋体" w:hAnsi="宋体"/>
          <w:b/>
          <w:bCs/>
          <w:i w:val="false"/>
          <w:iCs w:val="false"/>
          <w:sz w:val="24"/>
          <w:szCs w:val="24"/>
        </w:rPr>
        <w:t xml:space="preserve">算法推荐正在抬高平台的注意义务。</w:t>
      </w:r>
      <w:r>
        <w:rPr>
          <w:rFonts w:ascii="宋体" w:cs="宋体" w:eastAsia="宋体" w:hAnsi="宋体"/>
          <w:b w:val="false"/>
          <w:bCs w:val="false"/>
          <w:i w:val="false"/>
          <w:iCs w:val="false"/>
          <w:sz w:val="24"/>
          <w:szCs w:val="24"/>
        </w:rPr>
        <w:t xml:space="preserve"> 当平台对侵权内容进行算法加权、专题聚合或搜索联想给词时，法院普遍认为其已超出单纯网络服务提供者的中立地位，对侵权内容的传播具有组织、控制与获益，注意义务相应提高。</w:t>
      </w:r>
    </w:p>
    <w:p>
      <w:pPr>
        <w:pStyle w:val="ListParagraph"/>
        <w:numPr>
          <w:ilvl w:val="0"/>
          <w:numId w:val="2"/>
        </w:numPr>
        <w:spacing w:after="60" w:line="340"/>
      </w:pPr>
      <w:r>
        <w:rPr>
          <w:rFonts w:ascii="宋体" w:cs="宋体" w:eastAsia="宋体" w:hAnsi="宋体"/>
          <w:b/>
          <w:bCs/>
          <w:i w:val="false"/>
          <w:iCs w:val="false"/>
          <w:sz w:val="24"/>
          <w:szCs w:val="24"/>
        </w:rPr>
        <w:t xml:space="preserve">"技术中立"抗辩在算法推荐场景下基本不被采纳。</w:t>
      </w:r>
      <w:r>
        <w:rPr>
          <w:rFonts w:ascii="宋体" w:cs="宋体" w:eastAsia="宋体" w:hAnsi="宋体"/>
          <w:b w:val="false"/>
          <w:bCs w:val="false"/>
          <w:i w:val="false"/>
          <w:iCs w:val="false"/>
          <w:sz w:val="24"/>
          <w:szCs w:val="24"/>
        </w:rPr>
        <w:t xml:space="preserve"> 本批样本中"技术中立"抗辩提出 5 次、采纳 0 次；法院的共识是：算法推荐并非价值无涉的通道，不能当然免除平台责任。</w:t>
      </w:r>
    </w:p>
    <w:p>
      <w:pPr>
        <w:pStyle w:val="ListParagraph"/>
        <w:numPr>
          <w:ilvl w:val="0"/>
          <w:numId w:val="2"/>
        </w:numPr>
        <w:spacing w:after="60" w:line="340"/>
      </w:pPr>
      <w:r>
        <w:rPr>
          <w:rFonts w:ascii="宋体" w:cs="宋体" w:eastAsia="宋体" w:hAnsi="宋体"/>
          <w:b/>
          <w:bCs/>
          <w:i w:val="false"/>
          <w:iCs w:val="false"/>
          <w:sz w:val="24"/>
          <w:szCs w:val="24"/>
        </w:rPr>
        <w:t xml:space="preserve">"通知—删除"已不等于"通知—必要措施"。</w:t>
      </w:r>
      <w:r>
        <w:rPr>
          <w:rFonts w:ascii="宋体" w:cs="宋体" w:eastAsia="宋体" w:hAnsi="宋体"/>
          <w:b w:val="false"/>
          <w:bCs w:val="false"/>
          <w:i w:val="false"/>
          <w:iCs w:val="false"/>
          <w:sz w:val="24"/>
          <w:szCs w:val="24"/>
        </w:rPr>
        <w:t xml:space="preserve"> 仅删除权利人通知所列链接、而对同源侵权切条不作过滤的，多被认定未尽必要措施；是否"已尽"成为责任成立与否的关键变量。</w:t>
      </w:r>
    </w:p>
    <w:p>
      <w:pPr>
        <w:pStyle w:val="ListParagraph"/>
        <w:numPr>
          <w:ilvl w:val="0"/>
          <w:numId w:val="2"/>
        </w:numPr>
        <w:spacing w:after="60" w:line="340"/>
      </w:pPr>
      <w:r>
        <w:rPr>
          <w:rFonts w:ascii="宋体" w:cs="宋体" w:eastAsia="宋体" w:hAnsi="宋体"/>
          <w:b/>
          <w:bCs/>
          <w:i w:val="false"/>
          <w:iCs w:val="false"/>
          <w:sz w:val="24"/>
          <w:szCs w:val="24"/>
        </w:rPr>
        <w:t xml:space="preserve">避风港规则仍有适用空间，但以"权属+已尽必要措施"为前提。</w:t>
      </w:r>
      <w:r>
        <w:rPr>
          <w:rFonts w:ascii="宋体" w:cs="宋体" w:eastAsia="宋体" w:hAnsi="宋体"/>
          <w:b w:val="false"/>
          <w:bCs w:val="false"/>
          <w:i w:val="false"/>
          <w:iCs w:val="false"/>
          <w:sz w:val="24"/>
          <w:szCs w:val="24"/>
        </w:rPr>
        <w:t xml:space="preserve"> 本批唯一驳回案，系权利归属授权链条存在缺环、且平台已及时删除并关键词屏蔽，避风港抗辩获采纳。</w:t>
      </w:r>
    </w:p>
    <w:p>
      <w:pPr>
        <w:pStyle w:val="ListParagraph"/>
        <w:numPr>
          <w:ilvl w:val="0"/>
          <w:numId w:val="2"/>
        </w:numPr>
        <w:spacing w:after="60" w:line="340"/>
      </w:pPr>
      <w:r>
        <w:rPr>
          <w:rFonts w:ascii="宋体" w:cs="宋体" w:eastAsia="宋体" w:hAnsi="宋体"/>
          <w:b/>
          <w:bCs/>
          <w:i w:val="false"/>
          <w:iCs w:val="false"/>
          <w:sz w:val="24"/>
          <w:szCs w:val="24"/>
        </w:rPr>
        <w:t xml:space="preserve">样本量有限（N=6），下列数据仅示裁判取向，不作占比定论或显著性推断；</w:t>
      </w:r>
      <w:r>
        <w:rPr>
          <w:rFonts w:ascii="宋体" w:cs="宋体" w:eastAsia="宋体" w:hAnsi="宋体"/>
          <w:b w:val="false"/>
          <w:bCs w:val="false"/>
          <w:i w:val="false"/>
          <w:iCs w:val="false"/>
          <w:sz w:val="24"/>
          <w:szCs w:val="24"/>
        </w:rPr>
        <w:t xml:space="preserve"> 地域与审级分组样本悬殊，本报告不作地域/审级裁判倾向的统计比较。数据来源：本报告样本（N=6）。</w:t>
      </w:r>
    </w:p>
    <w:p>
      <w:pPr>
        <w:spacing w:before="120"/>
        <w:jc w:val="center"/>
      </w:pPr>
      <w:r>
        <w:drawing>
          <wp:inline distT="0" distB="0" distL="0" distR="0">
            <wp:extent cx="5143500" cy="3543300"/>
            <wp:effectExtent t="0" r="0" b="0" l="0"/>
            <wp:docPr id="1" name="chart" descr="图 1　样本概览：法院层级、地域、年份与裁判结果分布（N=6）" title="图 1　样本概览：法院层级、地域、年份与裁判结果分布（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43300"/>
                    </a:xfrm>
                    <a:prstGeom prst="rect">
                      <a:avLst/>
                    </a:prstGeom>
                  </pic:spPr>
                </pic:pic>
              </a:graphicData>
            </a:graphic>
          </wp:inline>
        </w:drawing>
      </w:r>
    </w:p>
    <w:p>
      <w:pPr>
        <w:spacing w:after="160" w:before="40"/>
        <w:jc w:val="center"/>
      </w:pPr>
      <w:r>
        <w:rPr>
          <w:rFonts w:ascii="宋体" w:cs="宋体" w:eastAsia="宋体" w:hAnsi="宋体"/>
          <w:color w:val="595959"/>
          <w:sz w:val="18"/>
          <w:szCs w:val="18"/>
        </w:rPr>
        <w:t xml:space="preserve">图 1　样本概览：法院层级、地域、年份与裁判结果分布（N=6）</w:t>
      </w:r>
    </w:p>
    <w:p>
      <w:pPr>
        <w:pStyle w:val="Heading1"/>
        <w:pBdr>
          <w:bottom w:val="single" w:color="1F3864" w:sz="6" w:space="4"/>
        </w:pBdr>
        <w:spacing w:after="120" w:before="240"/>
      </w:pPr>
      <w:r>
        <w:rPr>
          <w:rFonts w:ascii="黑体" w:cs="黑体" w:eastAsia="黑体" w:hAnsi="黑体"/>
          <w:b/>
          <w:bCs/>
          <w:color w:val="000000"/>
          <w:sz w:val="32"/>
          <w:szCs w:val="32"/>
        </w:rPr>
        <w:t xml:space="preserve">一、研究范围与方法</w:t>
      </w:r>
    </w:p>
    <w:p>
      <w:pPr>
        <w:pStyle w:val="Heading2"/>
        <w:spacing w:after="120" w:before="240"/>
      </w:pPr>
      <w:r>
        <w:rPr>
          <w:rFonts w:ascii="黑体" w:cs="黑体" w:eastAsia="黑体" w:hAnsi="黑体"/>
          <w:b/>
          <w:bCs/>
          <w:color w:val="000000"/>
          <w:sz w:val="28"/>
          <w:szCs w:val="28"/>
        </w:rPr>
        <w:t xml:space="preserve">（一）研究对象与检索范围</w:t>
      </w:r>
    </w:p>
    <w:p>
      <w:pPr>
        <w:spacing w:after="80" w:line="360"/>
        <w:ind w:firstLine="480"/>
        <w:jc w:val="both"/>
      </w:pPr>
      <w:r>
        <w:rPr>
          <w:rFonts w:ascii="宋体" w:cs="宋体" w:eastAsia="宋体" w:hAnsi="宋体"/>
          <w:b w:val="false"/>
          <w:bCs w:val="false"/>
          <w:i w:val="false"/>
          <w:iCs w:val="false"/>
          <w:sz w:val="24"/>
          <w:szCs w:val="24"/>
        </w:rPr>
        <w:t xml:space="preserve">本研究案由为"侵害作品信息网络传播权纠纷"，基准案情为短视频平台经算法推荐机制传播用户上传的未经授权影视切条、权利人通知后平台处置不足。检索地域覆盖北京、上海、广东、浙江，文书类型限于判决书。经去重与相关度筛查，纳入分析的普通案例 6 件，另有公报、指导案例 2 件列入附录权威案例索引。</w:t>
      </w:r>
    </w:p>
    <w:p>
      <w:pPr>
        <w:pStyle w:val="Heading2"/>
        <w:spacing w:after="120" w:before="240"/>
      </w:pPr>
      <w:r>
        <w:rPr>
          <w:rFonts w:ascii="黑体" w:cs="黑体" w:eastAsia="黑体" w:hAnsi="黑体"/>
          <w:b/>
          <w:bCs/>
          <w:color w:val="000000"/>
          <w:sz w:val="28"/>
          <w:szCs w:val="28"/>
        </w:rPr>
        <w:t xml:space="preserve">（二）方法与局限</w:t>
      </w:r>
    </w:p>
    <w:p>
      <w:pPr>
        <w:spacing w:after="80" w:line="360"/>
        <w:ind w:firstLine="480"/>
        <w:jc w:val="both"/>
      </w:pPr>
      <w:r>
        <w:rPr>
          <w:rFonts w:ascii="宋体" w:cs="宋体" w:eastAsia="宋体" w:hAnsi="宋体"/>
          <w:b w:val="false"/>
          <w:bCs w:val="false"/>
          <w:i w:val="false"/>
          <w:iCs w:val="false"/>
          <w:sz w:val="24"/>
          <w:szCs w:val="24"/>
        </w:rPr>
        <w:t xml:space="preserve">本报告的实质说理基于裁判文书全文重构，量化部分仅作描述性呈现。两点局限须先予说明：其一，样本量有限（N=6），各具体争点项下判决数为个位数，故下文数据仅示裁判取向，不作占比定论或显著性推断；其二，各地域、各审级分组样本悬殊（北京 3 件、其余各 1 件；一审 5 件、二审 1 件），本报告不进行地域或审级裁判倾向的统计比较，仅在确有个案差异处一句话点出。</w:t>
      </w:r>
    </w:p>
    <w:p>
      <w:pPr>
        <w:pStyle w:val="Heading1"/>
        <w:pBdr>
          <w:bottom w:val="single" w:color="1F3864" w:sz="6" w:space="4"/>
        </w:pBdr>
        <w:spacing w:after="120" w:before="240"/>
      </w:pPr>
      <w:r>
        <w:rPr>
          <w:rFonts w:ascii="黑体" w:cs="黑体" w:eastAsia="黑体" w:hAnsi="黑体"/>
          <w:b/>
          <w:bCs/>
          <w:color w:val="000000"/>
          <w:sz w:val="32"/>
          <w:szCs w:val="32"/>
        </w:rPr>
        <w:t xml:space="preserve">二、裁判规则全景</w:t>
      </w:r>
    </w:p>
    <w:p>
      <w:pPr>
        <w:spacing w:before="120"/>
        <w:jc w:val="center"/>
      </w:pPr>
      <w:r>
        <w:drawing>
          <wp:inline distT="0" distB="0" distL="0" distR="0">
            <wp:extent cx="5143500" cy="3057525"/>
            <wp:effectExtent t="0" r="0" b="0" l="0"/>
            <wp:docPr id="1" name="chart" descr="图 2　各争议焦点在样本中的出现频次" title="图 2　各争议焦点在样本中的出现频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57525"/>
                    </a:xfrm>
                    <a:prstGeom prst="rect">
                      <a:avLst/>
                    </a:prstGeom>
                  </pic:spPr>
                </pic:pic>
              </a:graphicData>
            </a:graphic>
          </wp:inline>
        </w:drawing>
      </w:r>
    </w:p>
    <w:p>
      <w:pPr>
        <w:spacing w:after="160" w:before="40"/>
        <w:jc w:val="center"/>
      </w:pPr>
      <w:r>
        <w:rPr>
          <w:rFonts w:ascii="宋体" w:cs="宋体" w:eastAsia="宋体" w:hAnsi="宋体"/>
          <w:color w:val="595959"/>
          <w:sz w:val="18"/>
          <w:szCs w:val="18"/>
        </w:rPr>
        <w:t xml:space="preserve">图 2　各争议焦点在样本中的出现频次</w:t>
      </w:r>
    </w:p>
    <w:p>
      <w:pPr>
        <w:pStyle w:val="Heading2"/>
        <w:spacing w:after="120" w:before="240"/>
      </w:pPr>
      <w:r>
        <w:rPr>
          <w:rFonts w:ascii="黑体" w:cs="黑体" w:eastAsia="黑体" w:hAnsi="黑体"/>
          <w:b/>
          <w:bCs/>
          <w:color w:val="000000"/>
          <w:sz w:val="28"/>
          <w:szCs w:val="28"/>
        </w:rPr>
        <w:t xml:space="preserve">（一）平台是否构成信息网络传播权侵权</w:t>
      </w:r>
    </w:p>
    <w:p>
      <w:pPr>
        <w:spacing w:after="80" w:line="360"/>
        <w:ind w:firstLine="480"/>
        <w:jc w:val="both"/>
      </w:pPr>
      <w:r>
        <w:rPr>
          <w:rFonts w:ascii="宋体" w:cs="宋体" w:eastAsia="宋体" w:hAnsi="宋体"/>
          <w:b/>
          <w:bCs/>
          <w:i w:val="false"/>
          <w:iCs w:val="false"/>
          <w:sz w:val="24"/>
          <w:szCs w:val="24"/>
        </w:rPr>
        <w:t xml:space="preserve">① 争点界定。</w:t>
      </w:r>
      <w:r>
        <w:rPr>
          <w:rFonts w:ascii="宋体" w:cs="宋体" w:eastAsia="宋体" w:hAnsi="宋体"/>
          <w:b w:val="false"/>
          <w:bCs w:val="false"/>
          <w:i w:val="false"/>
          <w:iCs w:val="false"/>
          <w:sz w:val="24"/>
          <w:szCs w:val="24"/>
        </w:rPr>
        <w:t xml:space="preserve"> 短视频平台对用户上传的侵权切条，究竟仅是被动的网络服务提供者、还是因算法推荐的介入而对内容传播负有更高义务，是本类案件的逻辑起点，直接决定帮助侵权乃至直接侵权的成立。</w:t>
      </w:r>
    </w:p>
    <w:p>
      <w:pPr>
        <w:spacing w:after="80" w:line="360"/>
        <w:ind w:firstLine="480"/>
        <w:jc w:val="both"/>
      </w:pPr>
      <w:r>
        <w:rPr>
          <w:rFonts w:ascii="宋体" w:cs="宋体" w:eastAsia="宋体" w:hAnsi="宋体"/>
          <w:b/>
          <w:bCs/>
          <w:i w:val="false"/>
          <w:iCs w:val="false"/>
          <w:sz w:val="24"/>
          <w:szCs w:val="24"/>
        </w:rPr>
        <w:t xml:space="preserve">② 主流规则与代表案例。</w:t>
      </w:r>
      <w:r>
        <w:rPr>
          <w:rFonts w:ascii="宋体" w:cs="宋体" w:eastAsia="宋体" w:hAnsi="宋体"/>
          <w:b w:val="false"/>
          <w:bCs w:val="false"/>
          <w:i w:val="false"/>
          <w:iCs w:val="false"/>
          <w:sz w:val="24"/>
          <w:szCs w:val="24"/>
        </w:rPr>
        <w:t xml:space="preserve"> 本批样本主流立场是：平台经算法推荐对侵权内容的传播具有控制力与获益，应负较高注意义务，未尽义务者构成帮助侵权。在甲影视公司诉乙科技公司案（</w:t>
      </w:r>
      <w:r>
        <w:rPr>
          <w:rFonts w:ascii="宋体" w:cs="宋体" w:eastAsia="宋体" w:hAnsi="宋体"/>
          <w:b w:val="false"/>
          <w:bCs w:val="false"/>
          <w:i w:val="false"/>
          <w:iCs w:val="false"/>
          <w:sz w:val="24"/>
          <w:szCs w:val="24"/>
        </w:rPr>
        <w:t xml:space="preserve">（2021）示01民初0001号·北京互联网法院</w:t>
      </w:r>
      <w:r>
        <w:rPr>
          <w:rStyle w:val="FootnoteReference"/>
        </w:rPr>
        <w:footnoteReference w:id="1"/>
      </w:r>
      <w:r>
        <w:rPr>
          <w:rFonts w:ascii="宋体" w:cs="宋体" w:eastAsia="宋体" w:hAnsi="宋体"/>
          <w:b w:val="false"/>
          <w:bCs w:val="false"/>
          <w:i w:val="false"/>
          <w:iCs w:val="false"/>
          <w:sz w:val="24"/>
          <w:szCs w:val="24"/>
        </w:rPr>
        <w:t xml:space="preserve">）中，法院指出算法推荐使平台对热门影视切条的传播范围具有控制力与获益，技术中立不能当然免责，仅删除通知链接而未阻断同源内容，构成帮助侵权。丙传媒公司诉乙科技公司案（</w:t>
      </w:r>
      <w:r>
        <w:rPr>
          <w:rFonts w:ascii="宋体" w:cs="宋体" w:eastAsia="宋体" w:hAnsi="宋体"/>
          <w:b w:val="false"/>
          <w:bCs w:val="false"/>
          <w:i w:val="false"/>
          <w:iCs w:val="false"/>
          <w:sz w:val="24"/>
          <w:szCs w:val="24"/>
        </w:rPr>
        <w:t xml:space="preserve">（2022）示01民初0042号·北京互联网法院</w:t>
      </w:r>
      <w:r>
        <w:rPr>
          <w:rStyle w:val="FootnoteReference"/>
        </w:rPr>
        <w:footnoteReference w:id="2"/>
      </w:r>
      <w:r>
        <w:rPr>
          <w:rFonts w:ascii="宋体" w:cs="宋体" w:eastAsia="宋体" w:hAnsi="宋体"/>
          <w:b w:val="false"/>
          <w:bCs w:val="false"/>
          <w:i w:val="false"/>
          <w:iCs w:val="false"/>
          <w:sz w:val="24"/>
          <w:szCs w:val="24"/>
        </w:rPr>
        <w:t xml:space="preserve">）更进一步：平台对侵权内容算法加权并主动编排专题聚合页，已超出网络服务提供者范畴，对侵权内容"应知"，主观过错明显，全额支持权利人主张。</w:t>
      </w:r>
    </w:p>
    <w:p>
      <w:pPr>
        <w:spacing w:after="80" w:line="360"/>
        <w:ind w:firstLine="480"/>
        <w:jc w:val="both"/>
      </w:pPr>
      <w:r>
        <w:rPr>
          <w:rFonts w:ascii="宋体" w:cs="宋体" w:eastAsia="宋体" w:hAnsi="宋体"/>
          <w:b/>
          <w:bCs/>
          <w:i w:val="false"/>
          <w:iCs w:val="false"/>
          <w:sz w:val="24"/>
          <w:szCs w:val="24"/>
        </w:rPr>
        <w:t xml:space="preserve">③ 例外与反向。</w:t>
      </w:r>
      <w:r>
        <w:rPr>
          <w:rFonts w:ascii="宋体" w:cs="宋体" w:eastAsia="宋体" w:hAnsi="宋体"/>
          <w:b w:val="false"/>
          <w:bCs w:val="false"/>
          <w:i w:val="false"/>
          <w:iCs w:val="false"/>
          <w:sz w:val="24"/>
          <w:szCs w:val="24"/>
        </w:rPr>
        <w:t xml:space="preserve"> 在己文化公司诉庚信息公司案（</w:t>
      </w:r>
      <w:r>
        <w:rPr>
          <w:rFonts w:ascii="宋体" w:cs="宋体" w:eastAsia="宋体" w:hAnsi="宋体"/>
          <w:b w:val="false"/>
          <w:bCs w:val="false"/>
          <w:i w:val="false"/>
          <w:iCs w:val="false"/>
          <w:sz w:val="24"/>
          <w:szCs w:val="24"/>
        </w:rPr>
        <w:t xml:space="preserve">（2023）示73民初0256号·广州互联网法院</w:t>
      </w:r>
      <w:r>
        <w:rPr>
          <w:rStyle w:val="FootnoteReference"/>
        </w:rPr>
        <w:footnoteReference w:id="3"/>
      </w:r>
      <w:r>
        <w:rPr>
          <w:rFonts w:ascii="宋体" w:cs="宋体" w:eastAsia="宋体" w:hAnsi="宋体"/>
          <w:b w:val="false"/>
          <w:bCs w:val="false"/>
          <w:i w:val="false"/>
          <w:iCs w:val="false"/>
          <w:sz w:val="24"/>
          <w:szCs w:val="24"/>
        </w:rPr>
        <w:t xml:space="preserve">）中，因权利人提交的授权链条存在缺环、不足以证明其享有排他性信息网络传播权，且平台收到通知后及时删除并关键词屏蔽，法院认定平台无过错，驳回诉请——这说明侵权认定仍以权属证明充分、平台确有过错为前提。</w:t>
      </w:r>
    </w:p>
    <w:p>
      <w:pPr>
        <w:spacing w:after="80" w:line="360"/>
        <w:ind w:firstLine="480"/>
        <w:jc w:val="both"/>
      </w:pPr>
      <w:r>
        <w:rPr>
          <w:rFonts w:ascii="宋体" w:cs="宋体" w:eastAsia="宋体" w:hAnsi="宋体"/>
          <w:b/>
          <w:bCs/>
          <w:i w:val="false"/>
          <w:iCs w:val="false"/>
          <w:sz w:val="24"/>
          <w:szCs w:val="24"/>
        </w:rPr>
        <w:t xml:space="preserve">④ 小结。</w:t>
      </w:r>
      <w:r>
        <w:rPr>
          <w:rFonts w:ascii="宋体" w:cs="宋体" w:eastAsia="宋体" w:hAnsi="宋体"/>
          <w:b w:val="false"/>
          <w:bCs w:val="false"/>
          <w:i w:val="false"/>
          <w:iCs w:val="false"/>
          <w:sz w:val="24"/>
          <w:szCs w:val="24"/>
        </w:rPr>
        <w:t xml:space="preserve"> 平台地位的认定已从"是否提供存储空间"转向"是否对传播具有组织、控制与获益"；算法推荐的介入是抬高注意义务的关键变量。</w:t>
      </w:r>
    </w:p>
    <w:p>
      <w:pPr>
        <w:pStyle w:val="Heading2"/>
        <w:spacing w:after="120" w:before="240"/>
      </w:pPr>
      <w:r>
        <w:rPr>
          <w:rFonts w:ascii="黑体" w:cs="黑体" w:eastAsia="黑体" w:hAnsi="黑体"/>
          <w:b/>
          <w:bCs/>
          <w:color w:val="000000"/>
          <w:sz w:val="28"/>
          <w:szCs w:val="28"/>
        </w:rPr>
        <w:t xml:space="preserve">（二）算法推荐对"技术中立/避风港"抗辩的影响</w:t>
      </w:r>
    </w:p>
    <w:p>
      <w:pPr>
        <w:spacing w:after="80" w:line="360"/>
        <w:ind w:firstLine="480"/>
        <w:jc w:val="both"/>
      </w:pPr>
      <w:r>
        <w:rPr>
          <w:rFonts w:ascii="宋体" w:cs="宋体" w:eastAsia="宋体" w:hAnsi="宋体"/>
          <w:b/>
          <w:bCs/>
          <w:i w:val="false"/>
          <w:iCs w:val="false"/>
          <w:sz w:val="24"/>
          <w:szCs w:val="24"/>
        </w:rPr>
        <w:t xml:space="preserve">① 争点界定。</w:t>
      </w:r>
      <w:r>
        <w:rPr>
          <w:rFonts w:ascii="宋体" w:cs="宋体" w:eastAsia="宋体" w:hAnsi="宋体"/>
          <w:b w:val="false"/>
          <w:bCs w:val="false"/>
          <w:i w:val="false"/>
          <w:iCs w:val="false"/>
          <w:sz w:val="24"/>
          <w:szCs w:val="24"/>
        </w:rPr>
        <w:t xml:space="preserve"> 平台普遍以"算法推荐为中立技术、不针对特定内容"以及"信息存储空间+避风港"为抗辩。争点在于：算法推荐这一事实，是否削弱乃至排除上述抗辩的成立。</w:t>
      </w:r>
    </w:p>
    <w:p>
      <w:pPr>
        <w:spacing w:after="80" w:line="360"/>
        <w:ind w:firstLine="480"/>
        <w:jc w:val="both"/>
      </w:pPr>
      <w:r>
        <w:rPr>
          <w:rFonts w:ascii="宋体" w:cs="宋体" w:eastAsia="宋体" w:hAnsi="宋体"/>
          <w:b/>
          <w:bCs/>
          <w:i w:val="false"/>
          <w:iCs w:val="false"/>
          <w:sz w:val="24"/>
          <w:szCs w:val="24"/>
        </w:rPr>
        <w:t xml:space="preserve">② 主流规则与代表案例。</w:t>
      </w:r>
      <w:r>
        <w:rPr>
          <w:rFonts w:ascii="宋体" w:cs="宋体" w:eastAsia="宋体" w:hAnsi="宋体"/>
          <w:b w:val="false"/>
          <w:bCs w:val="false"/>
          <w:i w:val="false"/>
          <w:iCs w:val="false"/>
          <w:sz w:val="24"/>
          <w:szCs w:val="24"/>
        </w:rPr>
        <w:t xml:space="preserve"> 本批样本中"技术中立"抗辩提出 5 次、无一采纳。法院的一致逻辑是：算法推荐并非价值无涉的通道，平台通过推荐对内容传播进行了选择与放大并从中获益，故不能以中立技术免责。在癸影业公司诉乙科技公司案二审（</w:t>
      </w:r>
      <w:r>
        <w:rPr>
          <w:rFonts w:ascii="宋体" w:cs="宋体" w:eastAsia="宋体" w:hAnsi="宋体"/>
          <w:b w:val="false"/>
          <w:bCs w:val="false"/>
          <w:i w:val="false"/>
          <w:iCs w:val="false"/>
          <w:sz w:val="24"/>
          <w:szCs w:val="24"/>
        </w:rPr>
        <w:t xml:space="preserve">（2024）示01民终0009号·北京知识产权法院</w:t>
      </w:r>
      <w:r>
        <w:rPr>
          <w:rStyle w:val="FootnoteReference"/>
        </w:rPr>
        <w:footnoteReference w:id="4"/>
      </w:r>
      <w:r>
        <w:rPr>
          <w:rFonts w:ascii="宋体" w:cs="宋体" w:eastAsia="宋体" w:hAnsi="宋体"/>
          <w:b w:val="false"/>
          <w:bCs w:val="false"/>
          <w:i w:val="false"/>
          <w:iCs w:val="false"/>
          <w:sz w:val="24"/>
          <w:szCs w:val="24"/>
        </w:rPr>
        <w:t xml:space="preserve">）中，二审明确：平台通过算法推荐对侵权内容的传播具有组织、控制与获益，注意义务高于单纯存储服务，技术中立抗辩不成立，并据平台获益规模上调了赔偿数额。辛影视公司诉壬科技公司案（</w:t>
      </w:r>
      <w:r>
        <w:rPr>
          <w:rFonts w:ascii="宋体" w:cs="宋体" w:eastAsia="宋体" w:hAnsi="宋体"/>
          <w:b w:val="false"/>
          <w:bCs w:val="false"/>
          <w:i w:val="false"/>
          <w:iCs w:val="false"/>
          <w:sz w:val="24"/>
          <w:szCs w:val="24"/>
        </w:rPr>
        <w:t xml:space="preserve">（2023）示88民初0061号·杭州互联网法院</w:t>
      </w:r>
      <w:r>
        <w:rPr>
          <w:rStyle w:val="FootnoteReference"/>
        </w:rPr>
        <w:footnoteReference w:id="5"/>
      </w:r>
      <w:r>
        <w:rPr>
          <w:rFonts w:ascii="宋体" w:cs="宋体" w:eastAsia="宋体" w:hAnsi="宋体"/>
          <w:b w:val="false"/>
          <w:bCs w:val="false"/>
          <w:i w:val="false"/>
          <w:iCs w:val="false"/>
          <w:sz w:val="24"/>
          <w:szCs w:val="24"/>
        </w:rPr>
        <w:t xml:space="preserve">）则指出，搜索联想主动提供侵权相关词，进一步削弱了平台的中立性。</w:t>
      </w:r>
    </w:p>
    <w:p>
      <w:pPr>
        <w:spacing w:after="80" w:line="360"/>
        <w:ind w:firstLine="480"/>
        <w:jc w:val="both"/>
      </w:pPr>
      <w:r>
        <w:rPr>
          <w:rFonts w:ascii="宋体" w:cs="宋体" w:eastAsia="宋体" w:hAnsi="宋体"/>
          <w:b/>
          <w:bCs/>
          <w:i w:val="false"/>
          <w:iCs w:val="false"/>
          <w:sz w:val="24"/>
          <w:szCs w:val="24"/>
        </w:rPr>
        <w:t xml:space="preserve">③ 例外与反向。</w:t>
      </w:r>
      <w:r>
        <w:rPr>
          <w:rFonts w:ascii="宋体" w:cs="宋体" w:eastAsia="宋体" w:hAnsi="宋体"/>
          <w:b w:val="false"/>
          <w:bCs w:val="false"/>
          <w:i w:val="false"/>
          <w:iCs w:val="false"/>
          <w:sz w:val="24"/>
          <w:szCs w:val="24"/>
        </w:rPr>
        <w:t xml:space="preserve"> 避风港抗辩并非全无空间。在前述己文化公司案中，平台因已及时删除并屏蔽、且权利人权属存疑，避风港抗辩获得采纳——可见抗辩成立的前提是平台确已尽到必要措施、且不存在"应知"情形。</w:t>
      </w:r>
    </w:p>
    <w:p>
      <w:pPr>
        <w:spacing w:after="80" w:line="360"/>
        <w:ind w:firstLine="480"/>
        <w:jc w:val="both"/>
      </w:pPr>
      <w:r>
        <w:rPr>
          <w:rFonts w:ascii="宋体" w:cs="宋体" w:eastAsia="宋体" w:hAnsi="宋体"/>
          <w:b/>
          <w:bCs/>
          <w:i w:val="false"/>
          <w:iCs w:val="false"/>
          <w:sz w:val="24"/>
          <w:szCs w:val="24"/>
        </w:rPr>
        <w:t xml:space="preserve">④ 小结。</w:t>
      </w:r>
      <w:r>
        <w:rPr>
          <w:rFonts w:ascii="宋体" w:cs="宋体" w:eastAsia="宋体" w:hAnsi="宋体"/>
          <w:b w:val="false"/>
          <w:bCs w:val="false"/>
          <w:i w:val="false"/>
          <w:iCs w:val="false"/>
          <w:sz w:val="24"/>
          <w:szCs w:val="24"/>
        </w:rPr>
        <w:t xml:space="preserve"> "技术中立"在算法推荐场景下几近失灵；避风港规则则退守为"以已尽必要措施为前提"的有限免责。</w:t>
      </w:r>
    </w:p>
    <w:p>
      <w:pPr>
        <w:pStyle w:val="Heading2"/>
        <w:spacing w:after="120" w:before="240"/>
      </w:pPr>
      <w:r>
        <w:rPr>
          <w:rFonts w:ascii="黑体" w:cs="黑体" w:eastAsia="黑体" w:hAnsi="黑体"/>
          <w:b/>
          <w:bCs/>
          <w:color w:val="000000"/>
          <w:sz w:val="28"/>
          <w:szCs w:val="28"/>
        </w:rPr>
        <w:t xml:space="preserve">（三）"通知—必要措施"义务是否履行到位</w:t>
      </w:r>
    </w:p>
    <w:p>
      <w:pPr>
        <w:spacing w:after="80" w:line="360"/>
        <w:ind w:firstLine="480"/>
        <w:jc w:val="both"/>
      </w:pPr>
      <w:r>
        <w:rPr>
          <w:rFonts w:ascii="宋体" w:cs="宋体" w:eastAsia="宋体" w:hAnsi="宋体"/>
          <w:b/>
          <w:bCs/>
          <w:i w:val="false"/>
          <w:iCs w:val="false"/>
          <w:sz w:val="24"/>
          <w:szCs w:val="24"/>
        </w:rPr>
        <w:t xml:space="preserve">① 争点界定。</w:t>
      </w:r>
      <w:r>
        <w:rPr>
          <w:rFonts w:ascii="宋体" w:cs="宋体" w:eastAsia="宋体" w:hAnsi="宋体"/>
          <w:b w:val="false"/>
          <w:bCs w:val="false"/>
          <w:i w:val="false"/>
          <w:iCs w:val="false"/>
          <w:sz w:val="24"/>
          <w:szCs w:val="24"/>
        </w:rPr>
        <w:t xml:space="preserve"> 《民法典》第一千一百九十五条、第一千一百九十七条确立"通知—必要措施"规则。核心争点是：平台仅删除通知所列链接，是否即等于"已采取必要措施"。</w:t>
      </w:r>
    </w:p>
    <w:p>
      <w:pPr>
        <w:spacing w:after="80" w:line="360"/>
        <w:ind w:firstLine="480"/>
        <w:jc w:val="both"/>
      </w:pPr>
      <w:r>
        <w:rPr>
          <w:rFonts w:ascii="宋体" w:cs="宋体" w:eastAsia="宋体" w:hAnsi="宋体"/>
          <w:b/>
          <w:bCs/>
          <w:i w:val="false"/>
          <w:iCs w:val="false"/>
          <w:sz w:val="24"/>
          <w:szCs w:val="24"/>
        </w:rPr>
        <w:t xml:space="preserve">② 主流规则与代表案例。</w:t>
      </w:r>
      <w:r>
        <w:rPr>
          <w:rFonts w:ascii="宋体" w:cs="宋体" w:eastAsia="宋体" w:hAnsi="宋体"/>
          <w:b w:val="false"/>
          <w:bCs w:val="false"/>
          <w:i w:val="false"/>
          <w:iCs w:val="false"/>
          <w:sz w:val="24"/>
          <w:szCs w:val="24"/>
        </w:rPr>
        <w:t xml:space="preserve"> 主流立场是：对权利人已具体指明、平台有能力识别的同源侵权切条，仅删通知链接而不作过滤，不构成"必要措施"。丁影业公司诉戊网络公司案（</w:t>
      </w:r>
      <w:r>
        <w:rPr>
          <w:rFonts w:ascii="宋体" w:cs="宋体" w:eastAsia="宋体" w:hAnsi="宋体"/>
          <w:b w:val="false"/>
          <w:bCs w:val="false"/>
          <w:i w:val="false"/>
          <w:iCs w:val="false"/>
          <w:sz w:val="24"/>
          <w:szCs w:val="24"/>
        </w:rPr>
        <w:t xml:space="preserve">（2022）示71民初0108号·上海市浦东新区人民法院</w:t>
      </w:r>
      <w:r>
        <w:rPr>
          <w:rStyle w:val="FootnoteReference"/>
        </w:rPr>
        <w:footnoteReference w:id="6"/>
      </w:r>
      <w:r>
        <w:rPr>
          <w:rFonts w:ascii="宋体" w:cs="宋体" w:eastAsia="宋体" w:hAnsi="宋体"/>
          <w:b w:val="false"/>
          <w:bCs w:val="false"/>
          <w:i w:val="false"/>
          <w:iCs w:val="false"/>
          <w:sz w:val="24"/>
          <w:szCs w:val="24"/>
        </w:rPr>
        <w:t xml:space="preserve">）清晰地区分了两个层次：通知范围内已及时删除，就该范围已尽义务；但对同一影片可识别的其他切条仍应合理过滤，就通知范围外的持续侵权承担部分责任。</w:t>
      </w:r>
    </w:p>
    <w:p>
      <w:pPr>
        <w:spacing w:after="80" w:line="360"/>
        <w:ind w:firstLine="480"/>
        <w:jc w:val="both"/>
      </w:pPr>
      <w:r>
        <w:rPr>
          <w:rFonts w:ascii="宋体" w:cs="宋体" w:eastAsia="宋体" w:hAnsi="宋体"/>
          <w:b/>
          <w:bCs/>
          <w:i w:val="false"/>
          <w:iCs w:val="false"/>
          <w:sz w:val="24"/>
          <w:szCs w:val="24"/>
        </w:rPr>
        <w:t xml:space="preserve">③ 例外与反向。</w:t>
      </w:r>
      <w:r>
        <w:rPr>
          <w:rFonts w:ascii="宋体" w:cs="宋体" w:eastAsia="宋体" w:hAnsi="宋体"/>
          <w:b w:val="false"/>
          <w:bCs w:val="false"/>
          <w:i w:val="false"/>
          <w:iCs w:val="false"/>
          <w:sz w:val="24"/>
          <w:szCs w:val="24"/>
        </w:rPr>
        <w:t xml:space="preserve"> 当平台已采取删除+关键词屏蔽等组合措施、客观上有效遏制侵权时，可认定已尽必要措施（如前述己文化公司案）。措施是否"必要"，以其与平台能力、侵权规模的匹配度为衡量。</w:t>
      </w:r>
    </w:p>
    <w:p>
      <w:pPr>
        <w:spacing w:after="80" w:line="360"/>
        <w:ind w:firstLine="480"/>
        <w:jc w:val="both"/>
      </w:pPr>
      <w:r>
        <w:rPr>
          <w:rFonts w:ascii="宋体" w:cs="宋体" w:eastAsia="宋体" w:hAnsi="宋体"/>
          <w:b/>
          <w:bCs/>
          <w:i w:val="false"/>
          <w:iCs w:val="false"/>
          <w:sz w:val="24"/>
          <w:szCs w:val="24"/>
        </w:rPr>
        <w:t xml:space="preserve">④ 小结。</w:t>
      </w:r>
      <w:r>
        <w:rPr>
          <w:rFonts w:ascii="宋体" w:cs="宋体" w:eastAsia="宋体" w:hAnsi="宋体"/>
          <w:b w:val="false"/>
          <w:bCs w:val="false"/>
          <w:i w:val="false"/>
          <w:iCs w:val="false"/>
          <w:sz w:val="24"/>
          <w:szCs w:val="24"/>
        </w:rPr>
        <w:t xml:space="preserve"> "通知—删除"正升级为"通知—必要措施"；过滤、屏蔽等主动措施的有无与有效性，成为责任成立与赔偿数额的关键。</w:t>
      </w:r>
    </w:p>
    <w:p>
      <w:pPr>
        <w:pStyle w:val="Heading1"/>
        <w:pBdr>
          <w:bottom w:val="single" w:color="1F3864" w:sz="6" w:space="4"/>
        </w:pBdr>
        <w:spacing w:after="120" w:before="240"/>
      </w:pPr>
      <w:r>
        <w:rPr>
          <w:rFonts w:ascii="黑体" w:cs="黑体" w:eastAsia="黑体" w:hAnsi="黑体"/>
          <w:b/>
          <w:bCs/>
          <w:color w:val="000000"/>
          <w:sz w:val="32"/>
          <w:szCs w:val="32"/>
        </w:rPr>
        <w:t xml:space="preserve">三、综合分析</w:t>
      </w:r>
    </w:p>
    <w:p>
      <w:pPr>
        <w:pStyle w:val="Heading2"/>
        <w:spacing w:after="120" w:before="240"/>
      </w:pPr>
      <w:r>
        <w:rPr>
          <w:rFonts w:ascii="黑体" w:cs="黑体" w:eastAsia="黑体" w:hAnsi="黑体"/>
          <w:b/>
          <w:bCs/>
          <w:color w:val="000000"/>
          <w:sz w:val="28"/>
          <w:szCs w:val="28"/>
        </w:rPr>
        <w:t xml:space="preserve">（一）裁判规则地图</w:t>
      </w:r>
    </w:p>
    <w:p>
      <w:pPr>
        <w:spacing w:after="80" w:line="360"/>
        <w:ind w:firstLine="480"/>
        <w:jc w:val="both"/>
      </w:pPr>
      <w:r>
        <w:rPr>
          <w:rFonts w:ascii="宋体" w:cs="宋体" w:eastAsia="宋体" w:hAnsi="宋体"/>
          <w:b w:val="false"/>
          <w:bCs w:val="false"/>
          <w:i w:val="false"/>
          <w:iCs w:val="false"/>
          <w:sz w:val="24"/>
          <w:szCs w:val="24"/>
        </w:rPr>
        <w:t xml:space="preserve">下表汇总三条争点主线的主流裁判规则与例外情形（数据来源：本报告样本，N=6）。</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5"/>
        <w:gridCol w:w="2270"/>
        <w:gridCol w:w="2270"/>
        <w:gridCol w:w="2271"/>
      </w:tblGrid>
      <w:tr>
        <w:trPr>
          <w:tblHeader/>
        </w:trPr>
        <w:tc>
          <w:tcPr>
            <w:tcW w:type="dxa" w:w="1495"/>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center"/>
            </w:pPr>
            <w:r>
              <w:rPr>
                <w:rFonts w:ascii="宋体" w:cs="宋体" w:eastAsia="宋体" w:hAnsi="宋体"/>
                <w:b/>
                <w:bCs/>
                <w:color w:val="FFFFFF"/>
                <w:sz w:val="18"/>
                <w:szCs w:val="18"/>
              </w:rPr>
              <w:t xml:space="preserve">争议焦点</w:t>
            </w:r>
          </w:p>
        </w:tc>
        <w:tc>
          <w:tcPr>
            <w:tcW w:type="dxa" w:w="2270"/>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宋体" w:cs="宋体" w:eastAsia="宋体" w:hAnsi="宋体"/>
                <w:b/>
                <w:bCs/>
                <w:color w:val="FFFFFF"/>
                <w:sz w:val="18"/>
                <w:szCs w:val="18"/>
              </w:rPr>
              <w:t xml:space="preserve">主流裁判规则</w:t>
            </w:r>
          </w:p>
        </w:tc>
        <w:tc>
          <w:tcPr>
            <w:tcW w:type="dxa" w:w="2270"/>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宋体" w:cs="宋体" w:eastAsia="宋体" w:hAnsi="宋体"/>
                <w:b/>
                <w:bCs/>
                <w:color w:val="FFFFFF"/>
                <w:sz w:val="18"/>
                <w:szCs w:val="18"/>
              </w:rPr>
              <w:t xml:space="preserve">例外/反向情形</w:t>
            </w:r>
          </w:p>
        </w:tc>
        <w:tc>
          <w:tcPr>
            <w:tcW w:type="dxa" w:w="2271"/>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宋体" w:cs="宋体" w:eastAsia="宋体" w:hAnsi="宋体"/>
                <w:b/>
                <w:bCs/>
                <w:color w:val="FFFFFF"/>
                <w:sz w:val="18"/>
                <w:szCs w:val="18"/>
              </w:rPr>
              <w:t xml:space="preserve">代表案例</w:t>
            </w:r>
          </w:p>
        </w:tc>
      </w:tr>
      <w:tr>
        <w:tc>
          <w:tcPr>
            <w:tcW w:type="dxa" w:w="1495"/>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center"/>
            </w:pPr>
            <w:r>
              <w:rPr>
                <w:rFonts w:ascii="宋体" w:cs="宋体" w:eastAsia="宋体" w:hAnsi="宋体"/>
                <w:b w:val="false"/>
                <w:bCs w:val="false"/>
                <w:color w:val="222222"/>
                <w:sz w:val="17"/>
                <w:szCs w:val="17"/>
              </w:rPr>
              <w:t xml:space="preserve">平台侵权认定</w:t>
            </w:r>
          </w:p>
        </w:tc>
        <w:tc>
          <w:tcPr>
            <w:tcW w:type="dxa" w:w="227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算法推荐下平台对传播有控制与获益，未尽义务即构成帮助侵权</w:t>
            </w:r>
          </w:p>
        </w:tc>
        <w:tc>
          <w:tcPr>
            <w:tcW w:type="dxa" w:w="227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权属证明不足或平台无过错时不成立</w:t>
            </w:r>
          </w:p>
        </w:tc>
        <w:tc>
          <w:tcPr>
            <w:tcW w:type="dxa" w:w="227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（2021）示01民初0001号；（2022）示01民初0042号</w:t>
            </w:r>
          </w:p>
        </w:tc>
      </w:tr>
      <w:tr>
        <w:tc>
          <w:tcPr>
            <w:tcW w:type="dxa" w:w="1495"/>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center"/>
            </w:pPr>
            <w:r>
              <w:rPr>
                <w:rFonts w:ascii="宋体" w:cs="宋体" w:eastAsia="宋体" w:hAnsi="宋体"/>
                <w:b w:val="false"/>
                <w:bCs w:val="false"/>
                <w:color w:val="222222"/>
                <w:sz w:val="17"/>
                <w:szCs w:val="17"/>
              </w:rPr>
              <w:t xml:space="preserve">技术中立/避风港</w:t>
            </w:r>
          </w:p>
        </w:tc>
        <w:tc>
          <w:tcPr>
            <w:tcW w:type="dxa" w:w="2270"/>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"技术中立"抗辩基本不被采纳；避风港以"已尽必要措施"为前提</w:t>
            </w:r>
          </w:p>
        </w:tc>
        <w:tc>
          <w:tcPr>
            <w:tcW w:type="dxa" w:w="2270"/>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已及时删除+屏蔽且权属存疑时避风港成立</w:t>
            </w:r>
          </w:p>
        </w:tc>
        <w:tc>
          <w:tcPr>
            <w:tcW w:type="dxa" w:w="2271"/>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（2024）示01民终0009号；（2023）示73民初0256号</w:t>
            </w:r>
          </w:p>
        </w:tc>
      </w:tr>
      <w:tr>
        <w:tc>
          <w:tcPr>
            <w:tcW w:type="dxa" w:w="1495"/>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center"/>
            </w:pPr>
            <w:r>
              <w:rPr>
                <w:rFonts w:ascii="宋体" w:cs="宋体" w:eastAsia="宋体" w:hAnsi="宋体"/>
                <w:b w:val="false"/>
                <w:bCs w:val="false"/>
                <w:color w:val="222222"/>
                <w:sz w:val="17"/>
                <w:szCs w:val="17"/>
              </w:rPr>
              <w:t xml:space="preserve">通知—必要措施</w:t>
            </w:r>
          </w:p>
        </w:tc>
        <w:tc>
          <w:tcPr>
            <w:tcW w:type="dxa" w:w="227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仅删通知链接不足以构成必要措施，须对同源内容过滤</w:t>
            </w:r>
          </w:p>
        </w:tc>
        <w:tc>
          <w:tcPr>
            <w:tcW w:type="dxa" w:w="227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删除+关键词屏蔽等有效组合可认定已尽</w:t>
            </w:r>
          </w:p>
        </w:tc>
        <w:tc>
          <w:tcPr>
            <w:tcW w:type="dxa" w:w="2271"/>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（2022）示71民初0108号；（2023）示88民初0061号</w:t>
            </w:r>
          </w:p>
        </w:tc>
      </w:tr>
    </w:tbl>
    <w:p>
      <w:pPr>
        <w:pStyle w:val="Heading2"/>
        <w:spacing w:after="120" w:before="240"/>
      </w:pPr>
      <w:r>
        <w:rPr>
          <w:rFonts w:ascii="黑体" w:cs="黑体" w:eastAsia="黑体" w:hAnsi="黑体"/>
          <w:b/>
          <w:bCs/>
          <w:color w:val="000000"/>
          <w:sz w:val="28"/>
          <w:szCs w:val="28"/>
        </w:rPr>
        <w:t xml:space="preserve">（二）抗辩有效性与赔偿区间</w:t>
      </w:r>
    </w:p>
    <w:p>
      <w:pPr>
        <w:spacing w:after="80" w:line="360"/>
        <w:ind w:firstLine="480"/>
        <w:jc w:val="both"/>
      </w:pPr>
      <w:r>
        <w:rPr>
          <w:rFonts w:ascii="宋体" w:cs="宋体" w:eastAsia="宋体" w:hAnsi="宋体"/>
          <w:b w:val="false"/>
          <w:bCs w:val="false"/>
          <w:i w:val="false"/>
          <w:iCs w:val="false"/>
          <w:sz w:val="24"/>
          <w:szCs w:val="24"/>
        </w:rPr>
        <w:t xml:space="preserve">本批样本中，"技术中立"抗辩提出 5 次、采纳 0 次；"避风港"与"已尽通知删除义务"抗辩各提出 3 次、各采纳 1 次。判赔金额方面，5 件有明确金额的案件区间为 12 万至 80 万元，中位数 28 万元——金额与平台获益规模、过错程度、侵权范围正相关。上述均为描述性呈现，样本有限，不作占比定论。</w:t>
      </w:r>
    </w:p>
    <w:p>
      <w:pPr>
        <w:spacing w:before="120"/>
        <w:jc w:val="center"/>
      </w:pPr>
      <w:r>
        <w:drawing>
          <wp:inline distT="0" distB="0" distL="0" distR="0">
            <wp:extent cx="4953000" cy="2476500"/>
            <wp:effectExtent t="0" r="0" b="0" l="0"/>
            <wp:docPr id="1" name="chart" descr="图 3　裁判结果年度演进（N=6）" title="图 3　裁判结果年度演进（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160" w:before="40"/>
        <w:jc w:val="center"/>
      </w:pPr>
      <w:r>
        <w:rPr>
          <w:rFonts w:ascii="宋体" w:cs="宋体" w:eastAsia="宋体" w:hAnsi="宋体"/>
          <w:color w:val="595959"/>
          <w:sz w:val="18"/>
          <w:szCs w:val="18"/>
        </w:rPr>
        <w:t xml:space="preserve">图 3　裁判结果年度演进（N=6）</w:t>
      </w:r>
    </w:p>
    <w:p>
      <w:pPr>
        <w:pStyle w:val="Heading2"/>
        <w:spacing w:after="120" w:before="240"/>
      </w:pPr>
      <w:r>
        <w:rPr>
          <w:rFonts w:ascii="黑体" w:cs="黑体" w:eastAsia="黑体" w:hAnsi="黑体"/>
          <w:b/>
          <w:bCs/>
          <w:color w:val="000000"/>
          <w:sz w:val="28"/>
          <w:szCs w:val="28"/>
        </w:rPr>
        <w:t xml:space="preserve">（三）当事人策略提示</w:t>
      </w:r>
    </w:p>
    <w:p>
      <w:pPr>
        <w:pStyle w:val="ListParagraph"/>
        <w:numPr>
          <w:ilvl w:val="0"/>
          <w:numId w:val="2"/>
        </w:numPr>
        <w:spacing w:after="60" w:line="340"/>
      </w:pPr>
      <w:r>
        <w:rPr>
          <w:rFonts w:ascii="宋体" w:cs="宋体" w:eastAsia="宋体" w:hAnsi="宋体"/>
          <w:b/>
          <w:bCs/>
          <w:i w:val="false"/>
          <w:iCs w:val="false"/>
          <w:color w:val="1F3864"/>
          <w:sz w:val="24"/>
          <w:szCs w:val="24"/>
        </w:rPr>
        <w:t xml:space="preserve">对权利人：</w:t>
      </w:r>
      <w:r>
        <w:rPr>
          <w:rFonts w:ascii="宋体" w:cs="宋体" w:eastAsia="宋体" w:hAnsi="宋体"/>
          <w:b w:val="false"/>
          <w:bCs w:val="false"/>
          <w:i w:val="false"/>
          <w:iCs w:val="false"/>
          <w:sz w:val="24"/>
          <w:szCs w:val="24"/>
        </w:rPr>
        <w:t xml:space="preserve"> 通知应尽量具体到作品与可识别的同源切条，并保留平台"通知后仍可检索/推荐"的证据，以击破"已尽必要措施"抗辩；就平台算法加权、专题聚合、搜索联想给词等"主动行为"举证，以瓦解技术中立抗辩。</w:t>
      </w:r>
    </w:p>
    <w:p>
      <w:pPr>
        <w:pStyle w:val="ListParagraph"/>
        <w:numPr>
          <w:ilvl w:val="0"/>
          <w:numId w:val="2"/>
        </w:numPr>
        <w:spacing w:after="60" w:line="340"/>
      </w:pPr>
      <w:r>
        <w:rPr>
          <w:rFonts w:ascii="宋体" w:cs="宋体" w:eastAsia="宋体" w:hAnsi="宋体"/>
          <w:b/>
          <w:bCs/>
          <w:i w:val="false"/>
          <w:iCs w:val="false"/>
          <w:color w:val="1F3864"/>
          <w:sz w:val="24"/>
          <w:szCs w:val="24"/>
        </w:rPr>
        <w:t xml:space="preserve">对平台：</w:t>
      </w:r>
      <w:r>
        <w:rPr>
          <w:rFonts w:ascii="宋体" w:cs="宋体" w:eastAsia="宋体" w:hAnsi="宋体"/>
          <w:b w:val="false"/>
          <w:bCs w:val="false"/>
          <w:i w:val="false"/>
          <w:iCs w:val="false"/>
          <w:sz w:val="24"/>
          <w:szCs w:val="24"/>
        </w:rPr>
        <w:t xml:space="preserve"> 权属审查与"删除+过滤+屏蔽"的组合措施是免责的现实路径；单纯删除通知链接已难称"必要措施"。</w:t>
      </w:r>
    </w:p>
    <w:p>
      <w:pPr>
        <w:pStyle w:val="Heading1"/>
        <w:pBdr>
          <w:bottom w:val="single" w:color="1F3864" w:sz="6" w:space="4"/>
        </w:pBdr>
        <w:spacing w:after="120" w:before="240"/>
      </w:pPr>
      <w:r>
        <w:rPr>
          <w:rFonts w:ascii="黑体" w:cs="黑体" w:eastAsia="黑体" w:hAnsi="黑体"/>
          <w:b/>
          <w:bCs/>
          <w:color w:val="000000"/>
          <w:sz w:val="32"/>
          <w:szCs w:val="32"/>
        </w:rPr>
        <w:t xml:space="preserve">四、结论</w:t>
      </w:r>
    </w:p>
    <w:p>
      <w:pPr>
        <w:spacing w:after="80" w:line="360"/>
        <w:ind w:firstLine="480"/>
        <w:jc w:val="both"/>
      </w:pPr>
      <w:r>
        <w:rPr>
          <w:rFonts w:ascii="宋体" w:cs="宋体" w:eastAsia="宋体" w:hAnsi="宋体"/>
          <w:b w:val="false"/>
          <w:bCs w:val="false"/>
          <w:i w:val="false"/>
          <w:iCs w:val="false"/>
          <w:sz w:val="24"/>
          <w:szCs w:val="24"/>
        </w:rPr>
        <w:t xml:space="preserve">在算法推荐场景下，短视频平台的角色正从"中立通道"向"对传播负有较高注意义务的组织者"演化。"技术中立"抗辩几近失灵，避风港规则退守为以"已尽必要措施"为前提的有限免责，"通知—删除"亦升级为"通知—必要措施"。鉴于本批样本量有限（N=6），上述为裁判取向的归纳，不作占比定论或显著性推断；后续可扩大样本以验证趋势。数据来源：本报告样本（N=6）。</w:t>
      </w:r>
    </w:p>
    <w:p>
      <w:pPr>
        <w:pStyle w:val="Heading1"/>
        <w:pBdr>
          <w:bottom w:val="single" w:color="1F3864" w:sz="6" w:space="4"/>
        </w:pBdr>
        <w:spacing w:after="120" w:before="240"/>
      </w:pPr>
      <w:r>
        <w:rPr>
          <w:rFonts w:ascii="黑体" w:cs="黑体" w:eastAsia="黑体" w:hAnsi="黑体"/>
          <w:b/>
          <w:bCs/>
          <w:color w:val="000000"/>
          <w:sz w:val="32"/>
          <w:szCs w:val="32"/>
        </w:rPr>
        <w:t xml:space="preserve">附录</w:t>
      </w:r>
    </w:p>
    <w:p>
      <w:pPr>
        <w:pStyle w:val="Heading2"/>
        <w:spacing w:after="120" w:before="240"/>
      </w:pPr>
      <w:r>
        <w:rPr>
          <w:rFonts w:ascii="黑体" w:cs="黑体" w:eastAsia="黑体" w:hAnsi="黑体"/>
          <w:b/>
          <w:bCs/>
          <w:color w:val="000000"/>
          <w:sz w:val="28"/>
          <w:szCs w:val="28"/>
        </w:rPr>
        <w:t xml:space="preserve">附录一　权威案例索引</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2562"/>
        <w:gridCol w:w="2562"/>
        <w:gridCol w:w="2562"/>
      </w:tblGrid>
      <w:tr>
        <w:trPr>
          <w:tblHeader/>
        </w:trPr>
        <w:tc>
          <w:tcPr>
            <w:tcW w:type="dxa" w:w="620"/>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center"/>
            </w:pPr>
            <w:r>
              <w:rPr>
                <w:rFonts w:ascii="宋体" w:cs="宋体" w:eastAsia="宋体" w:hAnsi="宋体"/>
                <w:b/>
                <w:bCs/>
                <w:color w:val="FFFFFF"/>
                <w:sz w:val="18"/>
                <w:szCs w:val="18"/>
              </w:rPr>
              <w:t xml:space="preserve">序号</w:t>
            </w:r>
          </w:p>
        </w:tc>
        <w:tc>
          <w:tcPr>
            <w:tcW w:type="dxa" w:w="2562"/>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宋体" w:cs="宋体" w:eastAsia="宋体" w:hAnsi="宋体"/>
                <w:b/>
                <w:bCs/>
                <w:color w:val="FFFFFF"/>
                <w:sz w:val="18"/>
                <w:szCs w:val="18"/>
              </w:rPr>
              <w:t xml:space="preserve">案件</w:t>
            </w:r>
          </w:p>
        </w:tc>
        <w:tc>
          <w:tcPr>
            <w:tcW w:type="dxa" w:w="2562"/>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宋体" w:cs="宋体" w:eastAsia="宋体" w:hAnsi="宋体"/>
                <w:b/>
                <w:bCs/>
                <w:color w:val="FFFFFF"/>
                <w:sz w:val="18"/>
                <w:szCs w:val="18"/>
              </w:rPr>
              <w:t xml:space="preserve">案号</w:t>
            </w:r>
          </w:p>
        </w:tc>
        <w:tc>
          <w:tcPr>
            <w:tcW w:type="dxa" w:w="2562"/>
            <w:tcBorders>
              <w:top w:val="single" w:color="C9C9C9" w:sz="2"/>
              <w:left w:val="single" w:color="C9C9C9" w:sz="2"/>
              <w:bottom w:val="single" w:color="C9C9C9" w:sz="2"/>
              <w:right w:val="single" w:color="C9C9C9" w:sz="2"/>
            </w:tcBorders>
            <w:shd w:fill="1F3864" w:val="clear"/>
            <w:tcMar>
              <w:top w:type="dxa" w:w="70"/>
              <w:left w:type="dxa" w:w="110"/>
              <w:bottom w:type="dxa" w:w="70"/>
              <w:right w:type="dxa" w:w="110"/>
            </w:tcMar>
          </w:tcPr>
          <w:p>
            <w:pPr>
              <w:spacing w:line="240"/>
              <w:jc w:val="left"/>
            </w:pPr>
            <w:r>
              <w:rPr>
                <w:rFonts w:ascii="宋体" w:cs="宋体" w:eastAsia="宋体" w:hAnsi="宋体"/>
                <w:b/>
                <w:bCs/>
                <w:color w:val="FFFFFF"/>
                <w:sz w:val="18"/>
                <w:szCs w:val="18"/>
              </w:rPr>
              <w:t xml:space="preserve">案件等级</w:t>
            </w:r>
          </w:p>
        </w:tc>
      </w:tr>
      <w:tr>
        <w:tc>
          <w:tcPr>
            <w:tcW w:type="dxa" w:w="620"/>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center"/>
            </w:pPr>
            <w:r>
              <w:rPr>
                <w:rFonts w:ascii="宋体" w:cs="宋体" w:eastAsia="宋体" w:hAnsi="宋体"/>
                <w:b w:val="false"/>
                <w:bCs w:val="false"/>
                <w:color w:val="222222"/>
                <w:sz w:val="17"/>
                <w:szCs w:val="17"/>
              </w:rPr>
              <w:t xml:space="preserve">1</w:t>
            </w:r>
          </w:p>
        </w:tc>
        <w:tc>
          <w:tcPr>
            <w:tcW w:type="dxa" w:w="256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某影视公司与某网络公司侵害作品信息网络传播权纠纷</w:t>
            </w:r>
          </w:p>
        </w:tc>
        <w:tc>
          <w:tcPr>
            <w:tcW w:type="dxa" w:w="256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（2020）示民再001号</w:t>
            </w:r>
          </w:p>
        </w:tc>
        <w:tc>
          <w:tcPr>
            <w:tcW w:type="dxa" w:w="2562"/>
            <w:tcBorders>
              <w:top w:val="single" w:color="C9C9C9" w:sz="2"/>
              <w:left w:val="single" w:color="C9C9C9" w:sz="2"/>
              <w:bottom w:val="single" w:color="C9C9C9" w:sz="2"/>
              <w:right w:val="single" w:color="C9C9C9" w:sz="2"/>
            </w:tcBorders>
            <w:shd w:fill="EEF1F6" w:val="clear"/>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公报案例</w:t>
            </w:r>
          </w:p>
        </w:tc>
      </w:tr>
      <w:tr>
        <w:tc>
          <w:tcPr>
            <w:tcW w:type="dxa" w:w="620"/>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center"/>
            </w:pPr>
            <w:r>
              <w:rPr>
                <w:rFonts w:ascii="宋体" w:cs="宋体" w:eastAsia="宋体" w:hAnsi="宋体"/>
                <w:b w:val="false"/>
                <w:bCs w:val="false"/>
                <w:color w:val="222222"/>
                <w:sz w:val="17"/>
                <w:szCs w:val="17"/>
              </w:rPr>
              <w:t xml:space="preserve">2</w:t>
            </w:r>
          </w:p>
        </w:tc>
        <w:tc>
          <w:tcPr>
            <w:tcW w:type="dxa" w:w="2562"/>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某传媒公司与某科技公司侵害作品信息网络传播权纠纷</w:t>
            </w:r>
          </w:p>
        </w:tc>
        <w:tc>
          <w:tcPr>
            <w:tcW w:type="dxa" w:w="2562"/>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（2019）示01民初9001号</w:t>
            </w:r>
          </w:p>
        </w:tc>
        <w:tc>
          <w:tcPr>
            <w:tcW w:type="dxa" w:w="2562"/>
            <w:tcBorders>
              <w:top w:val="single" w:color="C9C9C9" w:sz="2"/>
              <w:left w:val="single" w:color="C9C9C9" w:sz="2"/>
              <w:bottom w:val="single" w:color="C9C9C9" w:sz="2"/>
              <w:right w:val="single" w:color="C9C9C9" w:sz="2"/>
            </w:tcBorders>
            <w:tcMar>
              <w:top w:type="dxa" w:w="70"/>
              <w:left w:type="dxa" w:w="110"/>
              <w:bottom w:type="dxa" w:w="70"/>
              <w:right w:type="dxa" w:w="110"/>
            </w:tcMar>
          </w:tcPr>
          <w:p>
            <w:pPr>
              <w:spacing w:line="240"/>
              <w:jc w:val="left"/>
            </w:pPr>
            <w:r>
              <w:rPr>
                <w:rFonts w:ascii="宋体" w:cs="宋体" w:eastAsia="宋体" w:hAnsi="宋体"/>
                <w:b w:val="false"/>
                <w:bCs w:val="false"/>
                <w:color w:val="222222"/>
                <w:sz w:val="17"/>
                <w:szCs w:val="17"/>
              </w:rPr>
              <w:t xml:space="preserve">指导案例</w:t>
            </w:r>
          </w:p>
        </w:tc>
      </w:tr>
    </w:tbl>
    <w:p>
      <w:pPr>
        <w:pStyle w:val="Heading2"/>
        <w:spacing w:after="120" w:before="240"/>
      </w:pPr>
      <w:r>
        <w:rPr>
          <w:rFonts w:ascii="黑体" w:cs="黑体" w:eastAsia="黑体" w:hAnsi="黑体"/>
          <w:b/>
          <w:bCs/>
          <w:color w:val="000000"/>
          <w:sz w:val="28"/>
          <w:szCs w:val="28"/>
        </w:rPr>
        <w:t xml:space="preserve">附录二　研究方法说明</w:t>
      </w:r>
    </w:p>
    <w:p>
      <w:pPr>
        <w:spacing w:after="80" w:line="360"/>
        <w:ind w:firstLine="480"/>
        <w:jc w:val="both"/>
      </w:pPr>
      <w:r>
        <w:rPr>
          <w:rFonts w:ascii="宋体" w:cs="宋体" w:eastAsia="宋体" w:hAnsi="宋体"/>
          <w:b w:val="false"/>
          <w:bCs w:val="false"/>
          <w:i w:val="false"/>
          <w:iCs w:val="false"/>
          <w:sz w:val="24"/>
          <w:szCs w:val="24"/>
        </w:rPr>
        <w:t xml:space="preserve">本报告样本经"案情要素抽取—争点体系搭建—三层关键词检索—去重与相关度筛查—字段编码—描述性统计与出图—全文驱动深度写作"流程产出。样本量有限时，定量部分仅作描述性呈现、不作显著性推断，分组样本不足时不作分组差异比较。全部案件数据来自检索样本池，引用案号均可溯源。本附录数据为合成演示数据，详见 `examples/DISCLAIMER.md`。</w:t>
      </w:r>
    </w:p>
    <w:sectPr>
      <w:headerReference w:type="default" r:id="rId7"/>
      <w:footerReference w:type="default" r:id="rId8"/>
      <w:type w:val="nextPage"/>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595959"/>
        <w:sz w:val="18"/>
        <w:szCs w:val="18"/>
      </w:rPr>
      <w:t xml:space="preserve">第 </w:t>
    </w:r>
    <w:r>
      <w:rPr>
        <w:rFonts w:ascii="宋体" w:cs="宋体" w:eastAsia="宋体" w:hAnsi="宋体"/>
        <w:color w:val="595959"/>
        <w:sz w:val="18"/>
        <w:szCs w:val="18"/>
      </w:rPr>
      <w:fldChar w:fldCharType="begin"/>
      <w:instrText xml:space="preserve">PAGE</w:instrText>
      <w:fldChar w:fldCharType="separate"/>
      <w:fldChar w:fldCharType="end"/>
    </w:r>
    <w:r>
      <w:rPr>
        <w:rFonts w:ascii="宋体" w:cs="宋体" w:eastAsia="宋体" w:hAnsi="宋体"/>
        <w:color w:val="595959"/>
        <w:sz w:val="18"/>
        <w:szCs w:val="18"/>
      </w:rPr>
      <w:t xml:space="preserve"> 页 / 共 </w:t>
    </w:r>
    <w:r>
      <w:rPr>
        <w:rFonts w:ascii="宋体" w:cs="宋体" w:eastAsia="宋体" w:hAnsi="宋体"/>
        <w:color w:val="595959"/>
        <w:sz w:val="18"/>
        <w:szCs w:val="18"/>
      </w:rPr>
      <w:fldChar w:fldCharType="begin"/>
      <w:instrText xml:space="preserve">NUMPAGES</w:instrText>
      <w:fldChar w:fldCharType="separate"/>
      <w:fldChar w:fldCharType="end"/>
    </w:r>
    <w:r>
      <w:rPr>
        <w:rFonts w:ascii="宋体" w:cs="宋体" w:eastAsia="宋体" w:hAnsi="宋体"/>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宋体" w:cs="宋体" w:eastAsia="宋体" w:hAnsi="宋体"/>
          <w:sz w:val="18"/>
          <w:szCs w:val="18"/>
        </w:rPr>
        <w:t xml:space="preserve">（2021）示01民初0001号·北京互联网法院　北大法宝：</w:t>
      </w:r>
      <w:hyperlink w:history="1" r:id="rId2qyozv5uaur4lknnkp1z-">
        <w:r>
          <w:rPr>
            <w:rFonts w:ascii="Times New Roman" w:cs="Times New Roman" w:eastAsia="Times New Roman" w:hAnsi="Times New Roman"/>
            <w:color w:val="1F4E79"/>
            <w:sz w:val="18"/>
            <w:szCs w:val="18"/>
            <w:u w:val="single"/>
          </w:rPr>
          <w:t xml:space="preserve">https://demo.example.com/pfnl/demo-d001.html</w:t>
        </w:r>
      </w:hyperlink>
    </w:p>
  </w:footnote>
  <w:footnote w:id="2">
    <w:p>
      <w:pPr>
        <w:spacing w:line="240"/>
      </w:pPr>
      <w:r>
        <w:rPr>
          <w:rStyle w:val="FootnoteReference"/>
        </w:rPr>
        <w:footnoteRef/>
      </w:r>
      <w:r>
        <w:rPr>
          <w:rFonts w:ascii="宋体" w:cs="宋体" w:eastAsia="宋体" w:hAnsi="宋体"/>
          <w:sz w:val="18"/>
          <w:szCs w:val="18"/>
        </w:rPr>
        <w:t xml:space="preserve">（2022）示01民初0042号·北京互联网法院　北大法宝：</w:t>
      </w:r>
      <w:hyperlink w:history="1" r:id="rIdsqwnh0wqc6spsij1spzbx">
        <w:r>
          <w:rPr>
            <w:rFonts w:ascii="Times New Roman" w:cs="Times New Roman" w:eastAsia="Times New Roman" w:hAnsi="Times New Roman"/>
            <w:color w:val="1F4E79"/>
            <w:sz w:val="18"/>
            <w:szCs w:val="18"/>
            <w:u w:val="single"/>
          </w:rPr>
          <w:t xml:space="preserve">https://demo.example.com/pfnl/demo-d002.html</w:t>
        </w:r>
      </w:hyperlink>
    </w:p>
  </w:footnote>
  <w:footnote w:id="3">
    <w:p>
      <w:pPr>
        <w:spacing w:line="240"/>
      </w:pPr>
      <w:r>
        <w:rPr>
          <w:rStyle w:val="FootnoteReference"/>
        </w:rPr>
        <w:footnoteRef/>
      </w:r>
      <w:r>
        <w:rPr>
          <w:rFonts w:ascii="宋体" w:cs="宋体" w:eastAsia="宋体" w:hAnsi="宋体"/>
          <w:sz w:val="18"/>
          <w:szCs w:val="18"/>
        </w:rPr>
        <w:t xml:space="preserve">（2023）示73民初0256号·广州互联网法院　北大法宝：</w:t>
      </w:r>
      <w:hyperlink w:history="1" r:id="rIdrptdwnjqap-t9sw8c-lis">
        <w:r>
          <w:rPr>
            <w:rFonts w:ascii="Times New Roman" w:cs="Times New Roman" w:eastAsia="Times New Roman" w:hAnsi="Times New Roman"/>
            <w:color w:val="1F4E79"/>
            <w:sz w:val="18"/>
            <w:szCs w:val="18"/>
            <w:u w:val="single"/>
          </w:rPr>
          <w:t xml:space="preserve">https://demo.example.com/pfnl/demo-d004.html</w:t>
        </w:r>
      </w:hyperlink>
    </w:p>
  </w:footnote>
  <w:footnote w:id="4">
    <w:p>
      <w:pPr>
        <w:spacing w:line="240"/>
      </w:pPr>
      <w:r>
        <w:rPr>
          <w:rStyle w:val="FootnoteReference"/>
        </w:rPr>
        <w:footnoteRef/>
      </w:r>
      <w:r>
        <w:rPr>
          <w:rFonts w:ascii="宋体" w:cs="宋体" w:eastAsia="宋体" w:hAnsi="宋体"/>
          <w:sz w:val="18"/>
          <w:szCs w:val="18"/>
        </w:rPr>
        <w:t xml:space="preserve">（2024）示01民终0009号·北京知识产权法院　北大法宝：</w:t>
      </w:r>
      <w:hyperlink w:history="1" r:id="rIdyhysqiip0-8s-h2njcmrv">
        <w:r>
          <w:rPr>
            <w:rFonts w:ascii="Times New Roman" w:cs="Times New Roman" w:eastAsia="Times New Roman" w:hAnsi="Times New Roman"/>
            <w:color w:val="1F4E79"/>
            <w:sz w:val="18"/>
            <w:szCs w:val="18"/>
            <w:u w:val="single"/>
          </w:rPr>
          <w:t xml:space="preserve">https://demo.example.com/pfnl/demo-d006.html</w:t>
        </w:r>
      </w:hyperlink>
    </w:p>
  </w:footnote>
  <w:footnote w:id="5">
    <w:p>
      <w:pPr>
        <w:spacing w:line="240"/>
      </w:pPr>
      <w:r>
        <w:rPr>
          <w:rStyle w:val="FootnoteReference"/>
        </w:rPr>
        <w:footnoteRef/>
      </w:r>
      <w:r>
        <w:rPr>
          <w:rFonts w:ascii="宋体" w:cs="宋体" w:eastAsia="宋体" w:hAnsi="宋体"/>
          <w:sz w:val="18"/>
          <w:szCs w:val="18"/>
        </w:rPr>
        <w:t xml:space="preserve">（2023）示88民初0061号·杭州互联网法院　北大法宝：</w:t>
      </w:r>
      <w:hyperlink w:history="1" r:id="rIdslppuviv5vzot5unzo2p7">
        <w:r>
          <w:rPr>
            <w:rFonts w:ascii="Times New Roman" w:cs="Times New Roman" w:eastAsia="Times New Roman" w:hAnsi="Times New Roman"/>
            <w:color w:val="1F4E79"/>
            <w:sz w:val="18"/>
            <w:szCs w:val="18"/>
            <w:u w:val="single"/>
          </w:rPr>
          <w:t xml:space="preserve">https://demo.example.com/pfnl/demo-d005.html</w:t>
        </w:r>
      </w:hyperlink>
    </w:p>
  </w:footnote>
  <w:footnote w:id="6">
    <w:p>
      <w:pPr>
        <w:spacing w:line="240"/>
      </w:pPr>
      <w:r>
        <w:rPr>
          <w:rStyle w:val="FootnoteReference"/>
        </w:rPr>
        <w:footnoteRef/>
      </w:r>
      <w:r>
        <w:rPr>
          <w:rFonts w:ascii="宋体" w:cs="宋体" w:eastAsia="宋体" w:hAnsi="宋体"/>
          <w:sz w:val="18"/>
          <w:szCs w:val="18"/>
        </w:rPr>
        <w:t xml:space="preserve">（2022）示71民初0108号·上海市浦东新区人民法院　北大法宝：</w:t>
      </w:r>
      <w:hyperlink w:history="1" r:id="rIdki4nn38-1lussjatvu5gd">
        <w:r>
          <w:rPr>
            <w:rFonts w:ascii="Times New Roman" w:cs="Times New Roman" w:eastAsia="Times New Roman" w:hAnsi="Times New Roman"/>
            <w:color w:val="1F4E79"/>
            <w:sz w:val="18"/>
            <w:szCs w:val="18"/>
            <w:u w:val="single"/>
          </w:rPr>
          <w:t xml:space="preserve">https://demo.example.com/pfnl/demo-d003.html</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2"/>
      </w:pBdr>
      <w:jc w:val="right"/>
    </w:pPr>
    <w:r>
      <w:rPr>
        <w:rFonts w:ascii="宋体" w:cs="宋体" w:eastAsia="宋体" w:hAnsi="宋体"/>
        <w:color w:val="595959"/>
        <w:sz w:val="16"/>
        <w:szCs w:val="16"/>
      </w:rPr>
      <w:t xml:space="preserve">算法推荐短视频侵权案件的类案检索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1F386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黑体" w:cs="黑体" w:eastAsia="黑体" w:hAnsi="黑体"/>
      <w:b/>
      <w:bCs/>
      <w:sz w:val="32"/>
      <w:szCs w:val="32"/>
    </w:rPr>
  </w:style>
  <w:style w:type="paragraph" w:styleId="Heading2">
    <w:name w:val="Heading 2"/>
    <w:basedOn w:val="Normal"/>
    <w:next w:val="Normal"/>
    <w:qFormat/>
    <w:pPr>
      <w:spacing w:after="12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40"/>
      <w:outlineLvl w:val="2"/>
    </w:pPr>
    <w:rPr>
      <w:rFonts w:ascii="黑体" w:cs="黑体" w:eastAsia="黑体" w:hAnsi="黑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b94892367ab60e6855cec72ab6b3295f551eb.png"/><Relationship Id="rId10" Type="http://schemas.openxmlformats.org/officeDocument/2006/relationships/image" Target="media/8472d2dd360c410bf273c599e85df5d9793da0b7.png"/><Relationship Id="rId11" Type="http://schemas.openxmlformats.org/officeDocument/2006/relationships/image" Target="media/ec286f5ff77edb2e82a28b7d25f92987cae244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2qyozv5uaur4lknnkp1z-" Type="http://schemas.openxmlformats.org/officeDocument/2006/relationships/hyperlink" Target="https://demo.example.com/pfnl/demo-d001.html" TargetMode="External"/><Relationship Id="rIdsqwnh0wqc6spsij1spzbx" Type="http://schemas.openxmlformats.org/officeDocument/2006/relationships/hyperlink" Target="https://demo.example.com/pfnl/demo-d002.html" TargetMode="External"/><Relationship Id="rIdrptdwnjqap-t9sw8c-lis" Type="http://schemas.openxmlformats.org/officeDocument/2006/relationships/hyperlink" Target="https://demo.example.com/pfnl/demo-d004.html" TargetMode="External"/><Relationship Id="rIdyhysqiip0-8s-h2njcmrv" Type="http://schemas.openxmlformats.org/officeDocument/2006/relationships/hyperlink" Target="https://demo.example.com/pfnl/demo-d006.html" TargetMode="External"/><Relationship Id="rIdslppuviv5vzot5unzo2p7" Type="http://schemas.openxmlformats.org/officeDocument/2006/relationships/hyperlink" Target="https://demo.example.com/pfnl/demo-d005.html" TargetMode="External"/><Relationship Id="rIdki4nn38-1lussjatvu5gd" Type="http://schemas.openxmlformats.org/officeDocument/2006/relationships/hyperlink" Target="https://demo.example.com/pfnl/demo-d003.html"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2026-06-07T17:07:42.229Z</dcterms:created>
  <dcterms:modified xsi:type="dcterms:W3CDTF">2026-06-07T17:07:42.230Z</dcterms:modified>
</cp:coreProperties>
</file>

<file path=docProps/custom.xml><?xml version="1.0" encoding="utf-8"?>
<Properties xmlns="http://schemas.openxmlformats.org/officeDocument/2006/custom-properties" xmlns:vt="http://schemas.openxmlformats.org/officeDocument/2006/docPropsVTypes"/>
</file>