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12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证券虚假陈述裁判规则研究</w:t>
      </w:r>
    </w:p>
    <w:p>
      <w:pPr>
        <w:spacing w:after="120"/>
        <w:jc w:val="center"/>
      </w:pPr>
      <w:r>
        <w:rPr>
          <w:rFonts w:ascii="Times New Roman" w:eastAsia="黑体" w:hAnsi="Times New Roman"/>
          <w:color w:val="595959"/>
          <w:sz w:val="28"/>
          <w:szCs w:val="28"/>
        </w:rPr>
        <w:t xml:space="preserve">——以京沪金融法院核心判决为样本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本报告以京沪金融审判体系下"证券虚假陈述责任纠纷"案由的 7 件核心判决为样本，沿侵权责任构成要件——责任主体、虚假陈述行为、损害结果、因果关系、主观过错——逐一拆解争点、梳理裁判规则，并附及揭露日、诉讼时效等程序事项。证券虚假陈述是典型的群体性诉讼：一个事件派生大量投资者分别起诉的平行判决，本研究按"上市公司＋虚假陈述事件"分组、组内只取示范判决/代表人诉讼/说理最完整者，平行判决另行留痕。核心发现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重大性是独立的"过滤阀"。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法院以"重大事件＋交易价量敏感性"双重标准独立审查重大性；对占比偏低、披露窗口前后量价无显著异常者，可因不具重大性而整体出罪（（2023）示01民初0212号·北京金融法院）。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交易因果"推定＋反证"结构稳定。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实施日后、揭露日前买入并持有受损者推定成立（（2022）示74民初0301号·上海金融法院）。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损失他因扣除走向精细化。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系统风险之外，行业风险、个股经营风险等非系统因素经举证亦可扣除（（2023）示民终0061号·上海市高级人民法院二审改判）。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中介机构责任转向"按过错分层的比例连带"。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会计师未对异常事项保持职业怀疑的，按过错程度比例连带，勤勉尽责抗辩从严（（2023）示74民初0455号·上海金融法院）。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样本以上海为主（5 件），北京 2 件，两地样本悬殊，本报告不作地域裁判倾向的统计比较；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个别问题的地域差异仅在相关争点处据个案点出。数据来源：本报告样本（N=7）。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（一）研究对象、法院与样本构成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研究案由为"证券虚假陈述责任纠纷"，目标法院为上海金融法院、北京金融法院及审理两院上诉、再审案件的对应高级人民法院。证券虚假陈述案件存在大量"同案平行判决"——同一事件下众多投资者分别起诉、分别判决。为避免重复计量，本研究按"涉案上市公司＋虚假陈述事件"分组，组内仅保留示范判决、代表人诉讼判决或说理最完整的核心判决，平行判决另行留痕。最终纳入分析的核心判决 7 件，覆盖 7 起虚假陈述事件；裁判结果为部分支持 5 件、驳回 1 件、撤销改判 1 件。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本报告的实质说理基于裁判文书全文重构，量化部分仅作描述性呈现。样本量有限（N=7），各具体争点项下判决数为个位数，故下文数据仅示裁判取向，不作占比定论或显著性推断；样本以上海为主、北京仅 2 件，两地悬殊，本报告不进行京沪裁判倾向的统计比较，仅在确有个案差异处一句话点出。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二、裁判规则全景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（一）责任主体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谁对虚假陈述担责、各主体责任如何分层，是责任认定的起点，涉及发行人、控股股东与组织指使者、中介机构三类主体。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对招股文件等信息披露文件的虚假记载承担无过错责任；控股股东组织、指使上市公司实施虚假陈述的，与上市公司承担连带责任，在辛控股案（（2023）示01民初0276号·北京金融法院）中，法院否定了控股股东"非披露义务人"的抗辩，认定组织指使即应连带。中介机构则按工作范围与过错分层担责：乙生物科技案（（2023）示74民初0455号·上海金融法院）中，会计师事务所未对异常研发资本化保持职业怀疑，被认定存在过错，按 25% 比例承担连带责任。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中介机构若举证证明已尽特别注意义务、对专业范围外事项确无过错，可减免责任；本批样本中会计师的勤勉尽责抗辩因未尽职业怀疑而未被采纳。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责任主体认定已从"是否披露义务人"转向"是否对虚假陈述有组织、控制或注意义务"，中介责任的"比例连带"成为常态。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（二）虚假陈述行为与重大性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虚假陈述是否成立、是否具有"重大性"，是责任成立的实体门槛。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法院对重大性采"重大事件＋交易价量敏感性"双重标准独立审查。甲新材股份案（（2022）示74民初0301号·上海金融法院）中，虚增占当期利润比例显著，认定具有重大性。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丁能源集团案（（2023）示01民初0212号·北京金融法院）中，未披露合同金额占营业收入比例较低、披露窗口前后量价无显著异常，被认定不具重大性而整体出罪——重大性成为独立的过滤阀。预测性信息亦有安全港，但戊医药案（（2022）示74民初0388号·上海金融法院）指出，无合理测算依据且未作风险提示的业绩预告不能适用安全港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重大性的独立审查，使部分形式上构成虚假记载的行为因缺乏市场敏感性而不担责。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（三）损害结果与损失计算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投资者损失如何计算、哪些"他因"应从损失中扣除。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系统风险（同期大盘、行业下行）应从损失中扣除，甲新材股份案与戊医药案分别认定 15%、10% 的系统风险扣除比例。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他因扣除不限于系统风险：庚科技案二审（（2023）示民终0061号·上海市高级人民法院）认为，经举证证明的行业风险、个股经营风险等非系统因素亦应扣除，并据此撤销一审、改判缩减赔偿范围。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损失因果的他因扣除正走向精细化、模型化，主张方须就具体影响举证。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（四）因果关系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交易因果关系与损失因果关系是否成立、可否被反证推翻。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交易因果采"推定＋反证"：实施日后、揭露日前买入并持有受损者推定成立，甲新材股份案、壬股份案（（2022）示74民初0290号·上海金融法院）均循此结构。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不具重大性时交易因果无从成立（丁能源集团案）；损失因果中的非系统他因可部分切断因果（庚科技案二审）。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因果关系的"推定＋反证"结构稳定，反证集中于重大性缺失与他因扣除两条路径。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（五）主观过错与勤勉尽责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发行人之外的主体，主观过错如何认定、勤勉尽责抗辩可否免责。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发行人承担无过错责任；中介机构以过错为责任基础，乙生物科技案认定会计师未尽职业怀疑、存在过错，勤勉尽责抗辩不成立。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确能证明已尽特别注意义务者可免责，惟举证门槛较高。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勤勉尽责抗辩的成败，取决于中介是否对异常事项保持并记录了职业怀疑。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（六）程序事项：揭露日与诉讼时效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揭露日认定坚持"首次性＋警示性"：以立案调查公告日（甲新材股份案）或更正公告日（戊医药案）为揭露日。诉讼时效自投资者知道或应当知道权利受损之日起算，揭露日不当然等于起算日；适用示范判决机制审理的，平行案件时效在示范判决期间存在中止、中断情形，壬股份案据此认定时效抗辩部分不成立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（一）裁判规则地图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2"/>
        <w:gridCol w:w="2431"/>
        <w:gridCol w:w="2431"/>
        <w:gridCol w:w="2432"/>
      </w:tblGrid>
      <w:tr>
        <w:trPr>
          <w:tblHeader/>
        </w:trP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构成要件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主流裁判规则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例外/反向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代表案例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责任主体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发行人无过错；组织指使者连带；中介按过错比例连带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中介尽特别注意义务可减免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（2023）示74民初0455号；（2023）示01民初0276号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虚假陈述/重大性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重大事件＋价量敏感双重标准独立审查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不具重大性整体出罪；安全港需合理基础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（2022）示74民初0301号；（2023）示01民初0212号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损害与损失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系统风险应扣除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非系统他因经举证亦扣除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（2022）示74民初0388号；（2023）示民终0061号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因果关系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交易因果"推定＋反证"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重大性缺失/他因切断因果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主观过错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中介以过错为基础、抗辩从严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尽特别注意义务可免责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（二）当事人指引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投资者一方：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紧扣重大性与交易因果的推定结构，就平台/发行人主动行为与价量敏感性举证；对中介机构主张按过错比例连带。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被告一方：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重大性缺失、他因扣除、勤勉尽责是三条现实抗辩路径；中介应保留职业怀疑与核查痕迹。</w:t>
      </w:r>
    </w:p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京沪金融审判体系下的证券虚假陈述裁判，已形成以"重大性独立审查—交易因果推定与反证—损失他因精细扣除—中介比例连带"为骨架的规则群。鉴于本批样本量有限（N=7），上述为裁判取向的归纳，不作占比定论或显著性推断；后续可扩大样本以验证趋势。数据来源：本报告样本（N=7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典型/参考案例索引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344"/>
        <w:gridCol w:w="2427"/>
        <w:gridCol w:w="975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案件等级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某股份有限公司证券虚假陈述责任纠纷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（2021）示民再001号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公报案例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研究方法说明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样本经"问题体系搭建—关键词轮替检索—按主体+事件分组识别核心判决（平行判决留痕）—相关度筛查—按问题编码—描述性统计与出图—全文驱动深度写作"流程产出。样本量有限时定量部分仅作描述性呈现、不作显著性推断，分组样本不足时不作分组差异比较。全部案件数据来自检索样本池，引用案号均可溯源。本附录数据为合成演示数据，详见 `examples/DISCLAIMER.md`。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检索法院：上海金融法院、北京金融法院、上海市高级人民法院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分析样本：核心判决 7 件，覆盖 7 起虚假陈述事件（另平行判决留痕、典型案例附录）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数据性质：合成演示数据（虚构案号/当事人，详见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证券虚假陈述裁判规则研究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2026-06-11T18:18:11.700Z</dcterms:created>
  <dcterms:modified xsi:type="dcterms:W3CDTF">2026-06-11T18:18:11.701Z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