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ascii="Times New Roman" w:hAnsi="Times New Roman" w:eastAsia="宋体" w:cs="Times New Roman"/>
          <w:color w:val="000000"/>
          <w:sz w:val="24"/>
          <w:szCs w:val="24"/>
        </w:rPr>
      </w:pPr>
      <w:bookmarkStart w:id="0" w:name="_Hlk41684958"/>
      <w:bookmarkEnd w:id="0"/>
      <w:r>
        <w:rPr>
          <w:rFonts w:ascii="Times New Roman" w:hAnsi="Times New Roman" w:eastAsia="宋体" w:cs="Times New Roman"/>
          <w:color w:val="000000"/>
          <w:sz w:val="24"/>
          <w:szCs w:val="24"/>
        </w:rPr>
        <w:drawing>
          <wp:inline distT="0" distB="0" distL="0" distR="0">
            <wp:extent cx="1256030" cy="125603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5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right"/>
        <w:rPr>
          <w:rFonts w:ascii="Times New Roman" w:hAnsi="Times New Roman" w:eastAsia="宋体" w:cs="Times New Roman"/>
          <w:color w:val="000000"/>
          <w:sz w:val="24"/>
          <w:szCs w:val="24"/>
        </w:rPr>
      </w:pPr>
    </w:p>
    <w:p>
      <w:pPr>
        <w:spacing w:line="300" w:lineRule="auto"/>
        <w:jc w:val="right"/>
        <w:rPr>
          <w:rFonts w:ascii="Times New Roman" w:hAnsi="Times New Roman" w:eastAsia="宋体" w:cs="Times New Roman"/>
          <w:color w:val="000000"/>
          <w:sz w:val="24"/>
          <w:szCs w:val="24"/>
        </w:rPr>
      </w:pPr>
    </w:p>
    <w:p>
      <w:pPr>
        <w:spacing w:line="300" w:lineRule="auto"/>
        <w:ind w:right="960"/>
        <w:rPr>
          <w:rFonts w:ascii="Times New Roman" w:hAnsi="Times New Roman" w:eastAsia="宋体" w:cs="Times New Roman"/>
          <w:color w:val="000000"/>
          <w:sz w:val="24"/>
          <w:szCs w:val="24"/>
        </w:rPr>
      </w:pPr>
    </w:p>
    <w:p>
      <w:pPr>
        <w:spacing w:line="300" w:lineRule="auto"/>
        <w:ind w:right="960"/>
        <w:rPr>
          <w:rFonts w:ascii="Times New Roman" w:hAnsi="Times New Roman" w:eastAsia="宋体" w:cs="Times New Roman"/>
          <w:color w:val="000000"/>
          <w:sz w:val="24"/>
          <w:szCs w:val="24"/>
        </w:rPr>
      </w:pPr>
    </w:p>
    <w:p>
      <w:pPr>
        <w:spacing w:line="300" w:lineRule="auto"/>
        <w:ind w:right="960"/>
        <w:rPr>
          <w:rFonts w:ascii="Times New Roman" w:hAnsi="Times New Roman" w:eastAsia="宋体" w:cs="Times New Roman"/>
          <w:color w:val="000000"/>
          <w:sz w:val="24"/>
          <w:szCs w:val="24"/>
        </w:rPr>
      </w:pPr>
    </w:p>
    <w:p>
      <w:pPr>
        <w:spacing w:line="300" w:lineRule="auto"/>
        <w:jc w:val="right"/>
        <w:rPr>
          <w:rFonts w:ascii="Times New Roman" w:hAnsi="Times New Roman" w:eastAsia="宋体" w:cs="Times New Roman"/>
          <w:color w:val="000000"/>
          <w:sz w:val="44"/>
          <w:szCs w:val="44"/>
        </w:rPr>
      </w:pPr>
      <w:r>
        <w:rPr>
          <w:rFonts w:ascii="Times New Roman" w:hAnsi="Times New Roman" w:eastAsia="宋体" w:cs="Times New Roman"/>
          <w:b/>
          <w:color w:val="000000"/>
          <w:sz w:val="44"/>
          <w:szCs w:val="44"/>
        </w:rPr>
        <w:t>Watch Dog智能宿舍</w:t>
      </w:r>
    </w:p>
    <w:p>
      <w:pPr>
        <w:wordWrap w:val="0"/>
        <w:spacing w:line="300" w:lineRule="auto"/>
        <w:jc w:val="right"/>
        <w:rPr>
          <w:rFonts w:ascii="Times New Roman" w:hAnsi="Times New Roman" w:eastAsia="宋体" w:cs="Times New Roman"/>
          <w:b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Watch D</w:t>
      </w:r>
      <w:r>
        <w:rPr>
          <w:rFonts w:hint="eastAsia" w:ascii="Times New Roman" w:hAnsi="Times New Roman" w:eastAsia="宋体" w:cs="Times New Roman"/>
          <w:b/>
          <w:szCs w:val="21"/>
        </w:rPr>
        <w:t>og</w:t>
      </w: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color w:val="000000"/>
          <w:sz w:val="36"/>
          <w:szCs w:val="36"/>
        </w:rPr>
      </w:pPr>
      <w:r>
        <w:rPr>
          <w:rFonts w:hint="eastAsia" w:ascii="Times New Roman" w:hAnsi="Times New Roman" w:eastAsia="宋体" w:cs="Times New Roman"/>
          <w:b/>
          <w:color w:val="000000"/>
          <w:sz w:val="36"/>
          <w:szCs w:val="36"/>
        </w:rPr>
        <w:t>详细设计说明书</w:t>
      </w:r>
      <w:bookmarkStart w:id="31" w:name="_GoBack"/>
      <w:bookmarkEnd w:id="31"/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 xml:space="preserve">Version </w:t>
      </w:r>
      <w:r>
        <w:rPr>
          <w:rFonts w:hint="eastAsia" w:ascii="Times New Roman" w:hAnsi="Times New Roman" w:eastAsia="宋体" w:cs="Times New Roman"/>
          <w:b/>
          <w:sz w:val="24"/>
          <w:szCs w:val="24"/>
        </w:rPr>
        <w:t>1.0</w:t>
      </w:r>
    </w:p>
    <w:p>
      <w:pPr>
        <w:spacing w:line="300" w:lineRule="auto"/>
        <w:ind w:right="964"/>
        <w:rPr>
          <w:rFonts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spacing w:line="300" w:lineRule="auto"/>
        <w:ind w:right="480"/>
        <w:rPr>
          <w:rFonts w:ascii="Times New Roman" w:hAnsi="Times New Roman" w:eastAsia="宋体" w:cs="Times New Roman"/>
          <w:b/>
          <w:color w:val="000000"/>
          <w:sz w:val="24"/>
          <w:szCs w:val="24"/>
        </w:rPr>
      </w:pP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color w:val="000000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  <w:t>2020.05.15</w:t>
      </w:r>
    </w:p>
    <w:p>
      <w:pPr>
        <w:wordWrap w:val="0"/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 xml:space="preserve">Written by </w:t>
      </w:r>
      <w:r>
        <w:rPr>
          <w:rFonts w:hint="eastAsia" w:ascii="Times New Roman" w:hAnsi="Times New Roman" w:eastAsia="宋体" w:cs="Times New Roman"/>
          <w:b/>
          <w:sz w:val="24"/>
          <w:szCs w:val="24"/>
        </w:rPr>
        <w:t>我无言以队</w:t>
      </w: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</w:p>
    <w:p>
      <w:pPr>
        <w:wordWrap w:val="0"/>
        <w:spacing w:line="300" w:lineRule="auto"/>
        <w:jc w:val="right"/>
        <w:rPr>
          <w:rFonts w:ascii="Times New Roman" w:hAnsi="Times New Roman" w:eastAsia="宋体" w:cs="Times New Roman"/>
          <w:b/>
          <w:color w:val="000000"/>
          <w:sz w:val="24"/>
          <w:szCs w:val="24"/>
        </w:rPr>
      </w:pPr>
      <w:r>
        <w:rPr>
          <w:rFonts w:ascii="Times New Roman" w:hAnsi="Times New Roman" w:eastAsia="宋体" w:cs="Times New Roman"/>
          <w:b/>
          <w:color w:val="000000"/>
          <w:sz w:val="24"/>
          <w:szCs w:val="24"/>
        </w:rPr>
        <w:drawing>
          <wp:inline distT="0" distB="0" distL="0" distR="0">
            <wp:extent cx="1209675" cy="1209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color w:val="000000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color w:val="000000"/>
          <w:sz w:val="24"/>
          <w:szCs w:val="24"/>
        </w:rPr>
        <w:t xml:space="preserve">   </w:t>
      </w:r>
    </w:p>
    <w:p>
      <w:pPr>
        <w:spacing w:line="300" w:lineRule="auto"/>
        <w:jc w:val="right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t>All Rights Reserved</w:t>
      </w:r>
    </w:p>
    <w:p>
      <w:pPr>
        <w:widowControl/>
        <w:jc w:val="left"/>
        <w:rPr>
          <w:rFonts w:ascii="Times New Roman" w:hAnsi="Times New Roman" w:eastAsia="宋体" w:cs="Times New Roman"/>
          <w:b/>
          <w:sz w:val="24"/>
          <w:szCs w:val="24"/>
        </w:rPr>
      </w:pPr>
      <w:r>
        <w:rPr>
          <w:rFonts w:ascii="Times New Roman" w:hAnsi="Times New Roman" w:eastAsia="宋体" w:cs="Times New Roman"/>
          <w:b/>
          <w:sz w:val="24"/>
          <w:szCs w:val="24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34229661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5"/>
          </w:pPr>
          <w:bookmarkStart w:id="1" w:name="_Hlk41685994"/>
          <w:r>
            <w:rPr>
              <w:lang w:val="zh-CN"/>
            </w:rPr>
            <w:t>目录</w:t>
          </w:r>
        </w:p>
        <w:p>
          <w:pPr>
            <w:pStyle w:val="16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"_Toc41778599" </w:instrText>
          </w:r>
          <w:r>
            <w:fldChar w:fldCharType="separate"/>
          </w:r>
          <w:r>
            <w:rPr>
              <w:rStyle w:val="20"/>
            </w:rPr>
            <w:t>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_Toc41778599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"_Toc41778600"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_Toc41778600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"_Toc41778601" </w:instrText>
          </w:r>
          <w:r>
            <w:fldChar w:fldCharType="separate"/>
          </w:r>
          <w:r>
            <w:rPr>
              <w:rStyle w:val="20"/>
            </w:rPr>
            <w:t>1.2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方案路线</w:t>
          </w:r>
          <w:r>
            <w:tab/>
          </w:r>
          <w:r>
            <w:fldChar w:fldCharType="begin"/>
          </w:r>
          <w:r>
            <w:instrText xml:space="preserve"> PAGEREF _Toc41778601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"_Toc41778602" </w:instrText>
          </w:r>
          <w:r>
            <w:fldChar w:fldCharType="separate"/>
          </w:r>
          <w:r>
            <w:rPr>
              <w:rStyle w:val="20"/>
            </w:rPr>
            <w:t>1.3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_Toc41778602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"_Toc41778603" </w:instrText>
          </w:r>
          <w:r>
            <w:fldChar w:fldCharType="separate"/>
          </w:r>
          <w:r>
            <w:rPr>
              <w:rStyle w:val="20"/>
            </w:rPr>
            <w:t>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系统总体设计</w:t>
          </w:r>
          <w:r>
            <w:tab/>
          </w:r>
          <w:r>
            <w:fldChar w:fldCharType="begin"/>
          </w:r>
          <w:r>
            <w:instrText xml:space="preserve"> PAGEREF _Toc41778603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"_Toc41778604" </w:instrText>
          </w:r>
          <w:r>
            <w:fldChar w:fldCharType="separate"/>
          </w:r>
          <w:r>
            <w:rPr>
              <w:rStyle w:val="20"/>
            </w:rPr>
            <w:t>2.1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系统架构</w:t>
          </w:r>
          <w:r>
            <w:tab/>
          </w:r>
          <w:r>
            <w:fldChar w:fldCharType="begin"/>
          </w:r>
          <w:r>
            <w:instrText xml:space="preserve"> PAGEREF _Toc41778604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"_Toc41778605" </w:instrText>
          </w:r>
          <w:r>
            <w:fldChar w:fldCharType="separate"/>
          </w:r>
          <w:r>
            <w:rPr>
              <w:rStyle w:val="20"/>
            </w:rPr>
            <w:t>2.2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功能模块划分</w:t>
          </w:r>
          <w:r>
            <w:tab/>
          </w:r>
          <w:r>
            <w:fldChar w:fldCharType="begin"/>
          </w:r>
          <w:r>
            <w:instrText xml:space="preserve"> PAGEREF _Toc41778605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"_Toc41778606" </w:instrText>
          </w:r>
          <w:r>
            <w:fldChar w:fldCharType="separate"/>
          </w:r>
          <w:r>
            <w:rPr>
              <w:rStyle w:val="20"/>
            </w:rPr>
            <w:t>2.3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_Toc41778606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"_Toc41778607" </w:instrText>
          </w:r>
          <w:r>
            <w:fldChar w:fldCharType="separate"/>
          </w:r>
          <w:r>
            <w:rPr>
              <w:rStyle w:val="20"/>
            </w:rPr>
            <w:t>2.4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用户角色</w:t>
          </w:r>
          <w:r>
            <w:tab/>
          </w:r>
          <w:r>
            <w:fldChar w:fldCharType="begin"/>
          </w:r>
          <w:r>
            <w:instrText xml:space="preserve"> PAGEREF _Toc41778607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"_Toc41778608" </w:instrText>
          </w:r>
          <w:r>
            <w:fldChar w:fldCharType="separate"/>
          </w:r>
          <w:r>
            <w:rPr>
              <w:rStyle w:val="20"/>
            </w:rPr>
            <w:t>2.5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软件环境</w:t>
          </w:r>
          <w:r>
            <w:tab/>
          </w:r>
          <w:r>
            <w:fldChar w:fldCharType="begin"/>
          </w:r>
          <w:r>
            <w:instrText xml:space="preserve"> PAGEREF _Toc41778608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"_Toc41778609" </w:instrText>
          </w:r>
          <w:r>
            <w:fldChar w:fldCharType="separate"/>
          </w:r>
          <w:r>
            <w:rPr>
              <w:rStyle w:val="20"/>
            </w:rPr>
            <w:t>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功能设计</w:t>
          </w:r>
          <w:r>
            <w:tab/>
          </w:r>
          <w:r>
            <w:fldChar w:fldCharType="begin"/>
          </w:r>
          <w:r>
            <w:instrText xml:space="preserve"> PAGEREF _Toc41778609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"_Toc41778610" </w:instrText>
          </w:r>
          <w:r>
            <w:fldChar w:fldCharType="separate"/>
          </w:r>
          <w:r>
            <w:rPr>
              <w:rStyle w:val="20"/>
            </w:rPr>
            <w:t>3.1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视频监控模块</w:t>
          </w:r>
          <w:r>
            <w:tab/>
          </w:r>
          <w:r>
            <w:fldChar w:fldCharType="begin"/>
          </w:r>
          <w:r>
            <w:instrText xml:space="preserve"> PAGEREF _Toc41778610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"_Toc41778611" </w:instrText>
          </w:r>
          <w:r>
            <w:fldChar w:fldCharType="separate"/>
          </w:r>
          <w:r>
            <w:rPr>
              <w:rStyle w:val="20"/>
            </w:rPr>
            <w:t>3.2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温湿度监控模块</w:t>
          </w:r>
          <w:r>
            <w:tab/>
          </w:r>
          <w:r>
            <w:fldChar w:fldCharType="begin"/>
          </w:r>
          <w:r>
            <w:instrText xml:space="preserve"> PAGEREF _Toc41778611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"_Toc41778612" </w:instrText>
          </w:r>
          <w:r>
            <w:fldChar w:fldCharType="separate"/>
          </w:r>
          <w:r>
            <w:rPr>
              <w:rStyle w:val="20"/>
            </w:rPr>
            <w:t>3.3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用户模块</w:t>
          </w:r>
          <w:r>
            <w:tab/>
          </w:r>
          <w:r>
            <w:fldChar w:fldCharType="begin"/>
          </w:r>
          <w:r>
            <w:instrText xml:space="preserve"> PAGEREF _Toc41778612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"_Toc41778613" </w:instrText>
          </w:r>
          <w:r>
            <w:fldChar w:fldCharType="separate"/>
          </w:r>
          <w:r>
            <w:rPr>
              <w:rStyle w:val="20"/>
            </w:rPr>
            <w:t>3.4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提醒模块</w:t>
          </w:r>
          <w:r>
            <w:tab/>
          </w:r>
          <w:r>
            <w:fldChar w:fldCharType="begin"/>
          </w:r>
          <w:r>
            <w:instrText xml:space="preserve"> PAGEREF _Toc41778613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"_Toc41778614" </w:instrText>
          </w:r>
          <w:r>
            <w:fldChar w:fldCharType="separate"/>
          </w:r>
          <w:r>
            <w:rPr>
              <w:rStyle w:val="20"/>
            </w:rPr>
            <w:t>3.5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扩展模块</w:t>
          </w:r>
          <w:r>
            <w:tab/>
          </w:r>
          <w:r>
            <w:fldChar w:fldCharType="begin"/>
          </w:r>
          <w:r>
            <w:instrText xml:space="preserve"> PAGEREF _Toc41778614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"_Toc41778615" </w:instrText>
          </w:r>
          <w:r>
            <w:fldChar w:fldCharType="separate"/>
          </w:r>
          <w:r>
            <w:rPr>
              <w:rStyle w:val="20"/>
            </w:rPr>
            <w:t>3.6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功能接口</w:t>
          </w:r>
          <w:r>
            <w:tab/>
          </w:r>
          <w:r>
            <w:fldChar w:fldCharType="begin"/>
          </w:r>
          <w:r>
            <w:instrText xml:space="preserve"> PAGEREF _Toc41778615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63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"_Toc41778616" </w:instrText>
          </w:r>
          <w:r>
            <w:fldChar w:fldCharType="separate"/>
          </w:r>
          <w:r>
            <w:rPr>
              <w:rStyle w:val="20"/>
            </w:rPr>
            <w:t>4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_Toc41778616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"_Toc41778617" </w:instrText>
          </w:r>
          <w:r>
            <w:fldChar w:fldCharType="separate"/>
          </w:r>
          <w:r>
            <w:rPr>
              <w:rStyle w:val="20"/>
            </w:rPr>
            <w:t>4.1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数据表设计</w:t>
          </w:r>
          <w:r>
            <w:tab/>
          </w:r>
          <w:r>
            <w:fldChar w:fldCharType="begin"/>
          </w:r>
          <w:r>
            <w:instrText xml:space="preserve"> PAGEREF _Toc41778617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050"/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"_Toc41778618" </w:instrText>
          </w:r>
          <w:r>
            <w:fldChar w:fldCharType="separate"/>
          </w:r>
          <w:r>
            <w:rPr>
              <w:rStyle w:val="20"/>
            </w:rPr>
            <w:t>4.2</w:t>
          </w:r>
          <w:r>
            <w:rPr>
              <w:rFonts w:cstheme="minorBidi"/>
              <w:kern w:val="2"/>
              <w:sz w:val="21"/>
            </w:rPr>
            <w:tab/>
          </w:r>
          <w:r>
            <w:rPr>
              <w:rStyle w:val="20"/>
            </w:rPr>
            <w:t>数据库UML图</w:t>
          </w:r>
          <w:r>
            <w:tab/>
          </w:r>
          <w:r>
            <w:fldChar w:fldCharType="begin"/>
          </w:r>
          <w:r>
            <w:instrText xml:space="preserve"> PAGEREF _Toc41778618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>
      <w:pPr>
        <w:pStyle w:val="28"/>
      </w:pPr>
      <w:bookmarkStart w:id="2" w:name="_Toc41778599"/>
      <w:r>
        <w:t>引言</w:t>
      </w:r>
      <w:bookmarkEnd w:id="2"/>
    </w:p>
    <w:bookmarkEnd w:id="1"/>
    <w:p>
      <w:pPr>
        <w:pStyle w:val="29"/>
      </w:pPr>
      <w:bookmarkStart w:id="3" w:name="_Toc41778600"/>
      <w:bookmarkStart w:id="4" w:name="_Hlk41687282"/>
      <w:bookmarkStart w:id="5" w:name="_Hlk41686052"/>
      <w:r>
        <w:rPr>
          <w:rFonts w:hint="eastAsia"/>
        </w:rPr>
        <w:t>项目背景</w:t>
      </w:r>
      <w:bookmarkEnd w:id="3"/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宿舍是大学生生活和学习的重要场所之一，为了帮助学生在本地和远程了解宿舍特定区域情况，起到威胁、监督、取证和管理大学生宿舍的作用，项目组开发了一套基于W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的智能宿舍监控系统，帮助学校更好的进行宿舍管理，保障同学们的生命财产安全。</w:t>
      </w:r>
    </w:p>
    <w:bookmarkEnd w:id="4"/>
    <w:p>
      <w:pPr>
        <w:pStyle w:val="29"/>
      </w:pPr>
      <w:bookmarkStart w:id="6" w:name="_Toc41778601"/>
      <w:r>
        <w:rPr>
          <w:rFonts w:hint="eastAsia"/>
        </w:rPr>
        <w:t>方案路线</w:t>
      </w:r>
      <w:bookmarkEnd w:id="6"/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</w:t>
      </w:r>
      <w:r>
        <w:rPr>
          <w:rFonts w:ascii="宋体" w:hAnsi="宋体" w:eastAsia="宋体"/>
          <w:sz w:val="24"/>
          <w:szCs w:val="24"/>
        </w:rPr>
        <w:t>atch D</w:t>
      </w:r>
      <w:r>
        <w:rPr>
          <w:rFonts w:hint="eastAsia" w:ascii="宋体" w:hAnsi="宋体" w:eastAsia="宋体"/>
          <w:sz w:val="24"/>
          <w:szCs w:val="24"/>
        </w:rPr>
        <w:t>og智能宿舍系统由三大部分组成。首先是基础硬件设施，包括树莓派和传感器；其次是云端服务，用于托管传感器数据和运行数据库；最后是W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服务器，用来运行服务端、处理请求和数据。</w:t>
      </w:r>
    </w:p>
    <w:p>
      <w:pPr>
        <w:pStyle w:val="30"/>
      </w:pPr>
      <w:r>
        <w:rPr>
          <w:rFonts w:hint="eastAsia"/>
        </w:rPr>
        <w:t>基础硬件设施</w:t>
      </w:r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使用树莓派4</w:t>
      </w:r>
      <w:r>
        <w:rPr>
          <w:rFonts w:ascii="宋体" w:hAnsi="宋体" w:eastAsia="宋体"/>
          <w:sz w:val="24"/>
          <w:szCs w:val="24"/>
        </w:rPr>
        <w:t>B</w:t>
      </w:r>
      <w:r>
        <w:rPr>
          <w:rFonts w:hint="eastAsia" w:ascii="宋体" w:hAnsi="宋体" w:eastAsia="宋体"/>
          <w:sz w:val="24"/>
          <w:szCs w:val="24"/>
        </w:rPr>
        <w:t>+及其配套的视频传感器、温度传感器和湿度传感器等作为数据来源。</w:t>
      </w:r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视频数据通过image</w:t>
      </w:r>
      <w:r>
        <w:rPr>
          <w:rFonts w:ascii="宋体" w:hAnsi="宋体" w:eastAsia="宋体"/>
          <w:sz w:val="24"/>
          <w:szCs w:val="24"/>
        </w:rPr>
        <w:t>ZMQ</w:t>
      </w:r>
      <w:r>
        <w:rPr>
          <w:rFonts w:hint="eastAsia" w:ascii="宋体" w:hAnsi="宋体" w:eastAsia="宋体"/>
          <w:sz w:val="24"/>
          <w:szCs w:val="24"/>
        </w:rPr>
        <w:t>开源库进行处理和传输；离散的数字数据通过IoT平台订阅，服务器再通过A</w:t>
      </w:r>
      <w:r>
        <w:rPr>
          <w:rFonts w:ascii="宋体" w:hAnsi="宋体" w:eastAsia="宋体"/>
          <w:sz w:val="24"/>
          <w:szCs w:val="24"/>
        </w:rPr>
        <w:t>MQP SDK</w:t>
      </w:r>
      <w:r>
        <w:rPr>
          <w:rFonts w:hint="eastAsia" w:ascii="宋体" w:hAnsi="宋体" w:eastAsia="宋体"/>
          <w:sz w:val="24"/>
          <w:szCs w:val="24"/>
        </w:rPr>
        <w:t>和Aliyuncore工具包获取消息队列中的数据。后期可以增加传感器，托管至</w:t>
      </w:r>
      <w:r>
        <w:rPr>
          <w:rFonts w:ascii="宋体" w:hAnsi="宋体" w:eastAsia="宋体"/>
          <w:sz w:val="24"/>
          <w:szCs w:val="24"/>
        </w:rPr>
        <w:t>I</w:t>
      </w:r>
      <w:r>
        <w:rPr>
          <w:rFonts w:hint="eastAsia" w:ascii="宋体" w:hAnsi="宋体" w:eastAsia="宋体"/>
          <w:sz w:val="24"/>
          <w:szCs w:val="24"/>
        </w:rPr>
        <w:t>o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平台来实现更多功能。</w:t>
      </w:r>
    </w:p>
    <w:p>
      <w:pPr>
        <w:pStyle w:val="30"/>
      </w:pPr>
      <w:r>
        <w:rPr>
          <w:rFonts w:hint="eastAsia"/>
        </w:rPr>
        <w:t>云端服务</w:t>
      </w:r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项目使用的云端服务包括阿里云E</w:t>
      </w:r>
      <w:r>
        <w:rPr>
          <w:rFonts w:ascii="宋体" w:hAnsi="宋体" w:eastAsia="宋体"/>
          <w:sz w:val="24"/>
          <w:szCs w:val="24"/>
        </w:rPr>
        <w:t>CS</w:t>
      </w:r>
      <w:r>
        <w:rPr>
          <w:rFonts w:hint="eastAsia" w:ascii="宋体" w:hAnsi="宋体" w:eastAsia="宋体"/>
          <w:sz w:val="24"/>
          <w:szCs w:val="24"/>
        </w:rPr>
        <w:t>、阿里云Io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平台和阿里云R</w:t>
      </w:r>
      <w:r>
        <w:rPr>
          <w:rFonts w:ascii="宋体" w:hAnsi="宋体" w:eastAsia="宋体"/>
          <w:sz w:val="24"/>
          <w:szCs w:val="24"/>
        </w:rPr>
        <w:t>DS</w:t>
      </w:r>
      <w:r>
        <w:rPr>
          <w:rFonts w:hint="eastAsia" w:ascii="宋体" w:hAnsi="宋体" w:eastAsia="宋体"/>
          <w:sz w:val="24"/>
          <w:szCs w:val="24"/>
        </w:rPr>
        <w:t>数据库。</w:t>
      </w:r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其中E</w:t>
      </w:r>
      <w:r>
        <w:rPr>
          <w:rFonts w:ascii="宋体" w:hAnsi="宋体" w:eastAsia="宋体"/>
          <w:sz w:val="24"/>
          <w:szCs w:val="24"/>
        </w:rPr>
        <w:t>CS</w:t>
      </w:r>
      <w:r>
        <w:rPr>
          <w:rFonts w:hint="eastAsia" w:ascii="宋体" w:hAnsi="宋体" w:eastAsia="宋体"/>
          <w:sz w:val="24"/>
          <w:szCs w:val="24"/>
        </w:rPr>
        <w:t>作为W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服务器和数据订阅服务器，用来运行Flask</w:t>
      </w:r>
      <w:r>
        <w:rPr>
          <w:rFonts w:ascii="宋体" w:hAnsi="宋体" w:eastAsia="宋体"/>
          <w:sz w:val="24"/>
          <w:szCs w:val="24"/>
        </w:rPr>
        <w:t xml:space="preserve"> Web</w:t>
      </w:r>
      <w:r>
        <w:rPr>
          <w:rFonts w:hint="eastAsia" w:ascii="宋体" w:hAnsi="宋体" w:eastAsia="宋体"/>
          <w:sz w:val="24"/>
          <w:szCs w:val="24"/>
        </w:rPr>
        <w:t>应用和获取平台数据存入数据库；云IoT平台则进行传感器数据的集中管理和订阅分发；云数据库则作为数据池，接收传感器数据并供Web服务端调用，同时也存储了用户数据等W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端运行时需要的数据内容。</w:t>
      </w:r>
    </w:p>
    <w:p>
      <w:pPr>
        <w:pStyle w:val="30"/>
      </w:pPr>
      <w:r>
        <w:rPr>
          <w:rFonts w:hint="eastAsia"/>
        </w:rPr>
        <w:t>W</w:t>
      </w:r>
      <w:r>
        <w:t>eb</w:t>
      </w:r>
      <w:r>
        <w:rPr>
          <w:rFonts w:hint="eastAsia"/>
        </w:rPr>
        <w:t>服务器</w:t>
      </w:r>
    </w:p>
    <w:p>
      <w:pPr>
        <w:ind w:firstLine="372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后端使用Flask框架，应用服务以Restful形式暴露H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接口，使服务与服务间松耦合、可编排，并使</w:t>
      </w:r>
      <w:r>
        <w:rPr>
          <w:rFonts w:ascii="宋体" w:hAnsi="宋体" w:eastAsia="宋体"/>
          <w:sz w:val="24"/>
          <w:szCs w:val="24"/>
        </w:rPr>
        <w:t>用HTTP动词和URL提供统一的接口</w:t>
      </w:r>
      <w:r>
        <w:rPr>
          <w:rFonts w:hint="eastAsia" w:ascii="宋体" w:hAnsi="宋体" w:eastAsia="宋体"/>
          <w:sz w:val="24"/>
          <w:szCs w:val="24"/>
        </w:rPr>
        <w:t>，便于组内前后端联合开发</w:t>
      </w:r>
      <w:r>
        <w:rPr>
          <w:rFonts w:ascii="宋体" w:hAnsi="宋体" w:eastAsia="宋体"/>
          <w:sz w:val="24"/>
          <w:szCs w:val="24"/>
        </w:rPr>
        <w:t>。服务内高聚合，专注单个服务的开发；服务间松耦合，通过依赖调用其他服务。服务模块化使系统具有良好的拓展性、重构性和易维护性。</w:t>
      </w:r>
    </w:p>
    <w:p>
      <w:pPr>
        <w:pStyle w:val="29"/>
      </w:pPr>
      <w:bookmarkStart w:id="7" w:name="_Toc41778602"/>
      <w:r>
        <w:rPr>
          <w:rFonts w:hint="eastAsia"/>
        </w:rPr>
        <w:t>参考资料</w:t>
      </w:r>
      <w:bookmarkEnd w:id="7"/>
    </w:p>
    <w:p>
      <w:pPr>
        <w:pStyle w:val="24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国家标准《软件需求说明书（GB8567——88）》</w:t>
      </w:r>
    </w:p>
    <w:p>
      <w:pPr>
        <w:pStyle w:val="24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fldChar w:fldCharType="begin"/>
      </w:r>
      <w:r>
        <w:instrText xml:space="preserve"> HYPERLINK "http://docs.jinkan.org/docs/flask/" </w:instrText>
      </w:r>
      <w:r>
        <w:fldChar w:fldCharType="separate"/>
      </w:r>
      <w:r>
        <w:rPr>
          <w:rStyle w:val="20"/>
          <w:rFonts w:ascii="宋体" w:hAnsi="宋体" w:eastAsia="宋体"/>
          <w:sz w:val="24"/>
          <w:szCs w:val="24"/>
        </w:rPr>
        <w:t>http://docs.jinkan.org/docs/flask/</w:t>
      </w:r>
      <w:r>
        <w:rPr>
          <w:rStyle w:val="20"/>
          <w:rFonts w:ascii="宋体" w:hAnsi="宋体" w:eastAsia="宋体"/>
          <w:sz w:val="24"/>
          <w:szCs w:val="24"/>
        </w:rPr>
        <w:fldChar w:fldCharType="end"/>
      </w:r>
    </w:p>
    <w:p>
      <w:pPr>
        <w:pStyle w:val="24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fldChar w:fldCharType="begin"/>
      </w:r>
      <w:r>
        <w:instrText xml:space="preserve"> HYPERLINK "https://flask-cors.readthedocs.io/en/latest/" </w:instrText>
      </w:r>
      <w:r>
        <w:fldChar w:fldCharType="separate"/>
      </w:r>
      <w:r>
        <w:rPr>
          <w:rStyle w:val="20"/>
          <w:rFonts w:ascii="宋体" w:hAnsi="宋体" w:eastAsia="宋体"/>
          <w:sz w:val="24"/>
          <w:szCs w:val="24"/>
        </w:rPr>
        <w:t>https://flask-cors.readthedocs.io/en/latest/</w:t>
      </w:r>
      <w:r>
        <w:rPr>
          <w:rStyle w:val="20"/>
          <w:rFonts w:ascii="宋体" w:hAnsi="宋体" w:eastAsia="宋体"/>
          <w:sz w:val="24"/>
          <w:szCs w:val="24"/>
        </w:rPr>
        <w:fldChar w:fldCharType="end"/>
      </w:r>
    </w:p>
    <w:p>
      <w:pPr>
        <w:pStyle w:val="24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fldChar w:fldCharType="begin"/>
      </w:r>
      <w:r>
        <w:instrText xml:space="preserve"> HYPERLINK "https://answers.opencv.org/question/56779/detect-open-door-with-traincascade/" </w:instrText>
      </w:r>
      <w:r>
        <w:fldChar w:fldCharType="separate"/>
      </w:r>
      <w:r>
        <w:rPr>
          <w:rStyle w:val="20"/>
          <w:rFonts w:ascii="宋体" w:hAnsi="宋体" w:eastAsia="宋体"/>
          <w:sz w:val="24"/>
          <w:szCs w:val="24"/>
        </w:rPr>
        <w:t>https://answers.opencv.org/question/56779/detect-open-door-with-traincascade/</w:t>
      </w:r>
      <w:r>
        <w:rPr>
          <w:rStyle w:val="20"/>
          <w:rFonts w:ascii="宋体" w:hAnsi="宋体" w:eastAsia="宋体"/>
          <w:sz w:val="24"/>
          <w:szCs w:val="24"/>
        </w:rPr>
        <w:fldChar w:fldCharType="end"/>
      </w:r>
    </w:p>
    <w:p>
      <w:pPr>
        <w:pStyle w:val="24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fldChar w:fldCharType="begin"/>
      </w:r>
      <w:r>
        <w:instrText xml:space="preserve"> HYPERLINK "https://www.cnblogs.com/vovlie/p/4182814.html" </w:instrText>
      </w:r>
      <w:r>
        <w:fldChar w:fldCharType="separate"/>
      </w:r>
      <w:r>
        <w:rPr>
          <w:rStyle w:val="20"/>
          <w:rFonts w:ascii="宋体" w:hAnsi="宋体" w:eastAsia="宋体"/>
          <w:sz w:val="24"/>
          <w:szCs w:val="24"/>
        </w:rPr>
        <w:t>https://www.cnblogs.com/vovlie/p/4182814.html</w:t>
      </w:r>
      <w:r>
        <w:rPr>
          <w:rStyle w:val="20"/>
          <w:rFonts w:ascii="宋体" w:hAnsi="宋体" w:eastAsia="宋体"/>
          <w:sz w:val="24"/>
          <w:szCs w:val="24"/>
        </w:rPr>
        <w:fldChar w:fldCharType="end"/>
      </w:r>
    </w:p>
    <w:p>
      <w:pPr>
        <w:pStyle w:val="28"/>
      </w:pPr>
      <w:bookmarkStart w:id="8" w:name="_Toc41778603"/>
      <w:r>
        <w:rPr>
          <w:rFonts w:hint="eastAsia"/>
        </w:rPr>
        <w:t>系统总体设计</w:t>
      </w:r>
      <w:bookmarkEnd w:id="8"/>
    </w:p>
    <w:p>
      <w:pPr>
        <w:pStyle w:val="29"/>
      </w:pPr>
      <w:bookmarkStart w:id="9" w:name="_Toc41778604"/>
      <w:bookmarkStart w:id="10" w:name="_Hlk41686184"/>
      <w:r>
        <w:rPr>
          <w:rFonts w:hint="eastAsia"/>
        </w:rPr>
        <w:t>系统架构</w:t>
      </w:r>
      <w:bookmarkEnd w:id="9"/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整体架构图如图表1所示：</w:t>
      </w:r>
    </w:p>
    <w:p>
      <w:pPr>
        <w:keepNext/>
        <w:ind w:left="420"/>
        <w:jc w:val="center"/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591050" cy="46018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94" b="3239"/>
                    <a:stretch>
                      <a:fillRect/>
                    </a:stretch>
                  </pic:blipFill>
                  <pic:spPr>
                    <a:xfrm>
                      <a:off x="0" y="0"/>
                      <a:ext cx="4693411" cy="470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整体架构图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如图所示，</w:t>
      </w:r>
      <w:r>
        <w:rPr>
          <w:rFonts w:ascii="宋体" w:hAnsi="宋体" w:eastAsia="宋体"/>
          <w:sz w:val="24"/>
          <w:szCs w:val="24"/>
        </w:rPr>
        <w:t>Web服务器从I</w:t>
      </w:r>
      <w:r>
        <w:rPr>
          <w:rFonts w:hint="eastAsia" w:ascii="宋体" w:hAnsi="宋体" w:eastAsia="宋体"/>
          <w:sz w:val="24"/>
          <w:szCs w:val="24"/>
        </w:rPr>
        <w:t>o</w:t>
      </w:r>
      <w:r>
        <w:rPr>
          <w:rFonts w:ascii="宋体" w:hAnsi="宋体" w:eastAsia="宋体"/>
          <w:sz w:val="24"/>
          <w:szCs w:val="24"/>
        </w:rPr>
        <w:t>T平台获取温湿度数据进行处理并存入云端数据库，同时从终端直接获取视频流进行处理。在对这两种数据进行处理的过程中，若出现数据异常则分别向用户发送短信作为提醒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pStyle w:val="29"/>
      </w:pPr>
      <w:bookmarkStart w:id="11" w:name="_Toc41778605"/>
      <w:r>
        <w:rPr>
          <w:rFonts w:hint="eastAsia"/>
        </w:rPr>
        <w:t>功能模块划分</w:t>
      </w:r>
      <w:bookmarkEnd w:id="11"/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系统划分为以下5个模块，如图2所示：</w:t>
      </w:r>
    </w:p>
    <w:p>
      <w:pPr>
        <w:keepNext/>
        <w:ind w:left="420"/>
        <w:jc w:val="center"/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4826000" cy="2622550"/>
            <wp:effectExtent l="0" t="0" r="0" b="4445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>
      <w:pPr>
        <w:pStyle w:val="11"/>
        <w:jc w:val="center"/>
        <w:rPr>
          <w:rFonts w:asciiTheme="minorHAnsi" w:hAnsiTheme="minorHAnsi" w:eastAsiaTheme="minorEastAsia"/>
          <w:sz w:val="21"/>
          <w:szCs w:val="22"/>
        </w:rPr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功能模块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功能设计模块将对这5个模块进行详细设计。</w:t>
      </w:r>
    </w:p>
    <w:p>
      <w:pPr>
        <w:pStyle w:val="29"/>
      </w:pPr>
      <w:bookmarkStart w:id="12" w:name="_Toc41778606"/>
      <w:r>
        <w:rPr>
          <w:rFonts w:hint="eastAsia"/>
        </w:rPr>
        <w:t>业务流程</w:t>
      </w:r>
      <w:bookmarkEnd w:id="12"/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硬件设施：负责实时监控和温湿度检测；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WatchDog系统：负责在异常情况出现时给用户提供警示信息，并帮助用户随时了解宿舍的详细情况</w:t>
      </w:r>
      <w:r>
        <w:rPr>
          <w:rFonts w:hint="eastAsia" w:ascii="宋体" w:hAnsi="宋体" w:eastAsia="宋体"/>
          <w:sz w:val="24"/>
          <w:szCs w:val="24"/>
        </w:rPr>
        <w:t>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Io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平台订阅传感器数据，服务器上的脚本程序从IoT平台获取数据并与警戒值进行判断，该脚本文件包含了提醒模块，可以在异常出现时发送提醒，同时W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服务器从数据库调取数据，再在前端向用户展示，历史传感器数据存放在云数据内，也可按日期调用显示。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视频数据则由树莓派直接传送至W</w:t>
      </w:r>
      <w:r>
        <w:rPr>
          <w:rFonts w:ascii="宋体" w:hAnsi="宋体" w:eastAsia="宋体"/>
          <w:sz w:val="24"/>
          <w:szCs w:val="24"/>
        </w:rPr>
        <w:t>eb</w:t>
      </w:r>
      <w:r>
        <w:rPr>
          <w:rFonts w:hint="eastAsia" w:ascii="宋体" w:hAnsi="宋体" w:eastAsia="宋体"/>
          <w:sz w:val="24"/>
          <w:szCs w:val="24"/>
        </w:rPr>
        <w:t>服务器，再判断、存储、提醒之后，同样逐帧图片的形式向前端传送视频数据。历史视频数据存放在E</w:t>
      </w:r>
      <w:r>
        <w:rPr>
          <w:rFonts w:ascii="宋体" w:hAnsi="宋体" w:eastAsia="宋体"/>
          <w:sz w:val="24"/>
          <w:szCs w:val="24"/>
        </w:rPr>
        <w:t>CS</w:t>
      </w:r>
      <w:r>
        <w:rPr>
          <w:rFonts w:hint="eastAsia" w:ascii="宋体" w:hAnsi="宋体" w:eastAsia="宋体"/>
          <w:sz w:val="24"/>
          <w:szCs w:val="24"/>
        </w:rPr>
        <w:t>服务器本地，也可按日期调用，在前端展示出动态视频。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具体如图3所示：</w:t>
      </w:r>
    </w:p>
    <w:p>
      <w:pPr>
        <w:keepNext/>
        <w:ind w:left="420"/>
        <w:jc w:val="center"/>
      </w:pPr>
      <w:r>
        <w:rPr>
          <w:rFonts w:hint="eastAsia"/>
        </w:rPr>
        <w:drawing>
          <wp:inline distT="0" distB="0" distL="0" distR="0">
            <wp:extent cx="6142990" cy="4610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7668" cy="461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系统流程图</w:t>
      </w:r>
    </w:p>
    <w:p>
      <w:pPr>
        <w:pStyle w:val="29"/>
      </w:pPr>
      <w:bookmarkStart w:id="13" w:name="_Toc41778607"/>
      <w:r>
        <w:rPr>
          <w:rFonts w:hint="eastAsia"/>
        </w:rPr>
        <w:t>用户角色</w:t>
      </w:r>
      <w:bookmarkEnd w:id="13"/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W</w:t>
      </w:r>
      <w:r>
        <w:rPr>
          <w:rFonts w:ascii="宋体" w:hAnsi="宋体" w:eastAsia="宋体"/>
          <w:sz w:val="24"/>
          <w:szCs w:val="24"/>
        </w:rPr>
        <w:t>atch Dog</w:t>
      </w:r>
      <w:r>
        <w:rPr>
          <w:rFonts w:hint="eastAsia" w:ascii="宋体" w:hAnsi="宋体" w:eastAsia="宋体"/>
          <w:sz w:val="24"/>
          <w:szCs w:val="24"/>
        </w:rPr>
        <w:t>系统有两种系统角色：普通用户、系统管理员。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每个用户拥有唯一用户I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，在注册时填写且不可更改。电话号码作为提醒的渠道，在注册时需要按照格式填写。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在对用户所在宿舍完成硬件安装后，系统管理员在Io</w:t>
      </w:r>
      <w:r>
        <w:rPr>
          <w:rFonts w:ascii="宋体" w:hAnsi="宋体" w:eastAsia="宋体"/>
          <w:sz w:val="24"/>
          <w:szCs w:val="24"/>
        </w:rPr>
        <w:t>T</w:t>
      </w:r>
      <w:r>
        <w:rPr>
          <w:rFonts w:hint="eastAsia" w:ascii="宋体" w:hAnsi="宋体" w:eastAsia="宋体"/>
          <w:sz w:val="24"/>
          <w:szCs w:val="24"/>
        </w:rPr>
        <w:t>平台上为该硬件分配唯一I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，普通用户在个人资料页面输入该设备I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进行设备的添加，之后便可获取到该设备（传感器）的数据。</w:t>
      </w:r>
    </w:p>
    <w:p>
      <w:pPr>
        <w:pStyle w:val="29"/>
      </w:pPr>
      <w:bookmarkStart w:id="14" w:name="_Toc41778608"/>
      <w:r>
        <w:rPr>
          <w:rFonts w:hint="eastAsia"/>
        </w:rPr>
        <w:t>软件环境</w:t>
      </w:r>
      <w:bookmarkEnd w:id="14"/>
    </w:p>
    <w:bookmarkEnd w:id="10"/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本系统在云服务器上的C</w:t>
      </w:r>
      <w:r>
        <w:rPr>
          <w:rFonts w:ascii="宋体" w:hAnsi="宋体" w:eastAsia="宋体"/>
          <w:sz w:val="24"/>
          <w:szCs w:val="24"/>
        </w:rPr>
        <w:t>entOS</w:t>
      </w:r>
      <w:r>
        <w:rPr>
          <w:rFonts w:hint="eastAsia" w:ascii="宋体" w:hAnsi="宋体" w:eastAsia="宋体"/>
          <w:sz w:val="24"/>
          <w:szCs w:val="24"/>
        </w:rPr>
        <w:t>系统中部署，使用R</w:t>
      </w:r>
      <w:r>
        <w:rPr>
          <w:rFonts w:ascii="宋体" w:hAnsi="宋体" w:eastAsia="宋体"/>
          <w:sz w:val="24"/>
          <w:szCs w:val="24"/>
        </w:rPr>
        <w:t>DS</w:t>
      </w:r>
      <w:r>
        <w:rPr>
          <w:rFonts w:hint="eastAsia" w:ascii="宋体" w:hAnsi="宋体" w:eastAsia="宋体"/>
          <w:sz w:val="24"/>
          <w:szCs w:val="24"/>
        </w:rPr>
        <w:t>上的MyS</w:t>
      </w:r>
      <w:r>
        <w:rPr>
          <w:rFonts w:ascii="宋体" w:hAnsi="宋体" w:eastAsia="宋体"/>
          <w:sz w:val="24"/>
          <w:szCs w:val="24"/>
        </w:rPr>
        <w:t>QL</w:t>
      </w:r>
      <w:r>
        <w:rPr>
          <w:rFonts w:hint="eastAsia" w:ascii="宋体" w:hAnsi="宋体" w:eastAsia="宋体"/>
          <w:sz w:val="24"/>
          <w:szCs w:val="24"/>
        </w:rPr>
        <w:t>作为数据库，使用</w:t>
      </w:r>
      <w:r>
        <w:rPr>
          <w:rFonts w:ascii="宋体" w:hAnsi="宋体" w:eastAsia="宋体"/>
          <w:sz w:val="24"/>
          <w:szCs w:val="24"/>
        </w:rPr>
        <w:t>Nginx+Gunicorn</w:t>
      </w:r>
      <w:r>
        <w:rPr>
          <w:rFonts w:hint="eastAsia" w:ascii="宋体" w:hAnsi="宋体" w:eastAsia="宋体"/>
          <w:sz w:val="24"/>
          <w:szCs w:val="24"/>
        </w:rPr>
        <w:t>的模式实现反向代理并作为项目的Web服务器。同时在IoT平台上托管传感器。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388485" cy="1835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2803" cy="187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348480" cy="2388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5694" cy="251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服务器开发和部署工作中的软件环境如下表：</w:t>
      </w:r>
    </w:p>
    <w:tbl>
      <w:tblPr>
        <w:tblStyle w:val="39"/>
        <w:tblW w:w="8301" w:type="dxa"/>
        <w:tblInd w:w="1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1413"/>
        <w:gridCol w:w="3118"/>
        <w:gridCol w:w="2499"/>
      </w:tblGrid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127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b/>
                <w:bCs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项目过程</w:t>
            </w:r>
          </w:p>
        </w:tc>
        <w:tc>
          <w:tcPr>
            <w:tcW w:w="1413" w:type="dxa"/>
            <w:tcBorders>
              <w:top w:val="nil"/>
              <w:right w:val="nil"/>
              <w:insideV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操作系统</w:t>
            </w:r>
          </w:p>
        </w:tc>
        <w:tc>
          <w:tcPr>
            <w:tcW w:w="3118" w:type="dxa"/>
            <w:tcBorders>
              <w:top w:val="nil"/>
              <w:right w:val="nil"/>
              <w:insideV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所用工具</w:t>
            </w:r>
          </w:p>
        </w:tc>
        <w:tc>
          <w:tcPr>
            <w:tcW w:w="2499" w:type="dxa"/>
            <w:tcBorders>
              <w:top w:val="nil"/>
              <w:right w:val="nil"/>
              <w:insideV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外部依赖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1271" w:type="dxa"/>
            <w:tcBorders>
              <w:left w:val="nil"/>
              <w:bottom w:val="nil"/>
              <w:insideH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开发过程</w:t>
            </w:r>
          </w:p>
        </w:tc>
        <w:tc>
          <w:tcPr>
            <w:tcW w:w="1413" w:type="dxa"/>
            <w:shd w:val="clear" w:color="auto" w:fill="D9E2F3" w:themeFill="accent1" w:themeFillTint="33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indows10 1909</w:t>
            </w:r>
          </w:p>
        </w:tc>
        <w:tc>
          <w:tcPr>
            <w:tcW w:w="3118" w:type="dxa"/>
            <w:shd w:val="clear" w:color="auto" w:fill="D9E2F3" w:themeFill="accent1" w:themeFillTint="33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Flask1.1.1\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Pycharm2019.3.4\V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SCode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1.45.0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\WebStorm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2019.3.4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\G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itee</w:t>
            </w:r>
          </w:p>
        </w:tc>
        <w:tc>
          <w:tcPr>
            <w:tcW w:w="2499" w:type="dxa"/>
            <w:shd w:val="clear" w:color="auto" w:fill="D9E2F3" w:themeFill="accent1" w:themeFillTint="33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Node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.js 12.8.1</w:t>
            </w:r>
          </w:p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ython 3.8.0</w:t>
            </w:r>
          </w:p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ueX 3.4.0</w:t>
            </w:r>
          </w:p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ue.js 2.6.11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1271" w:type="dxa"/>
            <w:tcBorders>
              <w:left w:val="nil"/>
              <w:bottom w:val="nil"/>
              <w:insideH w:val="nil"/>
            </w:tcBorders>
            <w:shd w:val="clear" w:color="auto" w:fill="FFFFFF" w:themeFill="background1"/>
          </w:tcPr>
          <w:p>
            <w:pPr>
              <w:rPr>
                <w:rFonts w:ascii="宋体" w:hAnsi="宋体" w:eastAsia="宋体"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i/>
                <w:i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部署过程</w:t>
            </w:r>
          </w:p>
        </w:tc>
        <w:tc>
          <w:tcPr>
            <w:tcW w:w="1413" w:type="dxa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entOS 8.0</w:t>
            </w:r>
          </w:p>
        </w:tc>
        <w:tc>
          <w:tcPr>
            <w:tcW w:w="3118" w:type="dxa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N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ginx1.18.0\Gunicorn 20.0.4\Flask 1.1.1</w:t>
            </w:r>
          </w:p>
        </w:tc>
        <w:tc>
          <w:tcPr>
            <w:tcW w:w="2499" w:type="dxa"/>
          </w:tcPr>
          <w:p>
            <w:pP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阿里云R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DS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\阿里云IoT平台\</w:t>
            </w: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AliyunCore SDK</w:t>
            </w:r>
          </w:p>
        </w:tc>
      </w:tr>
      <w:bookmarkEnd w:id="5"/>
    </w:tbl>
    <w:p>
      <w:pPr>
        <w:pStyle w:val="28"/>
      </w:pPr>
      <w:bookmarkStart w:id="15" w:name="_Toc41778609"/>
      <w:bookmarkStart w:id="16" w:name="_Hlk41686569"/>
      <w:r>
        <w:rPr>
          <w:rFonts w:hint="eastAsia"/>
        </w:rPr>
        <w:t>功能设计</w:t>
      </w:r>
      <w:bookmarkEnd w:id="15"/>
    </w:p>
    <w:p>
      <w:pPr>
        <w:pStyle w:val="29"/>
      </w:pPr>
      <w:bookmarkStart w:id="17" w:name="_Toc41778610"/>
      <w:r>
        <w:rPr>
          <w:rFonts w:hint="eastAsia"/>
        </w:rPr>
        <w:t>视频监控模块</w:t>
      </w:r>
      <w:bookmarkEnd w:id="17"/>
    </w:p>
    <w:p>
      <w:pPr>
        <w:pStyle w:val="30"/>
      </w:pPr>
      <w:bookmarkStart w:id="18" w:name="_Hlk41765910"/>
      <w:r>
        <w:rPr>
          <w:rFonts w:hint="eastAsia"/>
        </w:rPr>
        <w:t>功能描述</w:t>
      </w:r>
    </w:p>
    <w:bookmarkEnd w:id="18"/>
    <w:p>
      <w:pPr>
        <w:ind w:firstLine="420"/>
      </w:pPr>
      <w:r>
        <w:rPr>
          <w:rFonts w:hint="eastAsia"/>
        </w:rPr>
        <w:t>该模块向用户提供宿舍的实时视频，并且提供移动监测功能，当检测到人的运动时就会以逐帧图片的形式存储视频，供之后调用查证。结合提醒模块，可以在寝室有人闯入时向用户绑定的电话号码发送提醒短信。</w:t>
      </w:r>
    </w:p>
    <w:p>
      <w:pPr>
        <w:ind w:firstLine="420"/>
      </w:pPr>
      <w:r>
        <w:rPr>
          <w:rFonts w:hint="eastAsia"/>
        </w:rPr>
        <w:t>使用Image</w:t>
      </w:r>
      <w:r>
        <w:t>ZMQ</w:t>
      </w:r>
      <w:r>
        <w:rPr>
          <w:rFonts w:hint="eastAsia"/>
        </w:rPr>
        <w:t>库来实现树莓派和云服务器的视频数据传输。</w:t>
      </w:r>
    </w:p>
    <w:p>
      <w:pPr>
        <w:ind w:firstLine="420"/>
        <w:jc w:val="center"/>
      </w:pPr>
      <w:r>
        <w:drawing>
          <wp:inline distT="0" distB="0" distL="0" distR="0">
            <wp:extent cx="2597150" cy="19469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940" cy="19649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在运动检测方面，使用Flood</w:t>
      </w:r>
      <w:r>
        <w:t>F</w:t>
      </w:r>
      <w:r>
        <w:rPr>
          <w:rFonts w:hint="eastAsia"/>
        </w:rPr>
        <w:t>ill算法，并进行适当的参数调整，实现了对运动物体的监测和框选。</w:t>
      </w:r>
    </w:p>
    <w:p>
      <w:pPr>
        <w:pStyle w:val="30"/>
      </w:pPr>
      <w:r>
        <w:rPr>
          <w:rFonts w:hint="eastAsia"/>
        </w:rPr>
        <w:t>功能建模</w:t>
      </w:r>
    </w:p>
    <w:p>
      <w:pPr>
        <w:ind w:left="420"/>
      </w:pPr>
      <w:r>
        <w:rPr>
          <w:rFonts w:hint="eastAsia"/>
        </w:rPr>
        <w:t>历史视频存储规范如图7所示，使用树状文件结构存储各个用户的历史视频数据：</w:t>
      </w:r>
    </w:p>
    <w:p>
      <w:pPr>
        <w:keepNext/>
        <w:ind w:left="420"/>
        <w:jc w:val="left"/>
      </w:pPr>
      <w:r>
        <w:drawing>
          <wp:inline distT="0" distB="0" distL="0" distR="0">
            <wp:extent cx="5467350" cy="17767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3402" cy="1886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文件结构</w:t>
      </w:r>
    </w:p>
    <w:p>
      <w:pPr>
        <w:ind w:left="420"/>
      </w:pPr>
      <w:r>
        <w:rPr>
          <w:rFonts w:hint="eastAsia"/>
        </w:rPr>
        <w:t>视频模块流程图如图8所示：</w:t>
      </w:r>
    </w:p>
    <w:p>
      <w:pPr>
        <w:keepNext/>
        <w:ind w:firstLine="420"/>
        <w:jc w:val="center"/>
      </w:pPr>
      <w:r>
        <w:drawing>
          <wp:inline distT="0" distB="0" distL="0" distR="0">
            <wp:extent cx="2893060" cy="2768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157" cy="3060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视频模块流程图</w:t>
      </w:r>
    </w:p>
    <w:p>
      <w:pPr>
        <w:pStyle w:val="29"/>
      </w:pPr>
      <w:bookmarkStart w:id="19" w:name="_Toc41778611"/>
      <w:r>
        <w:rPr>
          <w:rFonts w:hint="eastAsia"/>
        </w:rPr>
        <w:t>温湿度监控模块</w:t>
      </w:r>
      <w:bookmarkEnd w:id="19"/>
    </w:p>
    <w:p>
      <w:pPr>
        <w:pStyle w:val="30"/>
      </w:pPr>
      <w:bookmarkStart w:id="20" w:name="_Hlk41775770"/>
      <w:bookmarkStart w:id="21" w:name="_Hlk41766541"/>
      <w:r>
        <w:rPr>
          <w:rFonts w:hint="eastAsia"/>
        </w:rPr>
        <w:t>功能描述</w:t>
      </w:r>
    </w:p>
    <w:bookmarkEnd w:id="20"/>
    <w:p>
      <w:pPr>
        <w:ind w:firstLine="420"/>
      </w:pPr>
      <w:r>
        <w:rPr>
          <w:rFonts w:hint="eastAsia"/>
        </w:rPr>
        <w:t>用户可以通过该模块实时查看寝室温湿度情况，并且给出直观的图表展示以供监测和查询，当温度超过预警值时，该模块应能够结合提醒模块向用户发送提醒短信。</w:t>
      </w:r>
    </w:p>
    <w:p>
      <w:pPr>
        <w:pStyle w:val="30"/>
      </w:pPr>
      <w:r>
        <w:rPr>
          <w:rFonts w:hint="eastAsia"/>
        </w:rPr>
        <w:t>功能建模</w:t>
      </w:r>
    </w:p>
    <w:p>
      <w:pPr>
        <w:ind w:firstLine="420"/>
      </w:pPr>
      <w:r>
        <w:rPr>
          <w:rFonts w:hint="eastAsia"/>
        </w:rPr>
        <w:t>该模块流程图如图9所示：</w:t>
      </w:r>
    </w:p>
    <w:bookmarkEnd w:id="21"/>
    <w:p>
      <w:pPr>
        <w:keepNext/>
        <w:jc w:val="center"/>
      </w:pPr>
      <w:r>
        <w:drawing>
          <wp:inline distT="0" distB="0" distL="0" distR="0">
            <wp:extent cx="2714625" cy="3460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5450" cy="400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传感器模块流程图</w:t>
      </w:r>
    </w:p>
    <w:p>
      <w:pPr>
        <w:ind w:firstLine="420"/>
      </w:pPr>
      <w:r>
        <w:tab/>
      </w:r>
      <w:r>
        <w:rPr>
          <w:rFonts w:hint="eastAsia"/>
        </w:rPr>
        <w:t>硬件使用</w:t>
      </w:r>
      <w:r>
        <w:t>MQTT-TCP协议自定义topic接入</w:t>
      </w:r>
      <w:r>
        <w:rPr>
          <w:rFonts w:hint="eastAsia"/>
        </w:rPr>
        <w:t>Io</w:t>
      </w:r>
      <w:r>
        <w:t>T</w:t>
      </w:r>
      <w:r>
        <w:rPr>
          <w:rFonts w:hint="eastAsia"/>
        </w:rPr>
        <w:t>平台，便于后续获取数据并实现功能。</w:t>
      </w:r>
      <w:r>
        <w:t>Web</w:t>
      </w:r>
      <w:r>
        <w:rPr>
          <w:rFonts w:hint="eastAsia"/>
        </w:rPr>
        <w:t>服务端则使用A</w:t>
      </w:r>
      <w:r>
        <w:t>MQP SDK</w:t>
      </w:r>
      <w:r>
        <w:rPr>
          <w:rFonts w:hint="eastAsia"/>
        </w:rPr>
        <w:t>获取平台数据，便于硬件的统一管理和调配。模块架构图如图10所示：</w:t>
      </w:r>
    </w:p>
    <w:p>
      <w:pPr>
        <w:keepNext/>
        <w:jc w:val="center"/>
      </w:pPr>
      <w:r>
        <w:drawing>
          <wp:inline distT="0" distB="0" distL="0" distR="0">
            <wp:extent cx="4382770" cy="5257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087" cy="5385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>传感器模块架构图</w:t>
      </w:r>
    </w:p>
    <w:p>
      <w:pPr>
        <w:pStyle w:val="29"/>
      </w:pPr>
      <w:bookmarkStart w:id="22" w:name="_Toc41778612"/>
      <w:r>
        <w:rPr>
          <w:rFonts w:hint="eastAsia"/>
        </w:rPr>
        <w:t>用户模块</w:t>
      </w:r>
      <w:bookmarkEnd w:id="22"/>
    </w:p>
    <w:p>
      <w:pPr>
        <w:pStyle w:val="30"/>
      </w:pPr>
      <w:r>
        <w:rPr>
          <w:rFonts w:hint="eastAsia"/>
        </w:rPr>
        <w:t>功能描述</w:t>
      </w:r>
    </w:p>
    <w:p>
      <w:pPr>
        <w:ind w:firstLine="420"/>
      </w:pPr>
      <w:r>
        <w:rPr>
          <w:rFonts w:hint="eastAsia"/>
        </w:rPr>
        <w:t>通过该模块，用户可修改或查看个人资料（地址、电话号码等），登录和注册，向系统添加已有的传感器I</w:t>
      </w:r>
      <w:r>
        <w:t>D</w:t>
      </w:r>
      <w:r>
        <w:rPr>
          <w:rFonts w:hint="eastAsia"/>
        </w:rPr>
        <w:t>来接收传感器数据，该系统同其他模块有一定耦合度，考虑优先实现。</w:t>
      </w:r>
    </w:p>
    <w:p>
      <w:pPr>
        <w:ind w:firstLine="420"/>
      </w:pPr>
      <w:r>
        <w:rPr>
          <w:rFonts w:hint="eastAsia"/>
        </w:rPr>
        <w:t>在用户注册方面，使用</w:t>
      </w:r>
      <w:r>
        <w:t>werkzeug.security</w:t>
      </w:r>
      <w:r>
        <w:rPr>
          <w:rFonts w:hint="eastAsia"/>
        </w:rPr>
        <w:t>库中的加密功能，采用了S</w:t>
      </w:r>
      <w:r>
        <w:t>HA</w:t>
      </w:r>
      <w:r>
        <w:rPr>
          <w:rFonts w:hint="eastAsia"/>
        </w:rPr>
        <w:t>256算法存储密码，避免明文存储，保证用户信息的安全。</w:t>
      </w:r>
    </w:p>
    <w:p>
      <w:pPr>
        <w:ind w:firstLine="420"/>
      </w:pPr>
      <w:r>
        <w:drawing>
          <wp:inline distT="0" distB="0" distL="0" distR="0">
            <wp:extent cx="4949825" cy="2698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872" cy="290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在用户登陆成功后，用户浏览器端建立cookie来存储用户I</w:t>
      </w:r>
      <w:r>
        <w:t>D</w:t>
      </w:r>
      <w:r>
        <w:rPr>
          <w:rFonts w:hint="eastAsia"/>
        </w:rPr>
        <w:t>，在调用其他模块的功能时，提供用户信息，方便其他模块调用；</w:t>
      </w:r>
    </w:p>
    <w:p>
      <w:pPr>
        <w:pStyle w:val="30"/>
      </w:pPr>
      <w:r>
        <w:rPr>
          <w:rFonts w:hint="eastAsia"/>
        </w:rPr>
        <w:t>功能建模</w:t>
      </w:r>
    </w:p>
    <w:p>
      <w:pPr>
        <w:ind w:left="420"/>
      </w:pPr>
      <w:r>
        <w:rPr>
          <w:rFonts w:hint="eastAsia"/>
        </w:rPr>
        <w:t>登陆后使用cookie完成后续用户鉴权，如图8所示：</w:t>
      </w:r>
    </w:p>
    <w:p>
      <w:pPr>
        <w:keepNext/>
        <w:ind w:firstLine="420"/>
        <w:jc w:val="center"/>
      </w:pPr>
      <w:r>
        <w:rPr>
          <w:rFonts w:hint="eastAsia"/>
        </w:rPr>
        <w:drawing>
          <wp:inline distT="0" distB="0" distL="0" distR="0">
            <wp:extent cx="3225800" cy="366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01" cy="36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用户模块流程图</w:t>
      </w:r>
    </w:p>
    <w:p>
      <w:pPr>
        <w:pStyle w:val="29"/>
      </w:pPr>
      <w:bookmarkStart w:id="23" w:name="_Toc41778613"/>
      <w:bookmarkStart w:id="24" w:name="_Hlk41771258"/>
      <w:r>
        <w:rPr>
          <w:rFonts w:hint="eastAsia"/>
        </w:rPr>
        <w:t>提醒模块</w:t>
      </w:r>
      <w:bookmarkEnd w:id="23"/>
    </w:p>
    <w:bookmarkEnd w:id="24"/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该模块通过向各个模块提供接口实现其功能，可以向指定电话号码发送指定内容的短信，如闯入警告和温度警告等，提醒用户注意寝室安全。在后续扩展功能中也可作为日程提醒的媒介使用。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在实现过程中使用了Twilio</w:t>
      </w:r>
      <w:r>
        <w:rPr>
          <w:rFonts w:ascii="宋体" w:hAnsi="宋体" w:eastAsia="宋体"/>
          <w:sz w:val="24"/>
          <w:szCs w:val="24"/>
        </w:rPr>
        <w:t xml:space="preserve"> API</w:t>
      </w:r>
      <w:r>
        <w:rPr>
          <w:rFonts w:hint="eastAsia" w:ascii="宋体" w:hAnsi="宋体" w:eastAsia="宋体"/>
          <w:sz w:val="24"/>
          <w:szCs w:val="24"/>
        </w:rPr>
        <w:t>，按照文档导入S</w:t>
      </w:r>
      <w:r>
        <w:rPr>
          <w:rFonts w:ascii="宋体" w:hAnsi="宋体" w:eastAsia="宋体"/>
          <w:sz w:val="24"/>
          <w:szCs w:val="24"/>
        </w:rPr>
        <w:t>DK</w:t>
      </w:r>
      <w:r>
        <w:rPr>
          <w:rFonts w:hint="eastAsia" w:ascii="宋体" w:hAnsi="宋体" w:eastAsia="宋体"/>
          <w:sz w:val="24"/>
          <w:szCs w:val="24"/>
        </w:rPr>
        <w:t>按照要求进行请求即可发送提醒信息。</w:t>
      </w:r>
    </w:p>
    <w:p>
      <w:pPr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drawing>
          <wp:inline distT="0" distB="0" distL="0" distR="0">
            <wp:extent cx="5172075" cy="2197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67" cy="22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为了配合该模块的使用，获取到异常数据后，都需要查询设备列表获得用户I</w:t>
      </w:r>
      <w:r>
        <w:rPr>
          <w:rFonts w:ascii="宋体" w:hAnsi="宋体" w:eastAsia="宋体"/>
          <w:sz w:val="24"/>
          <w:szCs w:val="24"/>
        </w:rPr>
        <w:t>D</w:t>
      </w:r>
      <w:r>
        <w:rPr>
          <w:rFonts w:hint="eastAsia" w:ascii="宋体" w:hAnsi="宋体" w:eastAsia="宋体"/>
          <w:sz w:val="24"/>
          <w:szCs w:val="24"/>
        </w:rPr>
        <w:t>，进而获得用户手机号。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为了避免短时间的重复高频发送，在程序实现时，设定了1分钟的间隔时间。</w:t>
      </w:r>
    </w:p>
    <w:p>
      <w:pPr>
        <w:pStyle w:val="29"/>
      </w:pPr>
      <w:bookmarkStart w:id="25" w:name="_Toc41778614"/>
      <w:r>
        <w:rPr>
          <w:rFonts w:hint="eastAsia"/>
        </w:rPr>
        <w:t>扩展模块</w:t>
      </w:r>
      <w:bookmarkEnd w:id="25"/>
    </w:p>
    <w:p>
      <w:pPr>
        <w:pStyle w:val="30"/>
      </w:pPr>
      <w:bookmarkStart w:id="26" w:name="_Hlk41777369"/>
      <w:r>
        <w:rPr>
          <w:rFonts w:hint="eastAsia"/>
        </w:rPr>
        <w:t>功能描述</w:t>
      </w:r>
    </w:p>
    <w:bookmarkEnd w:id="26"/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该模块包含了后续可以进行扩展的功能，经组内评估，可以与现有模块较好对接以实现其功能。</w:t>
      </w:r>
    </w:p>
    <w:p>
      <w:pPr>
        <w:pStyle w:val="30"/>
      </w:pPr>
      <w:r>
        <w:rPr>
          <w:rFonts w:hint="eastAsia"/>
        </w:rPr>
        <w:t>功能建模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部署每课A</w:t>
      </w:r>
      <w:r>
        <w:rPr>
          <w:rFonts w:ascii="宋体" w:hAnsi="宋体" w:eastAsia="宋体"/>
          <w:sz w:val="24"/>
          <w:szCs w:val="24"/>
        </w:rPr>
        <w:t xml:space="preserve">PI </w:t>
      </w:r>
      <w:r>
        <w:rPr>
          <w:rFonts w:hint="eastAsia" w:ascii="宋体" w:hAnsi="宋体" w:eastAsia="宋体"/>
          <w:sz w:val="24"/>
          <w:szCs w:val="24"/>
        </w:rPr>
        <w:t>server</w:t>
      </w:r>
      <w:r>
        <w:rPr>
          <w:rFonts w:ascii="宋体" w:hAnsi="宋体" w:eastAsia="宋体"/>
          <w:sz w:val="24"/>
          <w:szCs w:val="24"/>
        </w:rPr>
        <w:t xml:space="preserve"> V</w:t>
      </w:r>
      <w:r>
        <w:rPr>
          <w:rFonts w:hint="eastAsia" w:ascii="宋体" w:hAnsi="宋体" w:eastAsia="宋体"/>
          <w:sz w:val="24"/>
          <w:szCs w:val="24"/>
        </w:rPr>
        <w:t>0.4.1获取课表日程进行提醒，也可自行设置提醒时间，如图9所示：</w:t>
      </w:r>
    </w:p>
    <w:p>
      <w:pPr>
        <w:keepNext/>
        <w:ind w:firstLine="420"/>
        <w:jc w:val="center"/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466590" cy="31089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6854" cy="312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/>
          <w:sz w:val="24"/>
          <w:szCs w:val="24"/>
        </w:rPr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日程提醒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离线下载功能作为附加功能且有较为完备的部署工具，使用D</w:t>
      </w:r>
      <w:r>
        <w:rPr>
          <w:rFonts w:ascii="宋体" w:hAnsi="宋体" w:eastAsia="宋体"/>
          <w:sz w:val="24"/>
          <w:szCs w:val="24"/>
        </w:rPr>
        <w:t>ocker</w:t>
      </w:r>
      <w:r>
        <w:rPr>
          <w:rFonts w:hint="eastAsia" w:ascii="宋体" w:hAnsi="宋体" w:eastAsia="宋体"/>
          <w:sz w:val="24"/>
          <w:szCs w:val="24"/>
        </w:rPr>
        <w:t>部署较为简单，可以考虑独立于当前Web端提供服务，图10为部署之后的效果图：</w:t>
      </w:r>
    </w:p>
    <w:p>
      <w:pPr>
        <w:keepNext/>
        <w:ind w:firstLine="420"/>
        <w:jc w:val="center"/>
      </w:pPr>
      <w:r>
        <w:drawing>
          <wp:inline distT="0" distB="0" distL="0" distR="0">
            <wp:extent cx="5168900" cy="1943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l="1083" t="15056" r="915" b="3009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943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/>
          <w:sz w:val="24"/>
          <w:szCs w:val="24"/>
        </w:rPr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10</w:t>
      </w:r>
      <w:r>
        <w:fldChar w:fldCharType="end"/>
      </w:r>
      <w:r>
        <w:t xml:space="preserve"> AriaNG</w:t>
      </w:r>
      <w:r>
        <w:rPr>
          <w:rFonts w:hint="eastAsia"/>
        </w:rPr>
        <w:t>效果图</w:t>
      </w:r>
    </w:p>
    <w:p>
      <w:pPr>
        <w:pStyle w:val="29"/>
      </w:pPr>
      <w:bookmarkStart w:id="27" w:name="_Toc41778615"/>
      <w:r>
        <w:rPr>
          <w:rFonts w:hint="eastAsia"/>
        </w:rPr>
        <w:t>功能接口</w:t>
      </w:r>
      <w:bookmarkEnd w:id="27"/>
    </w:p>
    <w:p>
      <w:pPr>
        <w:ind w:left="420"/>
      </w:pPr>
      <w:r>
        <w:rPr>
          <w:rFonts w:hint="eastAsia"/>
        </w:rPr>
        <w:t>后端提供接口及其功能如下表：</w:t>
      </w:r>
    </w:p>
    <w:tbl>
      <w:tblPr>
        <w:tblStyle w:val="43"/>
        <w:tblW w:w="0" w:type="auto"/>
        <w:tblInd w:w="0" w:type="dxa"/>
        <w:tblBorders>
          <w:top w:val="single" w:color="8EAADB" w:themeColor="accent1" w:themeTint="99" w:sz="4" w:space="0"/>
          <w:left w:val="single" w:color="8EAADB" w:themeColor="accent1" w:themeTint="99" w:sz="4" w:space="0"/>
          <w:bottom w:val="single" w:color="8EAADB" w:themeColor="accent1" w:themeTint="99" w:sz="4" w:space="0"/>
          <w:right w:val="single" w:color="8EAADB" w:themeColor="accent1" w:themeTint="99" w:sz="4" w:space="0"/>
          <w:insideH w:val="single" w:color="8EAADB" w:themeColor="accent1" w:themeTint="99" w:sz="4" w:space="0"/>
          <w:insideV w:val="single" w:color="8EAADB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tcBorders>
              <w:top w:val="single" w:color="4472C4" w:themeColor="accent1" w:sz="4" w:space="0"/>
              <w:left w:val="single" w:color="4472C4" w:themeColor="accent1" w:sz="4" w:space="0"/>
              <w:bottom w:val="single" w:color="4472C4" w:themeColor="accent1" w:sz="4" w:space="0"/>
              <w:right w:val="nil"/>
              <w:insideH w:val="single" w:sz="4" w:space="0"/>
              <w:insideV w:val="nil"/>
            </w:tcBorders>
            <w:shd w:val="clear" w:color="auto" w:fill="4472C4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接口</w:t>
            </w:r>
          </w:p>
        </w:tc>
        <w:tc>
          <w:tcPr>
            <w:tcW w:w="4148" w:type="dxa"/>
            <w:tcBorders>
              <w:top w:val="single" w:color="4472C4" w:themeColor="accent1" w:sz="4" w:space="0"/>
              <w:bottom w:val="single" w:color="4472C4" w:themeColor="accent1" w:sz="4" w:space="0"/>
              <w:right w:val="single" w:color="4472C4" w:themeColor="accent1" w:sz="4" w:space="0"/>
              <w:insideH w:val="single" w:sz="4" w:space="0"/>
              <w:insideV w:val="nil"/>
            </w:tcBorders>
            <w:shd w:val="clear" w:color="auto" w:fill="4472C4" w:themeFill="accent1"/>
          </w:tcPr>
          <w:p>
            <w:pP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功能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  <w:shd w:val="clear" w:color="auto" w:fill="D9E2F3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api/video</w:t>
            </w:r>
          </w:p>
        </w:tc>
        <w:tc>
          <w:tcPr>
            <w:tcW w:w="4148" w:type="dxa"/>
            <w:shd w:val="clear" w:color="auto" w:fill="D9E2F3" w:themeFill="accent1" w:themeFillTint="33"/>
          </w:tcPr>
          <w:p>
            <w:r>
              <w:rPr>
                <w:rFonts w:hint="eastAsia"/>
              </w:rPr>
              <w:t>提供实时视频数据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api/video_save_data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存储视频文件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  <w:shd w:val="clear" w:color="auto" w:fill="D9E2F3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api/video_record</w:t>
            </w:r>
          </w:p>
        </w:tc>
        <w:tc>
          <w:tcPr>
            <w:tcW w:w="4148" w:type="dxa"/>
            <w:shd w:val="clear" w:color="auto" w:fill="D9E2F3" w:themeFill="accent1" w:themeFillTint="33"/>
          </w:tcPr>
          <w:p>
            <w:r>
              <w:rPr>
                <w:rFonts w:hint="eastAsia"/>
              </w:rPr>
              <w:t>视频记录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api/login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用户登录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  <w:shd w:val="clear" w:color="auto" w:fill="D9E2F3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api/register</w:t>
            </w:r>
          </w:p>
        </w:tc>
        <w:tc>
          <w:tcPr>
            <w:tcW w:w="4148" w:type="dxa"/>
            <w:shd w:val="clear" w:color="auto" w:fill="D9E2F3" w:themeFill="accent1" w:themeFillTint="33"/>
          </w:tcPr>
          <w:p>
            <w:r>
              <w:rPr>
                <w:rFonts w:hint="eastAsia"/>
              </w:rPr>
              <w:t>用户注册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api/profile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查看、修改个人数据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  <w:shd w:val="clear" w:color="auto" w:fill="D9E2F3" w:themeFill="accent1" w:themeFillTint="33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api/sensor</w:t>
            </w:r>
          </w:p>
        </w:tc>
        <w:tc>
          <w:tcPr>
            <w:tcW w:w="4148" w:type="dxa"/>
            <w:shd w:val="clear" w:color="auto" w:fill="D9E2F3" w:themeFill="accent1" w:themeFillTint="33"/>
          </w:tcPr>
          <w:p>
            <w:r>
              <w:rPr>
                <w:rFonts w:hint="eastAsia"/>
              </w:rPr>
              <w:t>提供传感器数据</w:t>
            </w:r>
          </w:p>
        </w:tc>
      </w:tr>
      <w:tr>
        <w:tblPrEx>
          <w:tblBorders>
            <w:top w:val="single" w:color="8EAADB" w:themeColor="accent1" w:themeTint="99" w:sz="4" w:space="0"/>
            <w:left w:val="single" w:color="8EAADB" w:themeColor="accent1" w:themeTint="99" w:sz="4" w:space="0"/>
            <w:bottom w:val="single" w:color="8EAADB" w:themeColor="accent1" w:themeTint="99" w:sz="4" w:space="0"/>
            <w:right w:val="single" w:color="8EAADB" w:themeColor="accent1" w:themeTint="99" w:sz="4" w:space="0"/>
            <w:insideH w:val="single" w:color="8EAADB" w:themeColor="accent1" w:themeTint="99" w:sz="4" w:space="0"/>
            <w:insideV w:val="single" w:color="8EAADB" w:themeColor="accent1" w:themeTint="99" w:sz="4" w:space="0"/>
          </w:tblBorders>
        </w:tblPrEx>
        <w:tc>
          <w:tcPr>
            <w:tcW w:w="4148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api/reset_pw</w:t>
            </w:r>
          </w:p>
        </w:tc>
        <w:tc>
          <w:tcPr>
            <w:tcW w:w="4148" w:type="dxa"/>
          </w:tcPr>
          <w:p>
            <w:r>
              <w:rPr>
                <w:rFonts w:hint="eastAsia"/>
              </w:rPr>
              <w:t>用户重置密码</w:t>
            </w:r>
          </w:p>
        </w:tc>
      </w:tr>
      <w:bookmarkEnd w:id="16"/>
    </w:tbl>
    <w:p>
      <w:pPr>
        <w:pStyle w:val="28"/>
      </w:pPr>
      <w:bookmarkStart w:id="28" w:name="_Toc41778616"/>
      <w:r>
        <w:rPr>
          <w:rFonts w:hint="eastAsia"/>
        </w:rPr>
        <w:t>数据库设计</w:t>
      </w:r>
      <w:bookmarkEnd w:id="28"/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项目使用了阿里云R</w:t>
      </w:r>
      <w:r>
        <w:rPr>
          <w:rFonts w:ascii="宋体" w:hAnsi="宋体" w:eastAsia="宋体"/>
          <w:sz w:val="24"/>
          <w:szCs w:val="24"/>
        </w:rPr>
        <w:t>DS</w:t>
      </w:r>
      <w:r>
        <w:rPr>
          <w:rFonts w:hint="eastAsia" w:ascii="宋体" w:hAnsi="宋体" w:eastAsia="宋体"/>
          <w:sz w:val="24"/>
          <w:szCs w:val="24"/>
        </w:rPr>
        <w:t>数据库，便于远程协作开发，使用MySQL作为数据库管理系统，一同作为项目的L</w:t>
      </w:r>
      <w:r>
        <w:rPr>
          <w:rFonts w:ascii="宋体" w:hAnsi="宋体" w:eastAsia="宋体"/>
          <w:sz w:val="24"/>
          <w:szCs w:val="24"/>
        </w:rPr>
        <w:t>NMP</w:t>
      </w:r>
      <w:r>
        <w:rPr>
          <w:rFonts w:hint="eastAsia" w:ascii="宋体" w:hAnsi="宋体" w:eastAsia="宋体"/>
          <w:sz w:val="24"/>
          <w:szCs w:val="24"/>
        </w:rPr>
        <w:t>(</w:t>
      </w:r>
      <w:r>
        <w:rPr>
          <w:rFonts w:ascii="宋体" w:hAnsi="宋体" w:eastAsia="宋体"/>
          <w:sz w:val="24"/>
          <w:szCs w:val="24"/>
        </w:rPr>
        <w:t>Linux/Nginx/MySQL/Python</w:t>
      </w:r>
      <w:r>
        <w:rPr>
          <w:rFonts w:hint="eastAsia" w:ascii="宋体" w:hAnsi="宋体" w:eastAsia="宋体"/>
          <w:sz w:val="24"/>
          <w:szCs w:val="24"/>
        </w:rPr>
        <w:t>)解决方案包。</w:t>
      </w:r>
    </w:p>
    <w:p>
      <w:pPr>
        <w:pStyle w:val="29"/>
      </w:pPr>
      <w:bookmarkStart w:id="29" w:name="_Toc41778617"/>
      <w:r>
        <w:rPr>
          <w:rFonts w:hint="eastAsia"/>
        </w:rPr>
        <w:t>数据表设计</w:t>
      </w:r>
      <w:bookmarkEnd w:id="29"/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u</w:t>
      </w:r>
      <w:r>
        <w:rPr>
          <w:rFonts w:hint="eastAsia" w:ascii="宋体" w:hAnsi="宋体" w:eastAsia="宋体"/>
          <w:sz w:val="24"/>
          <w:szCs w:val="24"/>
        </w:rPr>
        <w:t>ser表：</w:t>
      </w:r>
    </w:p>
    <w:p>
      <w:pPr>
        <w:ind w:firstLine="420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893310" cy="1581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5134" cy="1636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ignon表：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965700" cy="70040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993" cy="777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sensor</w:t>
      </w:r>
      <w:r>
        <w:rPr>
          <w:rFonts w:ascii="宋体" w:hAnsi="宋体" w:eastAsia="宋体"/>
          <w:sz w:val="24"/>
          <w:szCs w:val="24"/>
        </w:rPr>
        <w:t>list</w:t>
      </w:r>
      <w:r>
        <w:rPr>
          <w:rFonts w:hint="eastAsia" w:ascii="宋体" w:hAnsi="宋体" w:eastAsia="宋体"/>
          <w:sz w:val="24"/>
          <w:szCs w:val="24"/>
        </w:rPr>
        <w:t>表：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950460" cy="697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0562" cy="723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sensors表（与异常数据warning表结构相同）：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921250" cy="9067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661" cy="932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v</w:t>
      </w:r>
      <w:r>
        <w:rPr>
          <w:rFonts w:ascii="宋体" w:hAnsi="宋体" w:eastAsia="宋体"/>
          <w:sz w:val="24"/>
          <w:szCs w:val="24"/>
        </w:rPr>
        <w:t>ercode</w:t>
      </w:r>
      <w:r>
        <w:rPr>
          <w:rFonts w:hint="eastAsia" w:ascii="宋体" w:hAnsi="宋体" w:eastAsia="宋体"/>
          <w:sz w:val="24"/>
          <w:szCs w:val="24"/>
        </w:rPr>
        <w:t>表</w:t>
      </w:r>
    </w:p>
    <w:p>
      <w:pPr>
        <w:ind w:firstLine="42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4905375" cy="903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183" cy="930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9"/>
        <w:rPr>
          <w:rFonts w:hint="eastAsia"/>
        </w:rPr>
      </w:pPr>
      <w:bookmarkStart w:id="30" w:name="_Toc41778618"/>
      <w:r>
        <w:rPr>
          <w:rFonts w:hint="eastAsia"/>
        </w:rPr>
        <w:t>数据库U</w:t>
      </w:r>
      <w:r>
        <w:t>ML</w:t>
      </w:r>
      <w:r>
        <w:rPr>
          <w:rFonts w:hint="eastAsia"/>
        </w:rPr>
        <w:t>图</w:t>
      </w:r>
      <w:bookmarkEnd w:id="30"/>
    </w:p>
    <w:p>
      <w:pPr>
        <w:ind w:left="420"/>
        <w:jc w:val="center"/>
      </w:pPr>
      <w:r>
        <w:rPr>
          <w:rFonts w:hint="eastAsia"/>
        </w:rPr>
        <w:drawing>
          <wp:inline distT="0" distB="0" distL="0" distR="0">
            <wp:extent cx="3169285" cy="3943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122" cy="39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4C41D3"/>
    <w:multiLevelType w:val="multilevel"/>
    <w:tmpl w:val="454C41D3"/>
    <w:lvl w:ilvl="0" w:tentative="0">
      <w:start w:val="1"/>
      <w:numFmt w:val="decimal"/>
      <w:lvlText w:val="[%1]"/>
      <w:lvlJc w:val="left"/>
      <w:pPr>
        <w:ind w:left="845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12" w:hanging="420"/>
      </w:pPr>
    </w:lvl>
    <w:lvl w:ilvl="2" w:tentative="0">
      <w:start w:val="1"/>
      <w:numFmt w:val="lowerRoman"/>
      <w:lvlText w:val="%3."/>
      <w:lvlJc w:val="right"/>
      <w:pPr>
        <w:ind w:left="1632" w:hanging="420"/>
      </w:pPr>
    </w:lvl>
    <w:lvl w:ilvl="3" w:tentative="0">
      <w:start w:val="1"/>
      <w:numFmt w:val="decimal"/>
      <w:lvlText w:val="%4."/>
      <w:lvlJc w:val="left"/>
      <w:pPr>
        <w:ind w:left="2052" w:hanging="420"/>
      </w:pPr>
    </w:lvl>
    <w:lvl w:ilvl="4" w:tentative="0">
      <w:start w:val="1"/>
      <w:numFmt w:val="lowerLetter"/>
      <w:lvlText w:val="%5)"/>
      <w:lvlJc w:val="left"/>
      <w:pPr>
        <w:ind w:left="2472" w:hanging="420"/>
      </w:pPr>
    </w:lvl>
    <w:lvl w:ilvl="5" w:tentative="0">
      <w:start w:val="1"/>
      <w:numFmt w:val="lowerRoman"/>
      <w:lvlText w:val="%6."/>
      <w:lvlJc w:val="right"/>
      <w:pPr>
        <w:ind w:left="2892" w:hanging="420"/>
      </w:pPr>
    </w:lvl>
    <w:lvl w:ilvl="6" w:tentative="0">
      <w:start w:val="1"/>
      <w:numFmt w:val="decimal"/>
      <w:lvlText w:val="%7."/>
      <w:lvlJc w:val="left"/>
      <w:pPr>
        <w:ind w:left="3312" w:hanging="420"/>
      </w:pPr>
    </w:lvl>
    <w:lvl w:ilvl="7" w:tentative="0">
      <w:start w:val="1"/>
      <w:numFmt w:val="lowerLetter"/>
      <w:lvlText w:val="%8)"/>
      <w:lvlJc w:val="left"/>
      <w:pPr>
        <w:ind w:left="3732" w:hanging="420"/>
      </w:pPr>
    </w:lvl>
    <w:lvl w:ilvl="8" w:tentative="0">
      <w:start w:val="1"/>
      <w:numFmt w:val="lowerRoman"/>
      <w:lvlText w:val="%9."/>
      <w:lvlJc w:val="right"/>
      <w:pPr>
        <w:ind w:left="4152" w:hanging="420"/>
      </w:pPr>
    </w:lvl>
  </w:abstractNum>
  <w:abstractNum w:abstractNumId="1">
    <w:nsid w:val="5F003E81"/>
    <w:multiLevelType w:val="multilevel"/>
    <w:tmpl w:val="5F003E81"/>
    <w:lvl w:ilvl="0" w:tentative="0">
      <w:start w:val="1"/>
      <w:numFmt w:val="decimal"/>
      <w:pStyle w:val="28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29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30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75E"/>
    <w:rsid w:val="00007AE7"/>
    <w:rsid w:val="00041316"/>
    <w:rsid w:val="000F1CA2"/>
    <w:rsid w:val="000F2E02"/>
    <w:rsid w:val="00132768"/>
    <w:rsid w:val="00136FE9"/>
    <w:rsid w:val="001420C2"/>
    <w:rsid w:val="0016640C"/>
    <w:rsid w:val="00166CCC"/>
    <w:rsid w:val="00191F01"/>
    <w:rsid w:val="001C3C2E"/>
    <w:rsid w:val="001F6254"/>
    <w:rsid w:val="001F73FE"/>
    <w:rsid w:val="00212531"/>
    <w:rsid w:val="00246AD2"/>
    <w:rsid w:val="00277157"/>
    <w:rsid w:val="002A292C"/>
    <w:rsid w:val="002A6632"/>
    <w:rsid w:val="002C63A1"/>
    <w:rsid w:val="002C73D1"/>
    <w:rsid w:val="0031076D"/>
    <w:rsid w:val="0034742A"/>
    <w:rsid w:val="00367C69"/>
    <w:rsid w:val="00391E70"/>
    <w:rsid w:val="003C5A80"/>
    <w:rsid w:val="00404FD4"/>
    <w:rsid w:val="00456BBA"/>
    <w:rsid w:val="004C72B7"/>
    <w:rsid w:val="004D212A"/>
    <w:rsid w:val="004F7ED5"/>
    <w:rsid w:val="00507356"/>
    <w:rsid w:val="00514724"/>
    <w:rsid w:val="00561F2F"/>
    <w:rsid w:val="005B27DB"/>
    <w:rsid w:val="006000B9"/>
    <w:rsid w:val="006259EB"/>
    <w:rsid w:val="00627B5D"/>
    <w:rsid w:val="00630285"/>
    <w:rsid w:val="00634262"/>
    <w:rsid w:val="00643132"/>
    <w:rsid w:val="0068127B"/>
    <w:rsid w:val="00692BEC"/>
    <w:rsid w:val="006B0D23"/>
    <w:rsid w:val="006B4C0C"/>
    <w:rsid w:val="006E7160"/>
    <w:rsid w:val="006F085C"/>
    <w:rsid w:val="00706F59"/>
    <w:rsid w:val="0071009B"/>
    <w:rsid w:val="007408F0"/>
    <w:rsid w:val="00750AB9"/>
    <w:rsid w:val="0077259A"/>
    <w:rsid w:val="00783D6B"/>
    <w:rsid w:val="007D09B4"/>
    <w:rsid w:val="007D207E"/>
    <w:rsid w:val="007E71D6"/>
    <w:rsid w:val="007F0961"/>
    <w:rsid w:val="007F7248"/>
    <w:rsid w:val="00841AF0"/>
    <w:rsid w:val="0085150E"/>
    <w:rsid w:val="00894101"/>
    <w:rsid w:val="008A6C9A"/>
    <w:rsid w:val="008E79EF"/>
    <w:rsid w:val="00904998"/>
    <w:rsid w:val="00936A74"/>
    <w:rsid w:val="0095261E"/>
    <w:rsid w:val="00981AA7"/>
    <w:rsid w:val="00990384"/>
    <w:rsid w:val="00A010C7"/>
    <w:rsid w:val="00AF00DD"/>
    <w:rsid w:val="00B01BCC"/>
    <w:rsid w:val="00B34791"/>
    <w:rsid w:val="00BB4D82"/>
    <w:rsid w:val="00BC1A87"/>
    <w:rsid w:val="00C06D76"/>
    <w:rsid w:val="00C12F64"/>
    <w:rsid w:val="00C17ADF"/>
    <w:rsid w:val="00C24AD5"/>
    <w:rsid w:val="00C63863"/>
    <w:rsid w:val="00D40C4A"/>
    <w:rsid w:val="00D5297D"/>
    <w:rsid w:val="00D974C7"/>
    <w:rsid w:val="00DA175E"/>
    <w:rsid w:val="00DA4D1D"/>
    <w:rsid w:val="00DB5594"/>
    <w:rsid w:val="00DC3AE3"/>
    <w:rsid w:val="00FA41DA"/>
    <w:rsid w:val="00FF5C16"/>
    <w:rsid w:val="76F5D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2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3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uiPriority w:val="39"/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18">
    <w:name w:val="Table Grid"/>
    <w:basedOn w:val="17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页眉 字符"/>
    <w:basedOn w:val="19"/>
    <w:link w:val="14"/>
    <w:uiPriority w:val="99"/>
    <w:rPr>
      <w:sz w:val="18"/>
      <w:szCs w:val="18"/>
    </w:rPr>
  </w:style>
  <w:style w:type="character" w:customStyle="1" w:styleId="22">
    <w:name w:val="页脚 字符"/>
    <w:basedOn w:val="19"/>
    <w:link w:val="13"/>
    <w:qFormat/>
    <w:uiPriority w:val="99"/>
    <w:rPr>
      <w:sz w:val="18"/>
      <w:szCs w:val="18"/>
    </w:rPr>
  </w:style>
  <w:style w:type="character" w:customStyle="1" w:styleId="23">
    <w:name w:val="标题 1 字符"/>
    <w:basedOn w:val="19"/>
    <w:link w:val="2"/>
    <w:uiPriority w:val="9"/>
    <w:rPr>
      <w:b/>
      <w:bCs/>
      <w:kern w:val="44"/>
      <w:sz w:val="44"/>
      <w:szCs w:val="44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6">
    <w:name w:val="标题 2 字符"/>
    <w:basedOn w:val="19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19"/>
    <w:link w:val="4"/>
    <w:qFormat/>
    <w:uiPriority w:val="9"/>
    <w:rPr>
      <w:b/>
      <w:bCs/>
      <w:sz w:val="32"/>
      <w:szCs w:val="32"/>
    </w:rPr>
  </w:style>
  <w:style w:type="paragraph" w:customStyle="1" w:styleId="28">
    <w:name w:val="一级"/>
    <w:basedOn w:val="3"/>
    <w:next w:val="29"/>
    <w:qFormat/>
    <w:uiPriority w:val="0"/>
    <w:pPr>
      <w:numPr>
        <w:ilvl w:val="0"/>
        <w:numId w:val="1"/>
      </w:numPr>
    </w:pPr>
    <w:rPr>
      <w:rFonts w:ascii="宋体" w:hAnsi="宋体" w:eastAsia="宋体"/>
      <w:sz w:val="36"/>
      <w:szCs w:val="24"/>
    </w:rPr>
  </w:style>
  <w:style w:type="paragraph" w:customStyle="1" w:styleId="29">
    <w:name w:val="二级"/>
    <w:basedOn w:val="4"/>
    <w:next w:val="30"/>
    <w:qFormat/>
    <w:uiPriority w:val="0"/>
    <w:pPr>
      <w:numPr>
        <w:ilvl w:val="1"/>
        <w:numId w:val="1"/>
      </w:numPr>
    </w:pPr>
    <w:rPr>
      <w:rFonts w:eastAsia="宋体"/>
      <w:sz w:val="30"/>
    </w:rPr>
  </w:style>
  <w:style w:type="paragraph" w:customStyle="1" w:styleId="30">
    <w:name w:val="三级"/>
    <w:basedOn w:val="5"/>
    <w:next w:val="1"/>
    <w:qFormat/>
    <w:uiPriority w:val="0"/>
    <w:pPr>
      <w:numPr>
        <w:ilvl w:val="2"/>
      </w:numPr>
    </w:pPr>
    <w:rPr>
      <w:rFonts w:eastAsia="宋体"/>
    </w:rPr>
  </w:style>
  <w:style w:type="character" w:customStyle="1" w:styleId="31">
    <w:name w:val="标题 5 字符"/>
    <w:basedOn w:val="19"/>
    <w:link w:val="6"/>
    <w:semiHidden/>
    <w:qFormat/>
    <w:uiPriority w:val="9"/>
    <w:rPr>
      <w:b/>
      <w:bCs/>
      <w:sz w:val="28"/>
      <w:szCs w:val="28"/>
    </w:rPr>
  </w:style>
  <w:style w:type="character" w:customStyle="1" w:styleId="32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4">
    <w:name w:val="标题 7 字符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35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6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37">
    <w:name w:val="Unresolved Mention"/>
    <w:basedOn w:val="19"/>
    <w:semiHidden/>
    <w:unhideWhenUsed/>
    <w:qFormat/>
    <w:uiPriority w:val="99"/>
    <w:rPr>
      <w:color w:val="605E5C"/>
      <w:shd w:val="clear" w:color="auto" w:fill="E1DFDD"/>
    </w:rPr>
  </w:style>
  <w:style w:type="table" w:customStyle="1" w:styleId="38">
    <w:name w:val="List Table 7 Colorful Accent 1"/>
    <w:basedOn w:val="17"/>
    <w:qFormat/>
    <w:uiPriority w:val="52"/>
    <w:rPr>
      <w:color w:val="2F5597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472C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472C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472C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472C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9">
    <w:name w:val="Grid Table 7 Colorful Accent 1"/>
    <w:basedOn w:val="17"/>
    <w:uiPriority w:val="52"/>
    <w:rPr>
      <w:color w:val="2F5597" w:themeColor="accent1" w:themeShade="BF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  <w:tblStylePr w:type="neCell">
      <w:tcPr>
        <w:tcBorders>
          <w:bottom w:val="single" w:color="8EAADB" w:themeColor="accent1" w:themeTint="99" w:sz="4" w:space="0"/>
        </w:tcBorders>
      </w:tcPr>
    </w:tblStylePr>
    <w:tblStylePr w:type="nwCell">
      <w:tcPr>
        <w:tcBorders>
          <w:bottom w:val="single" w:color="8EAADB" w:themeColor="accent1" w:themeTint="99" w:sz="4" w:space="0"/>
        </w:tcBorders>
      </w:tcPr>
    </w:tblStylePr>
    <w:tblStylePr w:type="seCell">
      <w:tcPr>
        <w:tcBorders>
          <w:top w:val="single" w:color="8EAADB" w:themeColor="accent1" w:themeTint="99" w:sz="4" w:space="0"/>
        </w:tcBorders>
      </w:tcPr>
    </w:tblStylePr>
    <w:tblStylePr w:type="swCell">
      <w:tcPr>
        <w:tcBorders>
          <w:top w:val="single" w:color="8EAADB" w:themeColor="accent1" w:themeTint="99" w:sz="4" w:space="0"/>
        </w:tcBorders>
      </w:tcPr>
    </w:tblStylePr>
  </w:style>
  <w:style w:type="table" w:customStyle="1" w:styleId="40">
    <w:name w:val="Grid Table 1 Light Accent 1"/>
    <w:basedOn w:val="17"/>
    <w:uiPriority w:val="46"/>
    <w:tblPr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1">
    <w:name w:val="Grid Table 2 Accent 1"/>
    <w:basedOn w:val="17"/>
    <w:uiPriority w:val="47"/>
    <w:tblPr>
      <w:tblBorders>
        <w:top w:val="single" w:color="8EAADB" w:themeColor="accent1" w:themeTint="99" w:sz="2" w:space="0"/>
        <w:bottom w:val="single" w:color="8EAADB" w:themeColor="accent1" w:themeTint="99" w:sz="2" w:space="0"/>
        <w:insideH w:val="single" w:color="8EAADB" w:themeColor="accent1" w:themeTint="99" w:sz="2" w:space="0"/>
        <w:insideV w:val="single" w:color="8EAADB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8EAADB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table" w:customStyle="1" w:styleId="42">
    <w:name w:val="Grid Table 2 Accent 5"/>
    <w:basedOn w:val="17"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table" w:customStyle="1" w:styleId="43">
    <w:name w:val="Grid Table 4 Accent 1"/>
    <w:basedOn w:val="17"/>
    <w:uiPriority w:val="49"/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QuickStyle" Target="diagrams/quickStyle1.xml"/><Relationship Id="rId8" Type="http://schemas.openxmlformats.org/officeDocument/2006/relationships/diagramLayout" Target="diagrams/layout1.xml"/><Relationship Id="rId7" Type="http://schemas.openxmlformats.org/officeDocument/2006/relationships/diagramData" Target="diagrams/data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2.jpeg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emf"/><Relationship Id="rId11" Type="http://schemas.microsoft.com/office/2007/relationships/diagramDrawing" Target="diagrams/drawing1.xml"/><Relationship Id="rId10" Type="http://schemas.openxmlformats.org/officeDocument/2006/relationships/diagramColors" Target="diagrams/colors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CAC42B-341D-4313-B09D-BBFB6AADD279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5_5" csCatId="accent5" phldr="1"/>
      <dgm:spPr/>
      <dgm:t>
        <a:bodyPr/>
        <a:p>
          <a:endParaRPr lang="zh-CN" altLang="en-US"/>
        </a:p>
      </dgm:t>
    </dgm:pt>
    <dgm:pt modelId="{80B43B91-4348-4027-B8E1-3C1A2C15DB42}">
      <dgm:prSet phldrT="[文本]"/>
      <dgm:spPr/>
      <dgm:t>
        <a:bodyPr/>
        <a:p>
          <a:r>
            <a:rPr lang="en-US" altLang="zh-CN"/>
            <a:t>Watch Dog</a:t>
          </a:r>
          <a:endParaRPr lang="zh-CN" altLang="en-US"/>
        </a:p>
      </dgm:t>
    </dgm:pt>
    <dgm:pt modelId="{46B2FC66-DD9B-4469-8983-74B3B5AD6209}" cxnId="{D8558C7B-3E2E-4A50-B9BE-C9107153C547}" type="parTrans">
      <dgm:prSet/>
      <dgm:spPr/>
      <dgm:t>
        <a:bodyPr/>
        <a:p>
          <a:endParaRPr lang="zh-CN" altLang="en-US"/>
        </a:p>
      </dgm:t>
    </dgm:pt>
    <dgm:pt modelId="{A081B3A1-77F6-446B-8160-AE91338DB3D0}" cxnId="{D8558C7B-3E2E-4A50-B9BE-C9107153C547}" type="sibTrans">
      <dgm:prSet/>
      <dgm:spPr/>
      <dgm:t>
        <a:bodyPr/>
        <a:p>
          <a:endParaRPr lang="zh-CN" altLang="en-US"/>
        </a:p>
      </dgm:t>
    </dgm:pt>
    <dgm:pt modelId="{7EF0F96D-CF95-4D5E-B631-32C42423F06E}">
      <dgm:prSet phldrT="[文本]"/>
      <dgm:spPr/>
      <dgm:t>
        <a:bodyPr/>
        <a:p>
          <a:r>
            <a:rPr lang="zh-CN" altLang="en-US"/>
            <a:t>用户模块</a:t>
          </a:r>
        </a:p>
      </dgm:t>
    </dgm:pt>
    <dgm:pt modelId="{DAE2AB2A-580A-4D98-9924-DF97996EADFB}" cxnId="{1F6B8016-C816-427D-8887-1DB69FB3F9EE}" type="parTrans">
      <dgm:prSet/>
      <dgm:spPr/>
      <dgm:t>
        <a:bodyPr/>
        <a:p>
          <a:endParaRPr lang="zh-CN" altLang="en-US"/>
        </a:p>
      </dgm:t>
    </dgm:pt>
    <dgm:pt modelId="{C605C9A3-8097-4815-A611-88A0B90E6FA3}" cxnId="{1F6B8016-C816-427D-8887-1DB69FB3F9EE}" type="sibTrans">
      <dgm:prSet/>
      <dgm:spPr/>
      <dgm:t>
        <a:bodyPr/>
        <a:p>
          <a:endParaRPr lang="zh-CN" altLang="en-US"/>
        </a:p>
      </dgm:t>
    </dgm:pt>
    <dgm:pt modelId="{85F1EFEF-2547-485B-8557-DF4EDF540EA3}">
      <dgm:prSet phldrT="[文本]"/>
      <dgm:spPr/>
      <dgm:t>
        <a:bodyPr/>
        <a:p>
          <a:r>
            <a:rPr lang="zh-CN" altLang="en-US"/>
            <a:t>提醒模块</a:t>
          </a:r>
        </a:p>
      </dgm:t>
    </dgm:pt>
    <dgm:pt modelId="{B7F17E9D-CD05-46E7-9AAB-2F9318F14B0E}" cxnId="{126624A9-B274-4C86-B4F7-673C359F97F7}" type="parTrans">
      <dgm:prSet/>
      <dgm:spPr/>
      <dgm:t>
        <a:bodyPr/>
        <a:p>
          <a:endParaRPr lang="zh-CN" altLang="en-US"/>
        </a:p>
      </dgm:t>
    </dgm:pt>
    <dgm:pt modelId="{B9C72D14-F9C2-4E99-B87F-59AE3DE1764B}" cxnId="{126624A9-B274-4C86-B4F7-673C359F97F7}" type="sibTrans">
      <dgm:prSet/>
      <dgm:spPr/>
      <dgm:t>
        <a:bodyPr/>
        <a:p>
          <a:endParaRPr lang="zh-CN" altLang="en-US"/>
        </a:p>
      </dgm:t>
    </dgm:pt>
    <dgm:pt modelId="{BBB86788-2DDF-4411-A168-6C45F5C5C100}">
      <dgm:prSet phldrT="[文本]"/>
      <dgm:spPr/>
      <dgm:t>
        <a:bodyPr/>
        <a:p>
          <a:r>
            <a:rPr lang="zh-CN" altLang="en-US"/>
            <a:t>扩展模块</a:t>
          </a:r>
        </a:p>
      </dgm:t>
    </dgm:pt>
    <dgm:pt modelId="{121EB55F-5E2D-45DE-835E-D59B02D593F2}" cxnId="{F4C4F9C4-5A91-4FD5-8CAE-97595ED0B6B0}" type="parTrans">
      <dgm:prSet/>
      <dgm:spPr/>
      <dgm:t>
        <a:bodyPr/>
        <a:p>
          <a:endParaRPr lang="zh-CN" altLang="en-US"/>
        </a:p>
      </dgm:t>
    </dgm:pt>
    <dgm:pt modelId="{86E40811-F76E-4246-A90D-C7B9189DEBC4}" cxnId="{F4C4F9C4-5A91-4FD5-8CAE-97595ED0B6B0}" type="sibTrans">
      <dgm:prSet/>
      <dgm:spPr/>
      <dgm:t>
        <a:bodyPr/>
        <a:p>
          <a:endParaRPr lang="zh-CN" altLang="en-US"/>
        </a:p>
      </dgm:t>
    </dgm:pt>
    <dgm:pt modelId="{E226DCE0-5B40-4D46-9FE2-3384DDFD5ED5}">
      <dgm:prSet phldrT="[文本]"/>
      <dgm:spPr/>
      <dgm:t>
        <a:bodyPr/>
        <a:p>
          <a:r>
            <a:rPr lang="zh-CN" altLang="en-US"/>
            <a:t>视频监控模块</a:t>
          </a:r>
        </a:p>
      </dgm:t>
    </dgm:pt>
    <dgm:pt modelId="{5D5B7D25-3D80-4002-83A1-BDF1E1FA72DA}" cxnId="{C517E9A6-2208-4081-9BA0-B8BDD0E2A4E2}" type="parTrans">
      <dgm:prSet/>
      <dgm:spPr/>
      <dgm:t>
        <a:bodyPr/>
        <a:p>
          <a:endParaRPr lang="zh-CN" altLang="en-US"/>
        </a:p>
      </dgm:t>
    </dgm:pt>
    <dgm:pt modelId="{752C72D1-4B52-4EA5-8AEA-A4C520AE364B}" cxnId="{C517E9A6-2208-4081-9BA0-B8BDD0E2A4E2}" type="sibTrans">
      <dgm:prSet/>
      <dgm:spPr/>
      <dgm:t>
        <a:bodyPr/>
        <a:p>
          <a:endParaRPr lang="zh-CN" altLang="en-US"/>
        </a:p>
      </dgm:t>
    </dgm:pt>
    <dgm:pt modelId="{A92C2548-E1EB-42D4-9C75-74A0C3FCA1BF}">
      <dgm:prSet phldrT="[文本]"/>
      <dgm:spPr/>
      <dgm:t>
        <a:bodyPr/>
        <a:p>
          <a:r>
            <a:rPr lang="zh-CN" altLang="en-US"/>
            <a:t>温湿度监控模块</a:t>
          </a:r>
        </a:p>
      </dgm:t>
    </dgm:pt>
    <dgm:pt modelId="{9AE8FB28-7B14-43B5-85A6-53B39E1EB694}" cxnId="{7F5584DE-84DE-4BC5-B671-19AC21120409}" type="parTrans">
      <dgm:prSet/>
      <dgm:spPr/>
      <dgm:t>
        <a:bodyPr/>
        <a:p>
          <a:endParaRPr lang="zh-CN" altLang="en-US"/>
        </a:p>
      </dgm:t>
    </dgm:pt>
    <dgm:pt modelId="{B052D0CA-3C17-48FB-93E7-E99CCA1B1E1C}" cxnId="{7F5584DE-84DE-4BC5-B671-19AC21120409}" type="sibTrans">
      <dgm:prSet/>
      <dgm:spPr/>
      <dgm:t>
        <a:bodyPr/>
        <a:p>
          <a:endParaRPr lang="zh-CN" altLang="en-US"/>
        </a:p>
      </dgm:t>
    </dgm:pt>
    <dgm:pt modelId="{9620E99F-7974-4D90-AACB-DF7FBC93A81B}" type="pres">
      <dgm:prSet presAssocID="{96CAC42B-341D-4313-B09D-BBFB6AADD279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31F2A0C-4F9F-4B56-9B25-FF542D341094}" type="pres">
      <dgm:prSet presAssocID="{80B43B91-4348-4027-B8E1-3C1A2C15DB42}" presName="root1" presStyleCnt="0"/>
      <dgm:spPr/>
    </dgm:pt>
    <dgm:pt modelId="{39626380-39B4-4CAC-98FC-22757FAF5CA8}" type="pres">
      <dgm:prSet presAssocID="{80B43B91-4348-4027-B8E1-3C1A2C15DB42}" presName="LevelOneTextNode" presStyleLbl="node0" presStyleIdx="0" presStyleCnt="1">
        <dgm:presLayoutVars>
          <dgm:chPref val="3"/>
        </dgm:presLayoutVars>
      </dgm:prSet>
      <dgm:spPr/>
    </dgm:pt>
    <dgm:pt modelId="{11055CE3-FC1C-4107-A94A-D8FE501A817C}" type="pres">
      <dgm:prSet presAssocID="{80B43B91-4348-4027-B8E1-3C1A2C15DB42}" presName="level2hierChild" presStyleCnt="0"/>
      <dgm:spPr/>
    </dgm:pt>
    <dgm:pt modelId="{1BE35975-8337-4BD8-BC3A-3990FBCD40A3}" type="pres">
      <dgm:prSet presAssocID="{DAE2AB2A-580A-4D98-9924-DF97996EADFB}" presName="conn2-1" presStyleLbl="parChTrans1D2" presStyleIdx="0" presStyleCnt="5"/>
      <dgm:spPr/>
    </dgm:pt>
    <dgm:pt modelId="{A3AEA4FC-47B2-44B8-A448-63AE09A33633}" type="pres">
      <dgm:prSet presAssocID="{DAE2AB2A-580A-4D98-9924-DF97996EADFB}" presName="connTx" presStyleLbl="parChTrans1D2" presStyleIdx="0" presStyleCnt="5"/>
      <dgm:spPr/>
    </dgm:pt>
    <dgm:pt modelId="{12894EFD-4E7A-4228-BAB3-E73FAE3F55EE}" type="pres">
      <dgm:prSet presAssocID="{7EF0F96D-CF95-4D5E-B631-32C42423F06E}" presName="root2" presStyleCnt="0"/>
      <dgm:spPr/>
    </dgm:pt>
    <dgm:pt modelId="{1DCA7B07-EF71-48BB-A590-A5121CEAC5E6}" type="pres">
      <dgm:prSet presAssocID="{7EF0F96D-CF95-4D5E-B631-32C42423F06E}" presName="LevelTwoTextNode" presStyleLbl="node2" presStyleIdx="0" presStyleCnt="5">
        <dgm:presLayoutVars>
          <dgm:chPref val="3"/>
        </dgm:presLayoutVars>
      </dgm:prSet>
      <dgm:spPr/>
    </dgm:pt>
    <dgm:pt modelId="{A05248E3-C7A8-43CA-AD1C-37C6979AB451}" type="pres">
      <dgm:prSet presAssocID="{7EF0F96D-CF95-4D5E-B631-32C42423F06E}" presName="level3hierChild" presStyleCnt="0"/>
      <dgm:spPr/>
    </dgm:pt>
    <dgm:pt modelId="{22FE85D2-6891-4D9A-A913-D284653C8541}" type="pres">
      <dgm:prSet presAssocID="{B7F17E9D-CD05-46E7-9AAB-2F9318F14B0E}" presName="conn2-1" presStyleLbl="parChTrans1D2" presStyleIdx="1" presStyleCnt="5"/>
      <dgm:spPr/>
    </dgm:pt>
    <dgm:pt modelId="{57756ECD-40E9-4353-8FD5-75DFDF68E946}" type="pres">
      <dgm:prSet presAssocID="{B7F17E9D-CD05-46E7-9AAB-2F9318F14B0E}" presName="connTx" presStyleLbl="parChTrans1D2" presStyleIdx="1" presStyleCnt="5"/>
      <dgm:spPr/>
    </dgm:pt>
    <dgm:pt modelId="{A7387F45-52CA-495C-96B0-9E43A4D0B320}" type="pres">
      <dgm:prSet presAssocID="{85F1EFEF-2547-485B-8557-DF4EDF540EA3}" presName="root2" presStyleCnt="0"/>
      <dgm:spPr/>
    </dgm:pt>
    <dgm:pt modelId="{766E2B11-E166-4D14-B50A-4424ACFA59D6}" type="pres">
      <dgm:prSet presAssocID="{85F1EFEF-2547-485B-8557-DF4EDF540EA3}" presName="LevelTwoTextNode" presStyleLbl="node2" presStyleIdx="1" presStyleCnt="5">
        <dgm:presLayoutVars>
          <dgm:chPref val="3"/>
        </dgm:presLayoutVars>
      </dgm:prSet>
      <dgm:spPr/>
    </dgm:pt>
    <dgm:pt modelId="{6BC45D3B-8DFF-4094-8187-2A6D36D9815B}" type="pres">
      <dgm:prSet presAssocID="{85F1EFEF-2547-485B-8557-DF4EDF540EA3}" presName="level3hierChild" presStyleCnt="0"/>
      <dgm:spPr/>
    </dgm:pt>
    <dgm:pt modelId="{A0A79812-2D3D-4988-BE24-DB871005BBBE}" type="pres">
      <dgm:prSet presAssocID="{121EB55F-5E2D-45DE-835E-D59B02D593F2}" presName="conn2-1" presStyleLbl="parChTrans1D2" presStyleIdx="2" presStyleCnt="5"/>
      <dgm:spPr/>
    </dgm:pt>
    <dgm:pt modelId="{D6E37738-19B0-4861-A392-BCB5AB77840F}" type="pres">
      <dgm:prSet presAssocID="{121EB55F-5E2D-45DE-835E-D59B02D593F2}" presName="connTx" presStyleLbl="parChTrans1D2" presStyleIdx="2" presStyleCnt="5"/>
      <dgm:spPr/>
    </dgm:pt>
    <dgm:pt modelId="{0C777D84-D71C-4C0D-BA20-EA8C850DD226}" type="pres">
      <dgm:prSet presAssocID="{BBB86788-2DDF-4411-A168-6C45F5C5C100}" presName="root2" presStyleCnt="0"/>
      <dgm:spPr/>
    </dgm:pt>
    <dgm:pt modelId="{5F06559B-019A-44D3-BD88-85EA07EF5DE6}" type="pres">
      <dgm:prSet presAssocID="{BBB86788-2DDF-4411-A168-6C45F5C5C100}" presName="LevelTwoTextNode" presStyleLbl="node2" presStyleIdx="2" presStyleCnt="5">
        <dgm:presLayoutVars>
          <dgm:chPref val="3"/>
        </dgm:presLayoutVars>
      </dgm:prSet>
      <dgm:spPr/>
    </dgm:pt>
    <dgm:pt modelId="{31F0904D-11FF-470C-BC42-EB1D6D9AFCCB}" type="pres">
      <dgm:prSet presAssocID="{BBB86788-2DDF-4411-A168-6C45F5C5C100}" presName="level3hierChild" presStyleCnt="0"/>
      <dgm:spPr/>
    </dgm:pt>
    <dgm:pt modelId="{DD5E9622-7465-49E3-AF7E-7FF5B2F8D0B5}" type="pres">
      <dgm:prSet presAssocID="{5D5B7D25-3D80-4002-83A1-BDF1E1FA72DA}" presName="conn2-1" presStyleLbl="parChTrans1D2" presStyleIdx="3" presStyleCnt="5"/>
      <dgm:spPr/>
    </dgm:pt>
    <dgm:pt modelId="{75ABCCCC-E368-4C0D-A7BE-266817F3C40D}" type="pres">
      <dgm:prSet presAssocID="{5D5B7D25-3D80-4002-83A1-BDF1E1FA72DA}" presName="connTx" presStyleLbl="parChTrans1D2" presStyleIdx="3" presStyleCnt="5"/>
      <dgm:spPr/>
    </dgm:pt>
    <dgm:pt modelId="{290ED00B-411F-44C8-8E4B-E7B2BCA7C3AE}" type="pres">
      <dgm:prSet presAssocID="{E226DCE0-5B40-4D46-9FE2-3384DDFD5ED5}" presName="root2" presStyleCnt="0"/>
      <dgm:spPr/>
    </dgm:pt>
    <dgm:pt modelId="{EF13EB06-46B6-4CED-9B43-6CB0700A20A7}" type="pres">
      <dgm:prSet presAssocID="{E226DCE0-5B40-4D46-9FE2-3384DDFD5ED5}" presName="LevelTwoTextNode" presStyleLbl="node2" presStyleIdx="3" presStyleCnt="5">
        <dgm:presLayoutVars>
          <dgm:chPref val="3"/>
        </dgm:presLayoutVars>
      </dgm:prSet>
      <dgm:spPr/>
    </dgm:pt>
    <dgm:pt modelId="{ACF18C53-3714-43C0-9784-51C2527675B1}" type="pres">
      <dgm:prSet presAssocID="{E226DCE0-5B40-4D46-9FE2-3384DDFD5ED5}" presName="level3hierChild" presStyleCnt="0"/>
      <dgm:spPr/>
    </dgm:pt>
    <dgm:pt modelId="{99772919-AFB3-409A-9F1C-52B28A2D99C6}" type="pres">
      <dgm:prSet presAssocID="{9AE8FB28-7B14-43B5-85A6-53B39E1EB694}" presName="conn2-1" presStyleLbl="parChTrans1D2" presStyleIdx="4" presStyleCnt="5"/>
      <dgm:spPr/>
    </dgm:pt>
    <dgm:pt modelId="{889651CF-07CA-416F-B3BB-C26668441F30}" type="pres">
      <dgm:prSet presAssocID="{9AE8FB28-7B14-43B5-85A6-53B39E1EB694}" presName="connTx" presStyleLbl="parChTrans1D2" presStyleIdx="4" presStyleCnt="5"/>
      <dgm:spPr/>
    </dgm:pt>
    <dgm:pt modelId="{E0EC95AA-6AE4-40BC-99CE-C1929D4C87C2}" type="pres">
      <dgm:prSet presAssocID="{A92C2548-E1EB-42D4-9C75-74A0C3FCA1BF}" presName="root2" presStyleCnt="0"/>
      <dgm:spPr/>
    </dgm:pt>
    <dgm:pt modelId="{9A44C4D5-CAAC-422C-8AB4-8CEFC886DCF2}" type="pres">
      <dgm:prSet presAssocID="{A92C2548-E1EB-42D4-9C75-74A0C3FCA1BF}" presName="LevelTwoTextNode" presStyleLbl="node2" presStyleIdx="4" presStyleCnt="5">
        <dgm:presLayoutVars>
          <dgm:chPref val="3"/>
        </dgm:presLayoutVars>
      </dgm:prSet>
      <dgm:spPr/>
    </dgm:pt>
    <dgm:pt modelId="{AF37FD96-DA3A-4C43-99C2-25E74A7AE699}" type="pres">
      <dgm:prSet presAssocID="{A92C2548-E1EB-42D4-9C75-74A0C3FCA1BF}" presName="level3hierChild" presStyleCnt="0"/>
      <dgm:spPr/>
    </dgm:pt>
  </dgm:ptLst>
  <dgm:cxnLst>
    <dgm:cxn modelId="{3B9B3215-76CB-4190-B2F7-FC1EA301FB86}" type="presOf" srcId="{DAE2AB2A-580A-4D98-9924-DF97996EADFB}" destId="{1BE35975-8337-4BD8-BC3A-3990FBCD40A3}" srcOrd="0" destOrd="0" presId="urn:microsoft.com/office/officeart/2008/layout/HorizontalMultiLevelHierarchy"/>
    <dgm:cxn modelId="{1F6B8016-C816-427D-8887-1DB69FB3F9EE}" srcId="{80B43B91-4348-4027-B8E1-3C1A2C15DB42}" destId="{7EF0F96D-CF95-4D5E-B631-32C42423F06E}" srcOrd="0" destOrd="0" parTransId="{DAE2AB2A-580A-4D98-9924-DF97996EADFB}" sibTransId="{C605C9A3-8097-4815-A611-88A0B90E6FA3}"/>
    <dgm:cxn modelId="{F230DF21-4DAC-4CD9-9286-9EA56676807C}" type="presOf" srcId="{E226DCE0-5B40-4D46-9FE2-3384DDFD5ED5}" destId="{EF13EB06-46B6-4CED-9B43-6CB0700A20A7}" srcOrd="0" destOrd="0" presId="urn:microsoft.com/office/officeart/2008/layout/HorizontalMultiLevelHierarchy"/>
    <dgm:cxn modelId="{7C658025-3A57-40F4-BB08-00BAECF43479}" type="presOf" srcId="{9AE8FB28-7B14-43B5-85A6-53B39E1EB694}" destId="{889651CF-07CA-416F-B3BB-C26668441F30}" srcOrd="1" destOrd="0" presId="urn:microsoft.com/office/officeart/2008/layout/HorizontalMultiLevelHierarchy"/>
    <dgm:cxn modelId="{B99B3B3B-2FAA-4D0C-9558-4E3891546459}" type="presOf" srcId="{A92C2548-E1EB-42D4-9C75-74A0C3FCA1BF}" destId="{9A44C4D5-CAAC-422C-8AB4-8CEFC886DCF2}" srcOrd="0" destOrd="0" presId="urn:microsoft.com/office/officeart/2008/layout/HorizontalMultiLevelHierarchy"/>
    <dgm:cxn modelId="{869E613B-842A-4C9E-870B-A60A169877CD}" type="presOf" srcId="{DAE2AB2A-580A-4D98-9924-DF97996EADFB}" destId="{A3AEA4FC-47B2-44B8-A448-63AE09A33633}" srcOrd="1" destOrd="0" presId="urn:microsoft.com/office/officeart/2008/layout/HorizontalMultiLevelHierarchy"/>
    <dgm:cxn modelId="{CB9F736D-92B1-47AC-9493-9E4E023B2B52}" type="presOf" srcId="{B7F17E9D-CD05-46E7-9AAB-2F9318F14B0E}" destId="{57756ECD-40E9-4353-8FD5-75DFDF68E946}" srcOrd="1" destOrd="0" presId="urn:microsoft.com/office/officeart/2008/layout/HorizontalMultiLevelHierarchy"/>
    <dgm:cxn modelId="{07C4406E-BB04-47A4-A96D-7894116D088C}" type="presOf" srcId="{121EB55F-5E2D-45DE-835E-D59B02D593F2}" destId="{A0A79812-2D3D-4988-BE24-DB871005BBBE}" srcOrd="0" destOrd="0" presId="urn:microsoft.com/office/officeart/2008/layout/HorizontalMultiLevelHierarchy"/>
    <dgm:cxn modelId="{43263655-0C07-40E4-9FC8-3841ED155EFF}" type="presOf" srcId="{BBB86788-2DDF-4411-A168-6C45F5C5C100}" destId="{5F06559B-019A-44D3-BD88-85EA07EF5DE6}" srcOrd="0" destOrd="0" presId="urn:microsoft.com/office/officeart/2008/layout/HorizontalMultiLevelHierarchy"/>
    <dgm:cxn modelId="{5DB3C558-8AE1-4C80-A805-CFB31AAEC894}" type="presOf" srcId="{80B43B91-4348-4027-B8E1-3C1A2C15DB42}" destId="{39626380-39B4-4CAC-98FC-22757FAF5CA8}" srcOrd="0" destOrd="0" presId="urn:microsoft.com/office/officeart/2008/layout/HorizontalMultiLevelHierarchy"/>
    <dgm:cxn modelId="{D8558C7B-3E2E-4A50-B9BE-C9107153C547}" srcId="{96CAC42B-341D-4313-B09D-BBFB6AADD279}" destId="{80B43B91-4348-4027-B8E1-3C1A2C15DB42}" srcOrd="0" destOrd="0" parTransId="{46B2FC66-DD9B-4469-8983-74B3B5AD6209}" sibTransId="{A081B3A1-77F6-446B-8160-AE91338DB3D0}"/>
    <dgm:cxn modelId="{B3AD3E7D-834C-428F-98F6-E7C10EB21C3C}" type="presOf" srcId="{5D5B7D25-3D80-4002-83A1-BDF1E1FA72DA}" destId="{75ABCCCC-E368-4C0D-A7BE-266817F3C40D}" srcOrd="1" destOrd="0" presId="urn:microsoft.com/office/officeart/2008/layout/HorizontalMultiLevelHierarchy"/>
    <dgm:cxn modelId="{EE8D5480-DEE4-49FB-BCC9-46E44AE2A904}" type="presOf" srcId="{9AE8FB28-7B14-43B5-85A6-53B39E1EB694}" destId="{99772919-AFB3-409A-9F1C-52B28A2D99C6}" srcOrd="0" destOrd="0" presId="urn:microsoft.com/office/officeart/2008/layout/HorizontalMultiLevelHierarchy"/>
    <dgm:cxn modelId="{1EE8108E-9046-4CA2-AC0A-52E6B2E7BB51}" type="presOf" srcId="{121EB55F-5E2D-45DE-835E-D59B02D593F2}" destId="{D6E37738-19B0-4861-A392-BCB5AB77840F}" srcOrd="1" destOrd="0" presId="urn:microsoft.com/office/officeart/2008/layout/HorizontalMultiLevelHierarchy"/>
    <dgm:cxn modelId="{C517E9A6-2208-4081-9BA0-B8BDD0E2A4E2}" srcId="{80B43B91-4348-4027-B8E1-3C1A2C15DB42}" destId="{E226DCE0-5B40-4D46-9FE2-3384DDFD5ED5}" srcOrd="3" destOrd="0" parTransId="{5D5B7D25-3D80-4002-83A1-BDF1E1FA72DA}" sibTransId="{752C72D1-4B52-4EA5-8AEA-A4C520AE364B}"/>
    <dgm:cxn modelId="{126624A9-B274-4C86-B4F7-673C359F97F7}" srcId="{80B43B91-4348-4027-B8E1-3C1A2C15DB42}" destId="{85F1EFEF-2547-485B-8557-DF4EDF540EA3}" srcOrd="1" destOrd="0" parTransId="{B7F17E9D-CD05-46E7-9AAB-2F9318F14B0E}" sibTransId="{B9C72D14-F9C2-4E99-B87F-59AE3DE1764B}"/>
    <dgm:cxn modelId="{784B1DB8-6071-4D1D-88BC-E1D916AC1E74}" type="presOf" srcId="{B7F17E9D-CD05-46E7-9AAB-2F9318F14B0E}" destId="{22FE85D2-6891-4D9A-A913-D284653C8541}" srcOrd="0" destOrd="0" presId="urn:microsoft.com/office/officeart/2008/layout/HorizontalMultiLevelHierarchy"/>
    <dgm:cxn modelId="{53431EBC-527F-425C-B2E3-47A5A63756D8}" type="presOf" srcId="{96CAC42B-341D-4313-B09D-BBFB6AADD279}" destId="{9620E99F-7974-4D90-AACB-DF7FBC93A81B}" srcOrd="0" destOrd="0" presId="urn:microsoft.com/office/officeart/2008/layout/HorizontalMultiLevelHierarchy"/>
    <dgm:cxn modelId="{C9F3F7C3-2954-4B44-9B89-267B93489D7F}" type="presOf" srcId="{5D5B7D25-3D80-4002-83A1-BDF1E1FA72DA}" destId="{DD5E9622-7465-49E3-AF7E-7FF5B2F8D0B5}" srcOrd="0" destOrd="0" presId="urn:microsoft.com/office/officeart/2008/layout/HorizontalMultiLevelHierarchy"/>
    <dgm:cxn modelId="{F4C4F9C4-5A91-4FD5-8CAE-97595ED0B6B0}" srcId="{80B43B91-4348-4027-B8E1-3C1A2C15DB42}" destId="{BBB86788-2DDF-4411-A168-6C45F5C5C100}" srcOrd="2" destOrd="0" parTransId="{121EB55F-5E2D-45DE-835E-D59B02D593F2}" sibTransId="{86E40811-F76E-4246-A90D-C7B9189DEBC4}"/>
    <dgm:cxn modelId="{E511B3D3-B792-40D2-8A94-ABBC3197B17A}" type="presOf" srcId="{7EF0F96D-CF95-4D5E-B631-32C42423F06E}" destId="{1DCA7B07-EF71-48BB-A590-A5121CEAC5E6}" srcOrd="0" destOrd="0" presId="urn:microsoft.com/office/officeart/2008/layout/HorizontalMultiLevelHierarchy"/>
    <dgm:cxn modelId="{7F5584DE-84DE-4BC5-B671-19AC21120409}" srcId="{80B43B91-4348-4027-B8E1-3C1A2C15DB42}" destId="{A92C2548-E1EB-42D4-9C75-74A0C3FCA1BF}" srcOrd="4" destOrd="0" parTransId="{9AE8FB28-7B14-43B5-85A6-53B39E1EB694}" sibTransId="{B052D0CA-3C17-48FB-93E7-E99CCA1B1E1C}"/>
    <dgm:cxn modelId="{419480F1-E26B-44D4-AFA5-F204C46C2E59}" type="presOf" srcId="{85F1EFEF-2547-485B-8557-DF4EDF540EA3}" destId="{766E2B11-E166-4D14-B50A-4424ACFA59D6}" srcOrd="0" destOrd="0" presId="urn:microsoft.com/office/officeart/2008/layout/HorizontalMultiLevelHierarchy"/>
    <dgm:cxn modelId="{AF99A1ED-3DB1-45D3-A05E-91819A1AC15D}" type="presParOf" srcId="{9620E99F-7974-4D90-AACB-DF7FBC93A81B}" destId="{631F2A0C-4F9F-4B56-9B25-FF542D341094}" srcOrd="0" destOrd="0" presId="urn:microsoft.com/office/officeart/2008/layout/HorizontalMultiLevelHierarchy"/>
    <dgm:cxn modelId="{6E9BE776-8046-401E-A289-2B3185538C62}" type="presParOf" srcId="{631F2A0C-4F9F-4B56-9B25-FF542D341094}" destId="{39626380-39B4-4CAC-98FC-22757FAF5CA8}" srcOrd="0" destOrd="0" presId="urn:microsoft.com/office/officeart/2008/layout/HorizontalMultiLevelHierarchy"/>
    <dgm:cxn modelId="{5078E382-9859-474C-9116-B51154FFF4D1}" type="presParOf" srcId="{631F2A0C-4F9F-4B56-9B25-FF542D341094}" destId="{11055CE3-FC1C-4107-A94A-D8FE501A817C}" srcOrd="1" destOrd="0" presId="urn:microsoft.com/office/officeart/2008/layout/HorizontalMultiLevelHierarchy"/>
    <dgm:cxn modelId="{D2B6A069-B85C-4F4B-83C7-CD5E28EC3BBC}" type="presParOf" srcId="{11055CE3-FC1C-4107-A94A-D8FE501A817C}" destId="{1BE35975-8337-4BD8-BC3A-3990FBCD40A3}" srcOrd="0" destOrd="0" presId="urn:microsoft.com/office/officeart/2008/layout/HorizontalMultiLevelHierarchy"/>
    <dgm:cxn modelId="{E8E5BD94-0CD9-4100-8EAE-324B6E845A82}" type="presParOf" srcId="{1BE35975-8337-4BD8-BC3A-3990FBCD40A3}" destId="{A3AEA4FC-47B2-44B8-A448-63AE09A33633}" srcOrd="0" destOrd="0" presId="urn:microsoft.com/office/officeart/2008/layout/HorizontalMultiLevelHierarchy"/>
    <dgm:cxn modelId="{1090A299-9CC0-412D-9EE0-83DF2428BEBB}" type="presParOf" srcId="{11055CE3-FC1C-4107-A94A-D8FE501A817C}" destId="{12894EFD-4E7A-4228-BAB3-E73FAE3F55EE}" srcOrd="1" destOrd="0" presId="urn:microsoft.com/office/officeart/2008/layout/HorizontalMultiLevelHierarchy"/>
    <dgm:cxn modelId="{4ACBBCF4-31D2-4B0E-8DBD-0BE0A29B2768}" type="presParOf" srcId="{12894EFD-4E7A-4228-BAB3-E73FAE3F55EE}" destId="{1DCA7B07-EF71-48BB-A590-A5121CEAC5E6}" srcOrd="0" destOrd="0" presId="urn:microsoft.com/office/officeart/2008/layout/HorizontalMultiLevelHierarchy"/>
    <dgm:cxn modelId="{5EA18C1A-A96D-4B81-ADB8-477234970EE4}" type="presParOf" srcId="{12894EFD-4E7A-4228-BAB3-E73FAE3F55EE}" destId="{A05248E3-C7A8-43CA-AD1C-37C6979AB451}" srcOrd="1" destOrd="0" presId="urn:microsoft.com/office/officeart/2008/layout/HorizontalMultiLevelHierarchy"/>
    <dgm:cxn modelId="{94376005-3504-4A73-A1B1-F0FE0F21D6BE}" type="presParOf" srcId="{11055CE3-FC1C-4107-A94A-D8FE501A817C}" destId="{22FE85D2-6891-4D9A-A913-D284653C8541}" srcOrd="2" destOrd="0" presId="urn:microsoft.com/office/officeart/2008/layout/HorizontalMultiLevelHierarchy"/>
    <dgm:cxn modelId="{A7CDA159-3628-4A06-8600-CA32943BC261}" type="presParOf" srcId="{22FE85D2-6891-4D9A-A913-D284653C8541}" destId="{57756ECD-40E9-4353-8FD5-75DFDF68E946}" srcOrd="0" destOrd="0" presId="urn:microsoft.com/office/officeart/2008/layout/HorizontalMultiLevelHierarchy"/>
    <dgm:cxn modelId="{EB0D950E-3BEF-4CF9-9650-9B736B9EBF14}" type="presParOf" srcId="{11055CE3-FC1C-4107-A94A-D8FE501A817C}" destId="{A7387F45-52CA-495C-96B0-9E43A4D0B320}" srcOrd="3" destOrd="0" presId="urn:microsoft.com/office/officeart/2008/layout/HorizontalMultiLevelHierarchy"/>
    <dgm:cxn modelId="{12B1BF9E-5888-4517-9ABD-56E6DB6EAD17}" type="presParOf" srcId="{A7387F45-52CA-495C-96B0-9E43A4D0B320}" destId="{766E2B11-E166-4D14-B50A-4424ACFA59D6}" srcOrd="0" destOrd="0" presId="urn:microsoft.com/office/officeart/2008/layout/HorizontalMultiLevelHierarchy"/>
    <dgm:cxn modelId="{DFF38950-D06B-4DD7-B5A8-1F91AF814688}" type="presParOf" srcId="{A7387F45-52CA-495C-96B0-9E43A4D0B320}" destId="{6BC45D3B-8DFF-4094-8187-2A6D36D9815B}" srcOrd="1" destOrd="0" presId="urn:microsoft.com/office/officeart/2008/layout/HorizontalMultiLevelHierarchy"/>
    <dgm:cxn modelId="{6D254DD8-6A01-4573-B014-3CEED957BA83}" type="presParOf" srcId="{11055CE3-FC1C-4107-A94A-D8FE501A817C}" destId="{A0A79812-2D3D-4988-BE24-DB871005BBBE}" srcOrd="4" destOrd="0" presId="urn:microsoft.com/office/officeart/2008/layout/HorizontalMultiLevelHierarchy"/>
    <dgm:cxn modelId="{59B5F285-CBE9-4DE7-BF7A-3876E262553C}" type="presParOf" srcId="{A0A79812-2D3D-4988-BE24-DB871005BBBE}" destId="{D6E37738-19B0-4861-A392-BCB5AB77840F}" srcOrd="0" destOrd="0" presId="urn:microsoft.com/office/officeart/2008/layout/HorizontalMultiLevelHierarchy"/>
    <dgm:cxn modelId="{F389D5A3-77DB-4EC5-B472-526A7D50A17E}" type="presParOf" srcId="{11055CE3-FC1C-4107-A94A-D8FE501A817C}" destId="{0C777D84-D71C-4C0D-BA20-EA8C850DD226}" srcOrd="5" destOrd="0" presId="urn:microsoft.com/office/officeart/2008/layout/HorizontalMultiLevelHierarchy"/>
    <dgm:cxn modelId="{36F5EEE9-BE4B-437A-823E-F51B776DDA4E}" type="presParOf" srcId="{0C777D84-D71C-4C0D-BA20-EA8C850DD226}" destId="{5F06559B-019A-44D3-BD88-85EA07EF5DE6}" srcOrd="0" destOrd="0" presId="urn:microsoft.com/office/officeart/2008/layout/HorizontalMultiLevelHierarchy"/>
    <dgm:cxn modelId="{5DAF3E71-CD77-4A00-ACC2-9B42AE00BDB2}" type="presParOf" srcId="{0C777D84-D71C-4C0D-BA20-EA8C850DD226}" destId="{31F0904D-11FF-470C-BC42-EB1D6D9AFCCB}" srcOrd="1" destOrd="0" presId="urn:microsoft.com/office/officeart/2008/layout/HorizontalMultiLevelHierarchy"/>
    <dgm:cxn modelId="{3FC360FA-6D46-46EB-A724-BF88AAF073E9}" type="presParOf" srcId="{11055CE3-FC1C-4107-A94A-D8FE501A817C}" destId="{DD5E9622-7465-49E3-AF7E-7FF5B2F8D0B5}" srcOrd="6" destOrd="0" presId="urn:microsoft.com/office/officeart/2008/layout/HorizontalMultiLevelHierarchy"/>
    <dgm:cxn modelId="{28D29D20-F0A5-4FB6-92AB-64DDAD8B2894}" type="presParOf" srcId="{DD5E9622-7465-49E3-AF7E-7FF5B2F8D0B5}" destId="{75ABCCCC-E368-4C0D-A7BE-266817F3C40D}" srcOrd="0" destOrd="0" presId="urn:microsoft.com/office/officeart/2008/layout/HorizontalMultiLevelHierarchy"/>
    <dgm:cxn modelId="{40E847BB-ABDC-4F74-BC40-FCA7A5CCA8D3}" type="presParOf" srcId="{11055CE3-FC1C-4107-A94A-D8FE501A817C}" destId="{290ED00B-411F-44C8-8E4B-E7B2BCA7C3AE}" srcOrd="7" destOrd="0" presId="urn:microsoft.com/office/officeart/2008/layout/HorizontalMultiLevelHierarchy"/>
    <dgm:cxn modelId="{969E609A-96D2-4646-B832-F10659AC31E4}" type="presParOf" srcId="{290ED00B-411F-44C8-8E4B-E7B2BCA7C3AE}" destId="{EF13EB06-46B6-4CED-9B43-6CB0700A20A7}" srcOrd="0" destOrd="0" presId="urn:microsoft.com/office/officeart/2008/layout/HorizontalMultiLevelHierarchy"/>
    <dgm:cxn modelId="{1365BD3F-D3D6-47F8-9519-04812B48390F}" type="presParOf" srcId="{290ED00B-411F-44C8-8E4B-E7B2BCA7C3AE}" destId="{ACF18C53-3714-43C0-9784-51C2527675B1}" srcOrd="1" destOrd="0" presId="urn:microsoft.com/office/officeart/2008/layout/HorizontalMultiLevelHierarchy"/>
    <dgm:cxn modelId="{EFC3BB99-40E9-4C6D-925E-B66688FD907F}" type="presParOf" srcId="{11055CE3-FC1C-4107-A94A-D8FE501A817C}" destId="{99772919-AFB3-409A-9F1C-52B28A2D99C6}" srcOrd="8" destOrd="0" presId="urn:microsoft.com/office/officeart/2008/layout/HorizontalMultiLevelHierarchy"/>
    <dgm:cxn modelId="{B2368839-F48A-418A-AC82-1B908CF71588}" type="presParOf" srcId="{99772919-AFB3-409A-9F1C-52B28A2D99C6}" destId="{889651CF-07CA-416F-B3BB-C26668441F30}" srcOrd="0" destOrd="0" presId="urn:microsoft.com/office/officeart/2008/layout/HorizontalMultiLevelHierarchy"/>
    <dgm:cxn modelId="{500F6867-52B7-464B-99AC-0BFBE49CF96B}" type="presParOf" srcId="{11055CE3-FC1C-4107-A94A-D8FE501A817C}" destId="{E0EC95AA-6AE4-40BC-99CE-C1929D4C87C2}" srcOrd="9" destOrd="0" presId="urn:microsoft.com/office/officeart/2008/layout/HorizontalMultiLevelHierarchy"/>
    <dgm:cxn modelId="{04053335-48FE-4BDF-AACB-A0126B682D6A}" type="presParOf" srcId="{E0EC95AA-6AE4-40BC-99CE-C1929D4C87C2}" destId="{9A44C4D5-CAAC-422C-8AB4-8CEFC886DCF2}" srcOrd="0" destOrd="0" presId="urn:microsoft.com/office/officeart/2008/layout/HorizontalMultiLevelHierarchy"/>
    <dgm:cxn modelId="{2123A399-770F-432B-B9AE-481B82948042}" type="presParOf" srcId="{E0EC95AA-6AE4-40BC-99CE-C1929D4C87C2}" destId="{AF37FD96-DA3A-4C43-99C2-25E74A7AE699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72919-AFB3-409A-9F1C-52B28A2D99C6}">
      <dsp:nvSpPr>
        <dsp:cNvPr id="0" name=""/>
        <dsp:cNvSpPr/>
      </dsp:nvSpPr>
      <dsp:spPr>
        <a:xfrm>
          <a:off x="1771524" y="1311275"/>
          <a:ext cx="286653" cy="10924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3326" y="0"/>
              </a:lnTo>
              <a:lnTo>
                <a:pt x="143326" y="1092430"/>
              </a:lnTo>
              <a:lnTo>
                <a:pt x="286653" y="1092430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886616" y="1829254"/>
        <a:ext cx="56470" cy="56470"/>
      </dsp:txXfrm>
    </dsp:sp>
    <dsp:sp modelId="{DD5E9622-7465-49E3-AF7E-7FF5B2F8D0B5}">
      <dsp:nvSpPr>
        <dsp:cNvPr id="0" name=""/>
        <dsp:cNvSpPr/>
      </dsp:nvSpPr>
      <dsp:spPr>
        <a:xfrm>
          <a:off x="1771524" y="1311275"/>
          <a:ext cx="286653" cy="546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43326" y="0"/>
              </a:lnTo>
              <a:lnTo>
                <a:pt x="143326" y="546215"/>
              </a:lnTo>
              <a:lnTo>
                <a:pt x="286653" y="546215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899430" y="1568960"/>
        <a:ext cx="30843" cy="30843"/>
      </dsp:txXfrm>
    </dsp:sp>
    <dsp:sp modelId="{A0A79812-2D3D-4988-BE24-DB871005BBBE}">
      <dsp:nvSpPr>
        <dsp:cNvPr id="0" name=""/>
        <dsp:cNvSpPr/>
      </dsp:nvSpPr>
      <dsp:spPr>
        <a:xfrm>
          <a:off x="1771524" y="1265555"/>
          <a:ext cx="28665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86653" y="45720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907685" y="1304108"/>
        <a:ext cx="14332" cy="14332"/>
      </dsp:txXfrm>
    </dsp:sp>
    <dsp:sp modelId="{22FE85D2-6891-4D9A-A913-D284653C8541}">
      <dsp:nvSpPr>
        <dsp:cNvPr id="0" name=""/>
        <dsp:cNvSpPr/>
      </dsp:nvSpPr>
      <dsp:spPr>
        <a:xfrm>
          <a:off x="1771524" y="765059"/>
          <a:ext cx="286653" cy="546215"/>
        </a:xfrm>
        <a:custGeom>
          <a:avLst/>
          <a:gdLst/>
          <a:ahLst/>
          <a:cxnLst/>
          <a:rect l="0" t="0" r="0" b="0"/>
          <a:pathLst>
            <a:path>
              <a:moveTo>
                <a:pt x="0" y="546215"/>
              </a:moveTo>
              <a:lnTo>
                <a:pt x="143326" y="546215"/>
              </a:lnTo>
              <a:lnTo>
                <a:pt x="143326" y="0"/>
              </a:lnTo>
              <a:lnTo>
                <a:pt x="286653" y="0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899430" y="1022745"/>
        <a:ext cx="30843" cy="30843"/>
      </dsp:txXfrm>
    </dsp:sp>
    <dsp:sp modelId="{1BE35975-8337-4BD8-BC3A-3990FBCD40A3}">
      <dsp:nvSpPr>
        <dsp:cNvPr id="0" name=""/>
        <dsp:cNvSpPr/>
      </dsp:nvSpPr>
      <dsp:spPr>
        <a:xfrm>
          <a:off x="1771524" y="218844"/>
          <a:ext cx="286653" cy="1092430"/>
        </a:xfrm>
        <a:custGeom>
          <a:avLst/>
          <a:gdLst/>
          <a:ahLst/>
          <a:cxnLst/>
          <a:rect l="0" t="0" r="0" b="0"/>
          <a:pathLst>
            <a:path>
              <a:moveTo>
                <a:pt x="0" y="1092430"/>
              </a:moveTo>
              <a:lnTo>
                <a:pt x="143326" y="1092430"/>
              </a:lnTo>
              <a:lnTo>
                <a:pt x="143326" y="0"/>
              </a:lnTo>
              <a:lnTo>
                <a:pt x="286653" y="0"/>
              </a:lnTo>
            </a:path>
          </a:pathLst>
        </a:custGeom>
        <a:noFill/>
        <a:ln w="1270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886616" y="736824"/>
        <a:ext cx="56470" cy="56470"/>
      </dsp:txXfrm>
    </dsp:sp>
    <dsp:sp modelId="{39626380-39B4-4CAC-98FC-22757FAF5CA8}">
      <dsp:nvSpPr>
        <dsp:cNvPr id="0" name=""/>
        <dsp:cNvSpPr/>
      </dsp:nvSpPr>
      <dsp:spPr>
        <a:xfrm rot="16200000">
          <a:off x="403112" y="1092788"/>
          <a:ext cx="2299853" cy="436972"/>
        </a:xfrm>
        <a:prstGeom prst="rect">
          <a:avLst/>
        </a:prstGeom>
        <a:solidFill>
          <a:schemeClr val="accent5">
            <a:alpha val="8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500" kern="1200"/>
            <a:t>Watch Dog</a:t>
          </a:r>
          <a:endParaRPr lang="zh-CN" altLang="en-US" sz="2500" kern="1200"/>
        </a:p>
      </dsp:txBody>
      <dsp:txXfrm>
        <a:off x="403112" y="1092788"/>
        <a:ext cx="2299853" cy="436972"/>
      </dsp:txXfrm>
    </dsp:sp>
    <dsp:sp modelId="{1DCA7B07-EF71-48BB-A590-A5121CEAC5E6}">
      <dsp:nvSpPr>
        <dsp:cNvPr id="0" name=""/>
        <dsp:cNvSpPr/>
      </dsp:nvSpPr>
      <dsp:spPr>
        <a:xfrm>
          <a:off x="2058178" y="358"/>
          <a:ext cx="1433268" cy="436972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用户模块</a:t>
          </a:r>
        </a:p>
      </dsp:txBody>
      <dsp:txXfrm>
        <a:off x="2058178" y="358"/>
        <a:ext cx="1433268" cy="436972"/>
      </dsp:txXfrm>
    </dsp:sp>
    <dsp:sp modelId="{766E2B11-E166-4D14-B50A-4424ACFA59D6}">
      <dsp:nvSpPr>
        <dsp:cNvPr id="0" name=""/>
        <dsp:cNvSpPr/>
      </dsp:nvSpPr>
      <dsp:spPr>
        <a:xfrm>
          <a:off x="2058178" y="546573"/>
          <a:ext cx="1433268" cy="436972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提醒模块</a:t>
          </a:r>
        </a:p>
      </dsp:txBody>
      <dsp:txXfrm>
        <a:off x="2058178" y="546573"/>
        <a:ext cx="1433268" cy="436972"/>
      </dsp:txXfrm>
    </dsp:sp>
    <dsp:sp modelId="{5F06559B-019A-44D3-BD88-85EA07EF5DE6}">
      <dsp:nvSpPr>
        <dsp:cNvPr id="0" name=""/>
        <dsp:cNvSpPr/>
      </dsp:nvSpPr>
      <dsp:spPr>
        <a:xfrm>
          <a:off x="2058178" y="1092788"/>
          <a:ext cx="1433268" cy="436972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扩展模块</a:t>
          </a:r>
        </a:p>
      </dsp:txBody>
      <dsp:txXfrm>
        <a:off x="2058178" y="1092788"/>
        <a:ext cx="1433268" cy="436972"/>
      </dsp:txXfrm>
    </dsp:sp>
    <dsp:sp modelId="{EF13EB06-46B6-4CED-9B43-6CB0700A20A7}">
      <dsp:nvSpPr>
        <dsp:cNvPr id="0" name=""/>
        <dsp:cNvSpPr/>
      </dsp:nvSpPr>
      <dsp:spPr>
        <a:xfrm>
          <a:off x="2058178" y="1639004"/>
          <a:ext cx="1433268" cy="436972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视频监控模块</a:t>
          </a:r>
        </a:p>
      </dsp:txBody>
      <dsp:txXfrm>
        <a:off x="2058178" y="1639004"/>
        <a:ext cx="1433268" cy="436972"/>
      </dsp:txXfrm>
    </dsp:sp>
    <dsp:sp modelId="{9A44C4D5-CAAC-422C-8AB4-8CEFC886DCF2}">
      <dsp:nvSpPr>
        <dsp:cNvPr id="0" name=""/>
        <dsp:cNvSpPr/>
      </dsp:nvSpPr>
      <dsp:spPr>
        <a:xfrm>
          <a:off x="2058178" y="2185219"/>
          <a:ext cx="1433268" cy="436972"/>
        </a:xfrm>
        <a:prstGeom prst="rect">
          <a:avLst/>
        </a:prstGeom>
        <a:solidFill>
          <a:schemeClr val="accent5">
            <a:alpha val="7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500" kern="1200"/>
            <a:t>温湿度监控模块</a:t>
          </a:r>
        </a:p>
      </dsp:txBody>
      <dsp:txXfrm>
        <a:off x="2058178" y="2185219"/>
        <a:ext cx="1433268" cy="4369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844</Words>
  <Characters>4814</Characters>
  <Lines>40</Lines>
  <Paragraphs>11</Paragraphs>
  <TotalTime>857</TotalTime>
  <ScaleCrop>false</ScaleCrop>
  <LinksUpToDate>false</LinksUpToDate>
  <CharactersWithSpaces>5647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2020-05-29T22:50:00Z</dcterms:created>
  <dc:creator>wei fy</dc:creator>
  <cp:lastModifiedBy>听雨</cp:lastModifiedBy>
  <dcterms:modified xsi:type="dcterms:W3CDTF">2022-04-01T13:59:45Z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