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p>
      <w:r>
        <w:br w:type="page"/>
      </w:r>
    </w:p>
    <w:p>
      <w:pPr>
        <w:pStyle w:val="Heading1"/>
      </w:pPr>
      <w:r>
        <w:t>15. v0.11 — Logging / Replay Bundle Contract frozen</w:t>
      </w:r>
    </w:p>
    <w:p>
      <w:r>
        <w:t>Stage 1 adopts Logging / Replay Bundle Contract v1.0 in a balanced form: session bundle folder + manifest + YAML snapshots + NDJSON application trace + MCAP telemetry stream + optional artifacts directory. The goal is reproducible debugging, post-mortem analysis, controlled replay, and a clean upgrade path to richer multimodal logging in Stage 2.</w:t>
      </w:r>
    </w:p>
    <w:p>
      <w:pPr>
        <w:pStyle w:val="Heading2"/>
      </w:pPr>
      <w:r>
        <w:t>15.1 Chosen strategy</w:t>
      </w:r>
    </w:p>
    <w:p>
      <w:pPr>
        <w:pStyle w:val="ListBullet"/>
      </w:pPr>
      <w:r>
        <w:t>Stage 1 starts with Variant 2: manifest.json, YAML snapshots, session_trace.ndjson, telemetry.mcap, artifacts/.</w:t>
      </w:r>
    </w:p>
    <w:p>
      <w:pPr>
        <w:pStyle w:val="ListBullet"/>
      </w:pPr>
      <w:r>
        <w:t>Stage 2 evolves toward Variant 3: richer MCAP channels, larger multimodal capture, split/rotation policy, stronger trace correlation, and optional upload hooks.</w:t>
      </w:r>
    </w:p>
    <w:p>
      <w:pPr>
        <w:pStyle w:val="ListBullet"/>
      </w:pPr>
      <w:r>
        <w:t>Structured slot model, state machine transitions, commands, faults, and telemetry must be replayable from one self-contained session bundle.</w:t>
      </w:r>
    </w:p>
    <w:p>
      <w:pPr>
        <w:pStyle w:val="Heading2"/>
      </w:pPr>
      <w:r>
        <w:t>15.2 Session bundle structure</w:t>
      </w:r>
    </w:p>
    <w:p>
      <w:pPr>
        <w:pStyle w:val="IntenseQuote"/>
      </w:pPr>
      <w:r>
        <w:t>session_&lt;timestamp&gt;/</w:t>
      </w:r>
    </w:p>
    <w:p>
      <w:pPr>
        <w:pStyle w:val="NoSpacing"/>
      </w:pPr>
      <w:r>
        <w:t xml:space="preserve">  manifest.json</w:t>
      </w:r>
    </w:p>
    <w:p>
      <w:pPr>
        <w:pStyle w:val="NoSpacing"/>
      </w:pPr>
      <w:r>
        <w:t xml:space="preserve">  config_snapshot.yaml</w:t>
      </w:r>
    </w:p>
    <w:p>
      <w:pPr>
        <w:pStyle w:val="NoSpacing"/>
      </w:pPr>
      <w:r>
        <w:t xml:space="preserve">  slot_model_snapshot.yaml</w:t>
      </w:r>
    </w:p>
    <w:p>
      <w:pPr>
        <w:pStyle w:val="NoSpacing"/>
      </w:pPr>
      <w:r>
        <w:t xml:space="preserve">  object_library_snapshot.yaml</w:t>
      </w:r>
    </w:p>
    <w:p>
      <w:pPr>
        <w:pStyle w:val="NoSpacing"/>
      </w:pPr>
      <w:r>
        <w:t xml:space="preserve">  calibration_snapshot.yaml</w:t>
      </w:r>
    </w:p>
    <w:p>
      <w:pPr>
        <w:pStyle w:val="NoSpacing"/>
      </w:pPr>
      <w:r>
        <w:t xml:space="preserve">  session_trace.ndjson</w:t>
      </w:r>
    </w:p>
    <w:p>
      <w:pPr>
        <w:pStyle w:val="NoSpacing"/>
      </w:pPr>
      <w:r>
        <w:t xml:space="preserve">  telemetry.mcap</w:t>
      </w:r>
    </w:p>
    <w:p>
      <w:pPr>
        <w:pStyle w:val="IntenseQuote"/>
      </w:pPr>
      <w:r>
        <w:t xml:space="preserve">  artifacts/</w:t>
      </w:r>
    </w:p>
    <w:p>
      <w:pPr>
        <w:pStyle w:val="NoSpacing"/>
      </w:pPr>
      <w:r>
        <w:t xml:space="preserve">  checksums.txt</w:t>
      </w:r>
    </w:p>
    <w:p>
      <w:pPr>
        <w:pStyle w:val="Heading2"/>
      </w:pPr>
      <w:r>
        <w:t>15.3 Recording policy</w:t>
      </w:r>
    </w:p>
    <w:p>
      <w:pPr>
        <w:pStyle w:val="ListBullet"/>
      </w:pPr>
      <w:r>
        <w:t>Application-level records (commands, events, faults, state transitions, operator actions) go to session_trace.ndjson.</w:t>
      </w:r>
    </w:p>
    <w:p>
      <w:pPr>
        <w:pStyle w:val="ListBullet"/>
      </w:pPr>
      <w:r>
        <w:t>High-volume timestamped streams (status, telemetry, slot runtime states, timing, later vision and pose channels) go to telemetry.mcap.</w:t>
      </w:r>
    </w:p>
    <w:p>
      <w:pPr>
        <w:pStyle w:val="ListBullet"/>
      </w:pPr>
      <w:r>
        <w:t>Every bundle stores exact config, slot model, object library, and calibration snapshots active at session start.</w:t>
      </w:r>
    </w:p>
    <w:p>
      <w:pPr>
        <w:pStyle w:val="ListBullet"/>
      </w:pPr>
      <w:r>
        <w:t>trace_id, span_id, and session_id are reserved from Stage 1 even without full observability stack rollout.</w:t>
      </w:r>
    </w:p>
    <w:p>
      <w:pPr>
        <w:pStyle w:val="Heading2"/>
      </w:pPr>
      <w:r>
        <w:t>15.4 Replay targets</w:t>
      </w:r>
    </w:p>
    <w:p>
      <w:pPr>
        <w:pStyle w:val="ListBullet"/>
      </w:pPr>
      <w:r>
        <w:t>Analytical replay: inspect a completed or failed run after the fact.</w:t>
      </w:r>
    </w:p>
    <w:p>
      <w:pPr>
        <w:pStyle w:val="ListBullet"/>
      </w:pPr>
      <w:r>
        <w:t>Functional control-plane replay: re-run command/event/state flow without claiming full physics simulation.</w:t>
      </w:r>
    </w:p>
    <w:p>
      <w:pPr>
        <w:pStyle w:val="ListBullet"/>
      </w:pPr>
      <w:r>
        <w:t>Future Stage 2 replay must include continuous vision outputs as MCAP channels without replacing the base bundle structure.</w:t>
      </w:r>
    </w:p>
    <w:p>
      <w:r>
        <w:br w:type="page"/>
      </w:r>
    </w:p>
    <w:p>
      <w:pPr>
        <w:pStyle w:val="Heading1"/>
      </w:pPr>
      <w:r>
        <w:t>16. Обновление v0.12 — стимул Stage 1 и сенсорный roadmap</w:t>
      </w:r>
    </w:p>
    <w:p>
      <w:pPr>
        <w:pStyle w:val="BodyText"/>
      </w:pPr>
      <w:r>
        <w:t>Stage 1 теперь трактуется не как «слепой автономный режим», а как operator-triggered, camera-ready система. Первый ценный контур — это repeatable handover по явной команде оператора, а не распознавание намерения по телу.</w:t>
      </w:r>
    </w:p>
    <w:p>
      <w:pPr>
        <w:pStyle w:val="BodyText"/>
      </w:pPr>
      <w:r>
        <w:t>Стимул Stage 1: (1) web UI / локальная панель, (2) физический trigger — крупная кнопка или ножная педаль, (3) аварийная остановка как обязательный hardware control. Dev keyboard допускается только как сервисный инструмент.</w:t>
      </w:r>
    </w:p>
    <w:p>
      <w:pPr>
        <w:pStyle w:val="BodyText"/>
      </w:pPr>
      <w:r>
        <w:t>Камера должна быть предусмотрена уже в Stage 1 конструктивно и по возможности закуплена уже сейчас, но не является блокером первой демонстрации. Stage 1.5 включает camera-on режим для observation overlay. Stage 2 считается выполненным только при постоянно работающем vision runtime. Stage 3 — multimodal assistant с perception + intent fusion.</w:t>
      </w:r>
    </w:p>
    <w:p>
      <w:pPr>
        <w:pStyle w:val="BodyText"/>
      </w:pPr>
      <w:r>
        <w:t>IMU вводится раньше sEMG. IMU разумно использовать как ранний side-channel для posture/gesture экспериментов, тогда как sEMG остается buy-soon / parallel R&amp;D контуром из-за чувствительности к placement и калибровке.</w:t>
      </w:r>
    </w:p>
    <w:p>
      <w:pPr>
        <w:pStyle w:val="Heading2"/>
      </w:pPr>
      <w:r>
        <w:t>16.1 Roadmap стимулов и сенсоров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Основной стимул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Vision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IMU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sEMG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+ physical trigger + E-stop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Camera-ready, но не обязательный runtime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1.5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Тот же операторский trigger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overlay, calibration/debug, occupancy &amp; pose correction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Опциональные жестовые эксперименты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Параллельный R&amp;D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2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Trigger + automation + fallback UI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Mandatory continuous hybrid vision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Рабочий side-channel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Ограниченные сценарии, не единственный канал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3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human-in-the-loop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Hybrid / scene-first with fallback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</w:tr>
    </w:tbl>
    <w:p>
      <w:pPr>
        <w:pStyle w:val="Heading2"/>
      </w:pPr>
      <w:r>
        <w:t>16.2 Принцип Stage 1</w:t>
      </w:r>
    </w:p>
    <w:p>
      <w:pPr>
        <w:pStyle w:val="BodyText"/>
      </w:pPr>
      <w:r>
        <w:t>Первая полезная демонстрация Stage 1 — desktop handover в режиме present_hold по явному операторскому trigger. Отсутствие camera-on и sEMG/IMU в первой демонстрации не считается архитектурной проблемой, если система уже camera-ready и sensor-roadmap зафиксирован.</w:t>
      </w:r>
    </w:p>
    <w:p>
      <w:pPr>
        <w:pStyle w:val="Heading1"/>
      </w:pPr>
      <w:r>
        <w:t>17. Обновление v0.13 — BOM freeze принят, допускаются рыночные замены</w:t>
      </w:r>
    </w:p>
    <w:p>
      <w:pPr>
        <w:pStyle w:val="BodyText"/>
      </w:pPr>
      <w:r>
        <w:rPr>
          <w:b/>
        </w:rPr>
        <w:t xml:space="preserve">Зафиксировано 23 марта 2026. </w:t>
      </w:r>
      <w:r>
        <w:t>Принят BOM freeze Stage 1 как рабочий набор для старта закупки и реализации. При этом разрешены прагматичные замены по фактической доступности на рынке РФ и Китая при сохранении архитектурных инвариантов: 24V rail, desktop-first, operator-triggered контур, camera-ready конструкция, общий arm core и раздельные base modules.</w:t>
      </w:r>
    </w:p>
    <w:p>
      <w:pPr>
        <w:pStyle w:val="Heading2"/>
      </w:pPr>
      <w:r>
        <w:t>17.1 Инварианты, которые нельзя ломать заменами</w:t>
      </w:r>
    </w:p>
    <w:p>
      <w:pPr>
        <w:pStyle w:val="ListBullet"/>
      </w:pPr>
      <w:r>
        <w:t>Нельзя убирать E-stop и физический trigger из первой закупки.</w:t>
      </w:r>
    </w:p>
    <w:p>
      <w:pPr>
        <w:pStyle w:val="ListBullet"/>
      </w:pPr>
      <w:r>
        <w:t>Нельзя покупать железо, которое ломает 24V силовую схему или внешний CAN-ready boundary.</w:t>
      </w:r>
    </w:p>
    <w:p>
      <w:pPr>
        <w:pStyle w:val="ListBullet"/>
      </w:pPr>
      <w:r>
        <w:t>Нельзя сдвигать Stage 1 обратно в camera-blind тупик: camera-ready mount и cable path обязательны.</w:t>
      </w:r>
    </w:p>
    <w:p>
      <w:pPr>
        <w:pStyle w:val="ListBullet"/>
      </w:pPr>
      <w:r>
        <w:t>Нельзя делать sEMG блокером первого handover demo; это слой Stage 2/3 и parallel R&amp;D.</w:t>
      </w:r>
    </w:p>
    <w:p>
      <w:pPr>
        <w:pStyle w:val="Heading2"/>
      </w:pPr>
      <w:r>
        <w:t>17.2 Implementation entry plan — Week 0–2</w:t>
      </w:r>
    </w:p>
    <w:p>
      <w:pPr>
        <w:pStyle w:val="ListBullet"/>
      </w:pPr>
      <w:r>
        <w:t>Week 0: заморозить корзины must-buy now / buy-soon / defer; подтвердить локальные substitute parts; завести репозиторий edge-сервиса и структуру конфигов.</w:t>
      </w:r>
    </w:p>
    <w:p>
      <w:pPr>
        <w:pStyle w:val="ListBullet"/>
      </w:pPr>
      <w:r>
        <w:t>Week 0: поднять FastAPI skeleton с GET /health, GET /status, POST /session/start, POST /session/stop, POST /arm/home, POST /handover/request и WS /ws/stream.</w:t>
      </w:r>
    </w:p>
    <w:p>
      <w:pPr>
        <w:pStyle w:val="ListBullet"/>
      </w:pPr>
      <w:r>
        <w:t>Week 1: реализовать session bundle writer: manifest.json, session_trace.ndjson, telemetry.mcap, config snapshots.</w:t>
      </w:r>
    </w:p>
    <w:p>
      <w:pPr>
        <w:pStyle w:val="ListBullet"/>
      </w:pPr>
      <w:r>
        <w:t>Week 1: реализовать slot model loader, state machine stub и mock arm adapter; прогнать dry-run сценарий handover без реального железа.</w:t>
      </w:r>
    </w:p>
    <w:p>
      <w:pPr>
        <w:pStyle w:val="ListBullet"/>
      </w:pPr>
      <w:r>
        <w:t>Week 2: собрать power path, desktop dock, E-stop, trigger, source slots и neutral motion bring-up; затем связать mock/control plane с реальным arm bring-up.</w:t>
      </w:r>
    </w:p>
    <w:p>
      <w:pPr>
        <w:pStyle w:val="ListBullet"/>
      </w:pPr>
      <w:r>
        <w:t>Week 2: критерий готовности к первому demo — successful present_hold с одним объектом и сохраненным replay bundle без fault leakage.</w:t>
      </w:r>
    </w:p>
    <w:p>
      <w:r>
        <w:br w:type="page"/>
      </w:r>
    </w:p>
    <w:p>
      <w:pPr>
        <w:pStyle w:val="Heading1"/>
      </w:pPr>
      <w:r>
        <w:t>14. Stage 1 Launch Basket and Implementation Entry (v0.14)</w:t>
      </w:r>
    </w:p>
    <w:p>
      <w:r>
        <w:rPr>
          <w:b/>
        </w:rPr>
        <w:t xml:space="preserve">Purpose. </w:t>
      </w:r>
      <w:r>
        <w:t>Freeze a practical launch basket and a first implementation path that gets the project to a working desktop-first demo without pulling in Stage 2 complexity too early.</w:t>
      </w:r>
    </w:p>
    <w:p>
      <w:pPr>
        <w:pStyle w:val="Heading2"/>
      </w:pPr>
      <w:r>
        <w:t>Launch basket policy</w:t>
      </w:r>
    </w:p>
    <w:p>
      <w:pPr>
        <w:pStyle w:val="ListBullet"/>
      </w:pPr>
      <w:r>
        <w:t>Must-buy now: items required to start Stage 1 build and software bring-up.</w:t>
      </w:r>
    </w:p>
    <w:p>
      <w:pPr>
        <w:pStyle w:val="ListBullet"/>
      </w:pPr>
      <w:r>
        <w:t>Buy-soon: items that should follow quickly after launch basket is ordered and that accelerate Stage 1.5 / Stage 2 without blocking the first demo.</w:t>
      </w:r>
    </w:p>
    <w:p>
      <w:pPr>
        <w:pStyle w:val="ListBullet"/>
      </w:pPr>
      <w:r>
        <w:t>Defer: items intentionally postponed to avoid derailing Stage 1 with extra cost, integration risk, or design churn.</w:t>
      </w:r>
    </w:p>
    <w:p>
      <w:pPr>
        <w:pStyle w:val="ListBullet"/>
      </w:pPr>
      <w:r>
        <w:t>Market substitutions are allowed if they preserve the approved architectural invariants: 24V rail, edge-first control, CAN-ready boundary, hard safety loop, camera-ready dock, and operator-triggered Stage 1.</w:t>
      </w:r>
    </w:p>
    <w:p>
      <w:pPr>
        <w:pStyle w:val="Heading2"/>
      </w:pPr>
      <w:r>
        <w:t>Must-buy now</w:t>
      </w:r>
    </w:p>
    <w:p>
      <w:pPr>
        <w:pStyle w:val="ListBullet"/>
      </w:pPr>
      <w:r>
        <w:t>Edge compute: Raspberry Pi 5 class node with local storage for session bundles.</w:t>
      </w:r>
    </w:p>
    <w:p>
      <w:pPr>
        <w:pStyle w:val="ListBullet"/>
      </w:pPr>
      <w:r>
        <w:t>Power path: 24V PSU, DC/DC modules, fuse / protection, wiring, and service power tooling.</w:t>
      </w:r>
    </w:p>
    <w:p>
      <w:pPr>
        <w:pStyle w:val="ListBullet"/>
      </w:pPr>
      <w:r>
        <w:t>Motion core: Stage 1 servos / motor controllers, arm-base interface hardware, and desktop dock structure.</w:t>
      </w:r>
    </w:p>
    <w:p>
      <w:pPr>
        <w:pStyle w:val="ListBullet"/>
      </w:pPr>
      <w:r>
        <w:t>Operator control: E-stop plus one physical trigger (large push button or footswitch).</w:t>
      </w:r>
    </w:p>
    <w:p>
      <w:pPr>
        <w:pStyle w:val="ListBullet"/>
      </w:pPr>
      <w:r>
        <w:t>Bench fixtures: printed source slots for mug, flashlight, and ball, plus camera-ready bracket and cable routing path.</w:t>
      </w:r>
    </w:p>
    <w:p>
      <w:pPr>
        <w:pStyle w:val="Heading2"/>
      </w:pPr>
      <w:r>
        <w:t>Buy-soon</w:t>
      </w:r>
    </w:p>
    <w:p>
      <w:pPr>
        <w:pStyle w:val="ListBullet"/>
      </w:pPr>
      <w:r>
        <w:t>Vision sensor: either OAK-D Lite as the long-lived robotics option, or Raspberry Pi Camera / AI Camera as the lower-cost entry to Stage 1.5 observation overlay.</w:t>
      </w:r>
    </w:p>
    <w:p>
      <w:pPr>
        <w:pStyle w:val="ListBullet"/>
      </w:pPr>
      <w:r>
        <w:t>One IMU module for early side-channel experiments and future multimodal fusion.</w:t>
      </w:r>
    </w:p>
    <w:p>
      <w:pPr>
        <w:pStyle w:val="ListBullet"/>
      </w:pPr>
      <w:r>
        <w:t>Lighting, tripod / bracket refinements, and cable-management accessories that improve observation quality and serviceability.</w:t>
      </w:r>
    </w:p>
    <w:p>
      <w:pPr>
        <w:pStyle w:val="Heading2"/>
      </w:pPr>
      <w:r>
        <w:t>Defer</w:t>
      </w:r>
    </w:p>
    <w:p>
      <w:pPr>
        <w:pStyle w:val="ListBullet"/>
      </w:pPr>
      <w:r>
        <w:t>sEMG as a primary control input.</w:t>
      </w:r>
    </w:p>
    <w:p>
      <w:pPr>
        <w:pStyle w:val="ListBullet"/>
      </w:pPr>
      <w:r>
        <w:t>Wearable mount hardware.</w:t>
      </w:r>
    </w:p>
    <w:p>
      <w:pPr>
        <w:pStyle w:val="ListBullet"/>
      </w:pPr>
      <w:r>
        <w:t>Quick-change tool-side hardware.</w:t>
      </w:r>
    </w:p>
    <w:p>
      <w:pPr>
        <w:pStyle w:val="ListBullet"/>
      </w:pPr>
      <w:r>
        <w:t>Heavy perception compute or Stage 3 scene-first hardware assumptions.</w:t>
      </w:r>
    </w:p>
    <w:p>
      <w:pPr>
        <w:pStyle w:val="Heading2"/>
      </w:pPr>
      <w:r>
        <w:t>Implementation entry gate</w:t>
      </w:r>
    </w:p>
    <w:p>
      <w:pPr>
        <w:pStyle w:val="ListBullet"/>
      </w:pPr>
      <w:r>
        <w:t>Launch basket ordered or fully mapped to market substitutes.</w:t>
      </w:r>
    </w:p>
    <w:p>
      <w:pPr>
        <w:pStyle w:val="ListBullet"/>
      </w:pPr>
      <w:r>
        <w:t>Repo skeleton created and bootstrapped.</w:t>
      </w:r>
    </w:p>
    <w:p>
      <w:pPr>
        <w:pStyle w:val="ListBullet"/>
      </w:pPr>
      <w:r>
        <w:t>Edge skeleton running locally: REST + WebSocket.</w:t>
      </w:r>
    </w:p>
    <w:p>
      <w:pPr>
        <w:pStyle w:val="ListBullet"/>
      </w:pPr>
      <w:r>
        <w:t>Session bundle writer alive: manifest.json, session_trace.ndjson, telemetry.mcap, snapshots.</w:t>
      </w:r>
    </w:p>
    <w:p>
      <w:pPr>
        <w:pStyle w:val="ListBullet"/>
      </w:pPr>
      <w:r>
        <w:t>Mock arm path exercises the approved state machine before real hardware is attached.</w:t>
      </w:r>
    </w:p>
    <w:p>
      <w:r>
        <w:br w:type="page"/>
      </w:r>
    </w:p>
    <w:p>
      <w:pPr>
        <w:pStyle w:val="Heading1"/>
      </w:pPr>
      <w:r>
        <w:t>15. Repo skeleton и implementation entry (frozen for Stage 1)</w:t>
      </w:r>
    </w:p>
    <w:p>
      <w:r>
        <w:rPr>
          <w:b/>
        </w:rPr>
        <w:t xml:space="preserve">Цель этого блока: </w:t>
      </w:r>
      <w:r>
        <w:t>зафиксировать стартовую структуру mono-repo, минимальный объем bootstrap-кода и порядок входа в реализацию, не удаляя и не переопределяя ранее согласованные архитектурные решения.</w:t>
      </w:r>
    </w:p>
    <w:p>
      <w:pPr>
        <w:pStyle w:val="Heading2"/>
      </w:pPr>
      <w:r>
        <w:t>15.1 Принцип mono-repo</w:t>
      </w:r>
    </w:p>
    <w:p>
      <w:pPr>
        <w:pStyle w:val="ListBullet"/>
      </w:pPr>
      <w:r>
        <w:t>Stage 1 ведется в одном mono-repo: API, доменная логика, адаптеры, конфиги, replay и тесты живут вместе.</w:t>
      </w:r>
    </w:p>
    <w:p>
      <w:pPr>
        <w:pStyle w:val="ListBullet"/>
      </w:pPr>
      <w:r>
        <w:t>api/ отвечает только за northbound surface: REST и WebSocket.</w:t>
      </w:r>
    </w:p>
    <w:p>
      <w:pPr>
        <w:pStyle w:val="ListBullet"/>
      </w:pPr>
      <w:r>
        <w:t>domain/ содержит state machine, handover-логику, slot semantics и object semantics.</w:t>
      </w:r>
    </w:p>
    <w:p>
      <w:pPr>
        <w:pStyle w:val="ListBullet"/>
      </w:pPr>
      <w:r>
        <w:t>adapters/ содержит все заменяемые интеграции: mock arm, hardware arm, vision, IMU, sEMG.</w:t>
      </w:r>
    </w:p>
    <w:p>
      <w:pPr>
        <w:pStyle w:val="ListBullet"/>
      </w:pPr>
      <w:r>
        <w:t>logging/ выделяется отдельно, потому что session bundle и replay — часть архитектуры, а не побочный вывод.</w:t>
      </w:r>
    </w:p>
    <w:p>
      <w:pPr>
        <w:pStyle w:val="ListBullet"/>
      </w:pPr>
      <w:r>
        <w:t>configs/ считается источником frozen runtime snapshots; активные конфиги копируются в каждую recorded session.</w:t>
      </w:r>
    </w:p>
    <w:p>
      <w:pPr>
        <w:pStyle w:val="Heading2"/>
      </w:pPr>
      <w:r>
        <w:t>15.2 Root-level структура</w:t>
      </w:r>
    </w:p>
    <w:p>
      <w:r>
        <w:rPr>
          <w:rFonts w:ascii="Courier New" w:hAnsi="Courier New"/>
          <w:sz w:val="18"/>
        </w:rPr>
        <w:t>third-arm/</w:t>
        <w:br/>
        <w:t>├─ pyproject.toml</w:t>
        <w:br/>
        <w:t>├─ README.md</w:t>
        <w:br/>
        <w:t>├─ .env.example</w:t>
        <w:br/>
        <w:t>├─ .gitignore</w:t>
        <w:br/>
        <w:t>├─ configs/</w:t>
        <w:br/>
        <w:t>├─ docs/</w:t>
        <w:br/>
        <w:t>├─ src/third_arm/</w:t>
        <w:br/>
        <w:t>├─ tests/</w:t>
        <w:br/>
        <w:t>├─ scripts/</w:t>
        <w:br/>
        <w:t>└─ sessions/</w:t>
      </w:r>
    </w:p>
    <w:p>
      <w:pPr>
        <w:pStyle w:val="Heading2"/>
      </w:pPr>
      <w:r>
        <w:t>15.3 Week 0 success gate</w:t>
      </w:r>
    </w:p>
    <w:p>
      <w:pPr>
        <w:pStyle w:val="ListBullet"/>
      </w:pPr>
      <w:r>
        <w:t>repo создан локально на Mac и поднимается одной командой dev-run;</w:t>
      </w:r>
    </w:p>
    <w:p>
      <w:pPr>
        <w:pStyle w:val="ListBullet"/>
      </w:pPr>
      <w:r>
        <w:t>FastAPI edge skeleton живет локально и отдает /health, /status и /ws/stream;</w:t>
      </w:r>
    </w:p>
    <w:p>
      <w:pPr>
        <w:pStyle w:val="ListBullet"/>
      </w:pPr>
      <w:r>
        <w:t>session bundle writer пишет manifest.json, session_trace.ndjson, telemetry.mcap и snapshots;</w:t>
      </w:r>
    </w:p>
    <w:p>
      <w:pPr>
        <w:pStyle w:val="ListBullet"/>
      </w:pPr>
      <w:r>
        <w:t>state machine проходит through mock arm до task_complete без подключенного железа;</w:t>
      </w:r>
    </w:p>
    <w:p>
      <w:pPr>
        <w:pStyle w:val="ListBullet"/>
      </w:pPr>
      <w:r>
        <w:t>slot model загружается из configs/slots/*.yaml и попадает в session bundle snapshot.</w:t>
      </w:r>
    </w:p>
    <w:p>
      <w:r>
        <w:br w:type="page"/>
      </w:r>
    </w:p>
    <w:p>
      <w:pPr>
        <w:pStyle w:val="Heading1"/>
      </w:pPr>
      <w:r>
        <w:t>v0.16 — Актуализация пакета документов и текущее состояние</w:t>
      </w:r>
    </w:p>
    <w:p>
      <w:pPr>
        <w:pStyle w:val="Heading2"/>
      </w:pPr>
      <w:r>
        <w:t>Что изменено в пакете</w:t>
      </w:r>
    </w:p>
    <w:p>
      <w:r>
        <w:t>Документация приведена к стабильному пакету из 4 основных файлов: PRD, архитектурное ТЗ, смета закупки XLSX и PDF-пакет по сборке/печатным деталям. Историческая информация сохранена; эта секция добавлена инкрементально.</w:t>
      </w:r>
    </w:p>
    <w:p>
      <w:pPr>
        <w:pStyle w:val="Heading2"/>
      </w:pPr>
      <w:r>
        <w:t>Текущее состояние реализации</w:t>
      </w:r>
    </w:p>
    <w:p>
      <w:r>
        <w:t>Есть bootstrap-репозиторий Stage 1 с FastAPI shell, конфигами, state machine, logging/replay spine и mock arm. Следующий инженерный шаг — довести связку session/handover/artifacts до повторяемого e2e flow и только потом переходить к hardware bring-up.</w:t>
      </w:r>
    </w:p>
    <w:p>
      <w:pPr>
        <w:pStyle w:val="Heading2"/>
      </w:pPr>
      <w:r>
        <w:t>Главный источник правды</w:t>
      </w:r>
    </w:p>
    <w:p>
      <w:r>
        <w:t>Для архитектурных инвариантов — Decisions/Execution Pack v0.15. Для продуктового контекста и долгосрочной логики — этот PRD. Для физической сборки и печати — отдельный PDF drawing pack.</w:t>
      </w:r>
    </w:p>
    <w:p>
      <w:pPr>
        <w:pStyle w:val="Heading2"/>
      </w:pPr>
      <w:r>
        <w:t>Зафиксированные инварианты</w:t>
      </w:r>
    </w:p>
    <w:p>
      <w:r>
        <w:t>Stage 1 — desktop-first и operator-triggered; Stage 1.5 — observation overlay; Stage 2 — continuous vision; Stage 3 — multimodal/hybrid. Общий arm core + разные base modules. Northbound — REST + WebSocket, MQTT позже. logging/replay bundle, object slot model и state machine уже согласованы.</w:t>
      </w:r>
    </w:p>
    <w:p>
      <w:pPr>
        <w:pStyle w:val="Heading2"/>
      </w:pPr>
      <w:r>
        <w:t>Что печатается на 3D-принтере в Stage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fill="D9E2F3"/>
          </w:tcPr>
          <w:p>
            <w:r>
              <w:t>Код</w:t>
            </w:r>
          </w:p>
        </w:tc>
        <w:tc>
          <w:tcPr>
            <w:tcW w:type="dxa" w:w="2494"/>
            <w:shd w:fill="D9E2F3"/>
          </w:tcPr>
          <w:p>
            <w:r>
              <w:t>Элемент</w:t>
            </w:r>
          </w:p>
        </w:tc>
        <w:tc>
          <w:tcPr>
            <w:tcW w:type="dxa" w:w="1474"/>
            <w:shd w:fill="D9E2F3"/>
          </w:tcPr>
          <w:p>
            <w:r>
              <w:t>Печатать сейчас</w:t>
            </w:r>
          </w:p>
        </w:tc>
        <w:tc>
          <w:tcPr>
            <w:tcW w:type="dxa" w:w="4706"/>
            <w:shd w:fill="D9E2F3"/>
          </w:tcPr>
          <w:p>
            <w:r>
              <w:t>Назначение</w:t>
            </w:r>
          </w:p>
        </w:tc>
      </w:tr>
      <w:tr>
        <w:tc>
          <w:tcPr>
            <w:tcW w:type="dxa" w:w="964"/>
          </w:tcPr>
          <w:p>
            <w:r>
              <w:t>P-01</w:t>
            </w:r>
          </w:p>
        </w:tc>
        <w:tc>
          <w:tcPr>
            <w:tcW w:type="dxa" w:w="2494"/>
          </w:tcPr>
          <w:p>
            <w:r>
              <w:t>Dock base plate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Несущая плита настольного dock, крепление arm core и сервисных зон</w:t>
            </w:r>
          </w:p>
        </w:tc>
      </w:tr>
      <w:tr>
        <w:tc>
          <w:tcPr>
            <w:tcW w:type="dxa" w:w="964"/>
          </w:tcPr>
          <w:p>
            <w:r>
              <w:t>P-02</w:t>
            </w:r>
          </w:p>
        </w:tc>
        <w:tc>
          <w:tcPr>
            <w:tcW w:type="dxa" w:w="2494"/>
          </w:tcPr>
          <w:p>
            <w:r>
              <w:t>Base/service housing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Кожух/рамка базы, сервисный канал, посадка Pi/power зоны</w:t>
            </w:r>
          </w:p>
        </w:tc>
      </w:tr>
      <w:tr>
        <w:tc>
          <w:tcPr>
            <w:tcW w:type="dxa" w:w="964"/>
          </w:tcPr>
          <w:p>
            <w:r>
              <w:t>P-03</w:t>
            </w:r>
          </w:p>
        </w:tc>
        <w:tc>
          <w:tcPr>
            <w:tcW w:type="dxa" w:w="2494"/>
          </w:tcPr>
          <w:p>
            <w:r>
              <w:t>Shoulder link shell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Первый силовой printed link вокруг проксимального шарнира</w:t>
            </w:r>
          </w:p>
        </w:tc>
      </w:tr>
      <w:tr>
        <w:tc>
          <w:tcPr>
            <w:tcW w:type="dxa" w:w="964"/>
          </w:tcPr>
          <w:p>
            <w:r>
              <w:t>P-04</w:t>
            </w:r>
          </w:p>
        </w:tc>
        <w:tc>
          <w:tcPr>
            <w:tcW w:type="dxa" w:w="2494"/>
          </w:tcPr>
          <w:p>
            <w:r>
              <w:t>Elbow housing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Корпус локтевого узла</w:t>
            </w:r>
          </w:p>
        </w:tc>
      </w:tr>
      <w:tr>
        <w:tc>
          <w:tcPr>
            <w:tcW w:type="dxa" w:w="964"/>
          </w:tcPr>
          <w:p>
            <w:r>
              <w:t>P-05</w:t>
            </w:r>
          </w:p>
        </w:tc>
        <w:tc>
          <w:tcPr>
            <w:tcW w:type="dxa" w:w="2494"/>
          </w:tcPr>
          <w:p>
            <w:r>
              <w:t>Forearm link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Дистальный link предплечья</w:t>
            </w:r>
          </w:p>
        </w:tc>
      </w:tr>
      <w:tr>
        <w:tc>
          <w:tcPr>
            <w:tcW w:type="dxa" w:w="964"/>
          </w:tcPr>
          <w:p>
            <w:r>
              <w:t>P-06</w:t>
            </w:r>
          </w:p>
        </w:tc>
        <w:tc>
          <w:tcPr>
            <w:tcW w:type="dxa" w:w="2494"/>
          </w:tcPr>
          <w:p>
            <w:r>
              <w:t>Wrist housing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Корпус запястного узла / посадка под инструмент</w:t>
            </w:r>
          </w:p>
        </w:tc>
      </w:tr>
      <w:tr>
        <w:tc>
          <w:tcPr>
            <w:tcW w:type="dxa" w:w="964"/>
          </w:tcPr>
          <w:p>
            <w:r>
              <w:t>P-07</w:t>
            </w:r>
          </w:p>
        </w:tc>
        <w:tc>
          <w:tcPr>
            <w:tcW w:type="dxa" w:w="2494"/>
          </w:tcPr>
          <w:p>
            <w:r>
              <w:t>Gripper shells + pads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Щечки/накладки простого захвата для кружки/фонарика/мяча</w:t>
            </w:r>
          </w:p>
        </w:tc>
      </w:tr>
      <w:tr>
        <w:tc>
          <w:tcPr>
            <w:tcW w:type="dxa" w:w="964"/>
          </w:tcPr>
          <w:p>
            <w:r>
              <w:t>P-08</w:t>
            </w:r>
          </w:p>
        </w:tc>
        <w:tc>
          <w:tcPr>
            <w:tcW w:type="dxa" w:w="2494"/>
          </w:tcPr>
          <w:p>
            <w:r>
              <w:t>Camera bracket reserve</w:t>
            </w:r>
          </w:p>
        </w:tc>
        <w:tc>
          <w:tcPr>
            <w:tcW w:type="dxa" w:w="1474"/>
          </w:tcPr>
          <w:p>
            <w:r>
              <w:t>Нет, резерв</w:t>
            </w:r>
          </w:p>
        </w:tc>
        <w:tc>
          <w:tcPr>
            <w:tcW w:type="dxa" w:w="4706"/>
          </w:tcPr>
          <w:p>
            <w:r>
              <w:t>Оставить геометрию и точки крепления, но не делать обязательным блокером Stage 1</w:t>
            </w:r>
          </w:p>
        </w:tc>
      </w:tr>
      <w:tr>
        <w:tc>
          <w:tcPr>
            <w:tcW w:type="dxa" w:w="964"/>
          </w:tcPr>
          <w:p>
            <w:r>
              <w:t>P-09</w:t>
            </w:r>
          </w:p>
        </w:tc>
        <w:tc>
          <w:tcPr>
            <w:tcW w:type="dxa" w:w="2494"/>
          </w:tcPr>
          <w:p>
            <w:r>
              <w:t>Vertical support / bridge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Опорная printed рама/стойка bench-сборки</w:t>
            </w:r>
          </w:p>
        </w:tc>
      </w:tr>
      <w:tr>
        <w:tc>
          <w:tcPr>
            <w:tcW w:type="dxa" w:w="964"/>
          </w:tcPr>
          <w:p>
            <w:r>
              <w:t>S-01</w:t>
            </w:r>
          </w:p>
        </w:tc>
        <w:tc>
          <w:tcPr>
            <w:tcW w:type="dxa" w:w="2494"/>
          </w:tcPr>
          <w:p>
            <w:r>
              <w:t>Slot tray</w:t>
            </w:r>
          </w:p>
        </w:tc>
        <w:tc>
          <w:tcPr>
            <w:tcW w:type="dxa" w:w="1474"/>
          </w:tcPr>
          <w:p>
            <w:r>
              <w:t>Да</w:t>
            </w:r>
          </w:p>
        </w:tc>
        <w:tc>
          <w:tcPr>
            <w:tcW w:type="dxa" w:w="4706"/>
          </w:tcPr>
          <w:p>
            <w:r>
              <w:t>Лоток source slots под кружку, фонарик и мяч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