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A6D3B"/>
          <w:spacing w:val="40"/>
          <w:sz w:val="20"/>
          <w:szCs w:val="20"/>
        </w:rPr>
        <w:t xml:space="preserve">HAVELLIN PALM BEACH</w:t>
      </w:r>
    </w:p>
    <w:p>
      <w:pPr>
        <w:spacing w:after="40"/>
      </w:pPr>
      <w:r>
        <w:rPr>
          <w:rFonts w:ascii="Cambria" w:cs="Cambria" w:eastAsia="Cambria" w:hAnsi="Cambria"/>
          <w:color w:val="1F1F1F"/>
          <w:sz w:val="52"/>
          <w:szCs w:val="52"/>
        </w:rPr>
        <w:t xml:space="preserve">Vendor Terms and Insurance Requirements</w:t>
      </w:r>
    </w:p>
    <w:p>
      <w:pPr>
        <w:spacing w:after="40"/>
      </w:pPr>
      <w:r>
        <w:rPr>
          <w:rFonts w:ascii="Cambria" w:cs="Cambria" w:eastAsia="Cambria" w:hAnsi="Cambria"/>
          <w:i/>
          <w:iCs/>
          <w:color w:val="666666"/>
          <w:sz w:val="26"/>
          <w:szCs w:val="26"/>
        </w:rPr>
        <w:t xml:space="preserve">For every vendor booked on a Havellin client engagement</w:t>
      </w:r>
    </w:p>
    <w:p>
      <w:pPr>
        <w:pBdr>
          <w:bottom w:val="single" w:color="D8CDB8" w:sz="4" w:space="8"/>
        </w:pBdr>
        <w:spacing w:after="160"/>
      </w:pPr>
      <w:r>
        <w:rPr>
          <w:rFonts w:ascii="Calibri" w:cs="Calibri" w:eastAsia="Calibri" w:hAnsi="Calibri"/>
          <w:color w:val="666666"/>
          <w:sz w:val="18"/>
          <w:szCs w:val="18"/>
        </w:rPr>
        <w:t xml:space="preserve">Version 1.0 | Draft dated October 20, 2026 | Pending review by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8" w:sz="6"/>
              <w:left w:val="single" w:color="D8CDB8" w:sz="6"/>
              <w:bottom w:val="single" w:color="D8CDB8" w:sz="6"/>
              <w:right w:val="single" w:color="D8CDB8" w:sz="6"/>
            </w:tcBorders>
            <w:shd w:fill="F7F3EA" w:color="auto" w:val="clear"/>
            <w:tcMar>
              <w:top w:type="dxa" w:w="140"/>
              <w:left w:type="dxa" w:w="200"/>
              <w:bottom w:type="dxa" w:w="80"/>
              <w:right w:type="dxa" w:w="200"/>
            </w:tcMar>
          </w:tcPr>
          <w:p>
            <w:pPr>
              <w:spacing w:after="90" w:line="264"/>
              <w:jc w:val="left"/>
            </w:pPr>
            <w:r>
              <w:rPr>
                <w:rFonts w:ascii="Calibri" w:cs="Calibri" w:eastAsia="Calibri" w:hAnsi="Calibri"/>
                <w:i w:val="false"/>
                <w:iCs w:val="false"/>
                <w:color w:val="1F1F1F"/>
                <w:sz w:val="21"/>
                <w:szCs w:val="21"/>
              </w:rPr>
              <w:t xml:space="preserve">Bracketed figures are Havellin's requested limits, to be confirmed by its broker before these terms are issued.</w:t>
            </w:r>
          </w:p>
        </w:tc>
      </w:tr>
    </w:tbl>
    <w:p>
      <w:pPr>
        <w:spacing w:after="60"/>
      </w:pPr>
    </w:p>
    <w:p>
      <w:pPr>
        <w:spacing w:after="100" w:line="276"/>
        <w:jc w:val="both"/>
      </w:pPr>
      <w:r>
        <w:rPr>
          <w:rFonts w:ascii="Calibri" w:cs="Calibri" w:eastAsia="Calibri" w:hAnsi="Calibri"/>
          <w:color w:val="1F1F1F"/>
          <w:sz w:val="21"/>
          <w:szCs w:val="21"/>
        </w:rPr>
        <w:t xml:space="preserve">These terms apply to every vendor that Havellin Palm Beach, LLC ("Havellin") books on a client engagement: movers, haulers, estate sale companies, auction houses and online auction houses, appraisers, cleaners, shredders and trades. They are accepted by reply to the booking email or by signature below, before the vendor's first day on site, and they apply to every later booking until Havellin issues replacement terms.</w:t>
      </w:r>
    </w:p>
    <w:p>
      <w:pPr>
        <w:keepNext/>
        <w:spacing w:after="110" w:before="60"/>
      </w:pPr>
      <w:r>
        <w:rPr>
          <w:rFonts w:ascii="Cambria" w:cs="Cambria" w:eastAsia="Cambria" w:hAnsi="Cambria"/>
          <w:color w:val="8A6D3B"/>
          <w:sz w:val="30"/>
          <w:szCs w:val="30"/>
        </w:rPr>
        <w:t xml:space="preserve">1. Relationship</w:t>
      </w:r>
    </w:p>
    <w:p>
      <w:pPr>
        <w:pStyle w:val="ListParagraph"/>
        <w:numPr>
          <w:ilvl w:val="0"/>
          <w:numId w:val="2"/>
        </w:numPr>
        <w:spacing w:after="50" w:line="258"/>
        <w:jc w:val="left"/>
      </w:pPr>
      <w:r>
        <w:rPr>
          <w:rFonts w:ascii="Calibri" w:cs="Calibri" w:eastAsia="Calibri" w:hAnsi="Calibri"/>
          <w:color w:val="1F1F1F"/>
          <w:sz w:val="21"/>
          <w:szCs w:val="21"/>
        </w:rPr>
        <w:t xml:space="preserve">The vendor is an independent business. It is not an employee, agent, partner or subcontractor of Havellin, and it is not the Client's agent.</w:t>
      </w:r>
    </w:p>
    <w:p>
      <w:pPr>
        <w:pStyle w:val="ListParagraph"/>
        <w:numPr>
          <w:ilvl w:val="0"/>
          <w:numId w:val="2"/>
        </w:numPr>
        <w:spacing w:after="50" w:line="258"/>
        <w:jc w:val="left"/>
      </w:pPr>
      <w:r>
        <w:rPr>
          <w:rFonts w:ascii="Calibri" w:cs="Calibri" w:eastAsia="Calibri" w:hAnsi="Calibri"/>
          <w:color w:val="1F1F1F"/>
          <w:sz w:val="21"/>
          <w:szCs w:val="21"/>
        </w:rPr>
        <w:t xml:space="preserve">Unless the booking says otherwise, the vendor bills the Client directly, at the vendor's own price, and Havellin adds no markup to the vendor's invoice.</w:t>
      </w:r>
    </w:p>
    <w:p>
      <w:pPr>
        <w:pStyle w:val="ListParagraph"/>
        <w:numPr>
          <w:ilvl w:val="0"/>
          <w:numId w:val="2"/>
        </w:numPr>
        <w:spacing w:after="50" w:line="258"/>
        <w:jc w:val="left"/>
      </w:pPr>
      <w:r>
        <w:rPr>
          <w:rFonts w:ascii="Calibri" w:cs="Calibri" w:eastAsia="Calibri" w:hAnsi="Calibri"/>
          <w:color w:val="1F1F1F"/>
          <w:sz w:val="21"/>
          <w:szCs w:val="21"/>
        </w:rPr>
        <w:t xml:space="preserve">A referral fee the vendor pays Havellin is paid out of the vendor's own commission or fee, never from the Client's proceeds, and is disclosed to the Client in Havellin's agreement. The vendor pays nothing to any individual working for Havellin.</w:t>
      </w:r>
    </w:p>
    <w:p>
      <w:pPr>
        <w:pStyle w:val="ListParagraph"/>
        <w:numPr>
          <w:ilvl w:val="0"/>
          <w:numId w:val="2"/>
        </w:numPr>
        <w:spacing w:after="50" w:line="258"/>
        <w:jc w:val="left"/>
      </w:pPr>
      <w:r>
        <w:rPr>
          <w:rFonts w:ascii="Calibri" w:cs="Calibri" w:eastAsia="Calibri" w:hAnsi="Calibri"/>
          <w:color w:val="1F1F1F"/>
          <w:sz w:val="21"/>
          <w:szCs w:val="21"/>
        </w:rPr>
        <w:t xml:space="preserve">Havellin coordinates the vendor's access and schedule on the Client's behalf. It does not direct how the vendor performs its work.</w:t>
      </w:r>
    </w:p>
    <w:p>
      <w:pPr>
        <w:keepNext/>
        <w:pBdr>
          <w:top w:val="single" w:color="D8CDB8" w:sz="4" w:space="6"/>
        </w:pBdr>
        <w:spacing w:after="110" w:before="300"/>
      </w:pPr>
      <w:r>
        <w:rPr>
          <w:rFonts w:ascii="Cambria" w:cs="Cambria" w:eastAsia="Cambria" w:hAnsi="Cambria"/>
          <w:color w:val="8A6D3B"/>
          <w:sz w:val="30"/>
          <w:szCs w:val="30"/>
        </w:rPr>
        <w:t xml:space="preserve">2.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CFC4AD" w:sz="4"/>
              <w:left w:val="single" w:color="CFC4AD" w:sz="4"/>
              <w:bottom w:val="single" w:color="CFC4AD" w:sz="4"/>
              <w:right w:val="single" w:color="CFC4AD" w:sz="4"/>
            </w:tcBorders>
            <w:shd w:fill="EFE8DA" w:color="auto" w:val="clear"/>
            <w:tcMar>
              <w:top w:type="dxa" w:w="70"/>
              <w:left w:type="dxa" w:w="110"/>
              <w:bottom w:type="dxa" w:w="70"/>
              <w:right w:type="dxa" w:w="110"/>
            </w:tcMar>
          </w:tcPr>
          <w:p>
            <w:pPr>
              <w:spacing w:after="0" w:line="252"/>
              <w:jc w:val="left"/>
            </w:pPr>
            <w:r>
              <w:rPr>
                <w:rFonts w:ascii="Calibri" w:cs="Calibri" w:eastAsia="Calibri" w:hAnsi="Calibri"/>
                <w:b/>
                <w:bCs/>
                <w:color w:val="1F1F1F"/>
                <w:sz w:val="19"/>
                <w:szCs w:val="19"/>
              </w:rPr>
              <w:t xml:space="preserve">Coverage</w:t>
            </w:r>
          </w:p>
        </w:tc>
        <w:tc>
          <w:tcPr>
            <w:tcW w:type="dxa" w:w="4560"/>
            <w:tcBorders>
              <w:top w:val="single" w:color="CFC4AD" w:sz="4"/>
              <w:left w:val="single" w:color="CFC4AD" w:sz="4"/>
              <w:bottom w:val="single" w:color="CFC4AD" w:sz="4"/>
              <w:right w:val="single" w:color="CFC4AD" w:sz="4"/>
            </w:tcBorders>
            <w:shd w:fill="EFE8DA" w:color="auto" w:val="clear"/>
            <w:tcMar>
              <w:top w:type="dxa" w:w="70"/>
              <w:left w:type="dxa" w:w="110"/>
              <w:bottom w:type="dxa" w:w="70"/>
              <w:right w:type="dxa" w:w="110"/>
            </w:tcMar>
          </w:tcPr>
          <w:p>
            <w:pPr>
              <w:spacing w:after="0" w:line="252"/>
              <w:jc w:val="left"/>
            </w:pPr>
            <w:r>
              <w:rPr>
                <w:rFonts w:ascii="Calibri" w:cs="Calibri" w:eastAsia="Calibri" w:hAnsi="Calibri"/>
                <w:b/>
                <w:bCs/>
                <w:color w:val="1F1F1F"/>
                <w:sz w:val="19"/>
                <w:szCs w:val="19"/>
              </w:rPr>
              <w:t xml:space="preserve">Requested minimum</w:t>
            </w:r>
          </w:p>
        </w:tc>
        <w:tc>
          <w:tcPr>
            <w:tcW w:type="dxa" w:w="2200"/>
            <w:tcBorders>
              <w:top w:val="single" w:color="CFC4AD" w:sz="4"/>
              <w:left w:val="single" w:color="CFC4AD" w:sz="4"/>
              <w:bottom w:val="single" w:color="CFC4AD" w:sz="4"/>
              <w:right w:val="single" w:color="CFC4AD" w:sz="4"/>
            </w:tcBorders>
            <w:shd w:fill="EFE8DA" w:color="auto" w:val="clear"/>
            <w:tcMar>
              <w:top w:type="dxa" w:w="70"/>
              <w:left w:type="dxa" w:w="110"/>
              <w:bottom w:type="dxa" w:w="70"/>
              <w:right w:type="dxa" w:w="110"/>
            </w:tcMar>
          </w:tcPr>
          <w:p>
            <w:pPr>
              <w:spacing w:after="0" w:line="252"/>
              <w:jc w:val="left"/>
            </w:pPr>
            <w:r>
              <w:rPr>
                <w:rFonts w:ascii="Calibri" w:cs="Calibri" w:eastAsia="Calibri" w:hAnsi="Calibri"/>
                <w:b/>
                <w:bCs/>
                <w:color w:val="1F1F1F"/>
                <w:sz w:val="19"/>
                <w:szCs w:val="19"/>
              </w:rPr>
              <w:t xml:space="preserve">Who</w:t>
            </w:r>
          </w:p>
        </w:tc>
      </w:tr>
      <w:tr>
        <w:trPr>
          <w:tblHeader w:val="false"/>
        </w:trPr>
        <w:tc>
          <w:tcPr>
            <w:tcW w:type="dxa" w:w="26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Commercial general liability</w:t>
            </w:r>
          </w:p>
        </w:tc>
        <w:tc>
          <w:tcPr>
            <w:tcW w:type="dxa" w:w="456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$[1,000,000] per occurrence / $[2,000,000] aggregate</w:t>
            </w:r>
          </w:p>
        </w:tc>
        <w:tc>
          <w:tcPr>
            <w:tcW w:type="dxa" w:w="22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Every vendor</w:t>
            </w:r>
          </w:p>
        </w:tc>
      </w:tr>
      <w:tr>
        <w:trPr>
          <w:tblHeader w:val="false"/>
        </w:trPr>
        <w:tc>
          <w:tcPr>
            <w:tcW w:type="dxa" w:w="26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Commercial auto liability</w:t>
            </w:r>
          </w:p>
        </w:tc>
        <w:tc>
          <w:tcPr>
            <w:tcW w:type="dxa" w:w="456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$[1,000,000] combined single limit</w:t>
            </w:r>
          </w:p>
        </w:tc>
        <w:tc>
          <w:tcPr>
            <w:tcW w:type="dxa" w:w="22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Any vendor that drives to or from the property</w:t>
            </w:r>
          </w:p>
        </w:tc>
      </w:tr>
      <w:tr>
        <w:trPr>
          <w:tblHeader w:val="false"/>
        </w:trPr>
        <w:tc>
          <w:tcPr>
            <w:tcW w:type="dxa" w:w="26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Cargo, inland marine or bailee's coverage</w:t>
            </w:r>
          </w:p>
        </w:tc>
        <w:tc>
          <w:tcPr>
            <w:tcW w:type="dxa" w:w="456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The full value of the load, minimum $[100,000]. A mover offers the Client full-value protection in writing before the move date.</w:t>
            </w:r>
          </w:p>
        </w:tc>
        <w:tc>
          <w:tcPr>
            <w:tcW w:type="dxa" w:w="22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Any vendor that takes property away</w:t>
            </w:r>
          </w:p>
        </w:tc>
      </w:tr>
      <w:tr>
        <w:trPr>
          <w:tblHeader w:val="false"/>
        </w:trPr>
        <w:tc>
          <w:tcPr>
            <w:tcW w:type="dxa" w:w="26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Professional liability (errors and omissions)</w:t>
            </w:r>
          </w:p>
        </w:tc>
        <w:tc>
          <w:tcPr>
            <w:tcW w:type="dxa" w:w="456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$[1,000,000] per claim, with written reports that comply with USPAP</w:t>
            </w:r>
          </w:p>
        </w:tc>
        <w:tc>
          <w:tcPr>
            <w:tcW w:type="dxa" w:w="22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Appraisers</w:t>
            </w:r>
          </w:p>
        </w:tc>
      </w:tr>
      <w:tr>
        <w:trPr>
          <w:tblHeader w:val="false"/>
        </w:trPr>
        <w:tc>
          <w:tcPr>
            <w:tcW w:type="dxa" w:w="26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Workers' compensation</w:t>
            </w:r>
          </w:p>
        </w:tc>
        <w:tc>
          <w:tcPr>
            <w:tcW w:type="dxa" w:w="456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Per Chapter 440, Florida Statutes, or a current exemption certificate</w:t>
            </w:r>
          </w:p>
        </w:tc>
        <w:tc>
          <w:tcPr>
            <w:tcW w:type="dxa" w:w="220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Every vendor</w:t>
            </w:r>
          </w:p>
        </w:tc>
      </w:tr>
    </w:tbl>
    <w:p>
      <w:pPr>
        <w:spacing w:after="60"/>
      </w:pPr>
    </w:p>
    <w:p>
      <w:pPr>
        <w:spacing w:after="100" w:line="276"/>
        <w:jc w:val="both"/>
      </w:pPr>
      <w:r>
        <w:rPr>
          <w:rFonts w:ascii="Calibri" w:cs="Calibri" w:eastAsia="Calibri" w:hAnsi="Calibri"/>
          <w:b/>
          <w:bCs/>
          <w:color w:val="1F1F1F"/>
          <w:sz w:val="21"/>
          <w:szCs w:val="21"/>
        </w:rPr>
        <w:t xml:space="preserve">Certificate holder and additional insured.</w:t>
      </w:r>
      <w:r>
        <w:rPr>
          <w:rFonts w:ascii="Calibri" w:cs="Calibri" w:eastAsia="Calibri" w:hAnsi="Calibri"/>
          <w:color w:val="1F1F1F"/>
          <w:sz w:val="21"/>
          <w:szCs w:val="21"/>
        </w:rPr>
        <w:t xml:space="preserve"> Havellin Palm Beach, LLC, 515 N Flagler Drive, Suite 350, West Palm Beach, FL 33401, is named certificate holder and additional insured on the general liability and auto policies.</w:t>
      </w:r>
    </w:p>
    <w:p>
      <w:pPr>
        <w:spacing w:after="100" w:line="276"/>
        <w:jc w:val="both"/>
      </w:pPr>
      <w:r>
        <w:rPr>
          <w:rFonts w:ascii="Calibri" w:cs="Calibri" w:eastAsia="Calibri" w:hAnsi="Calibri"/>
          <w:b/>
          <w:bCs/>
          <w:color w:val="1F1F1F"/>
          <w:sz w:val="21"/>
          <w:szCs w:val="21"/>
        </w:rPr>
        <w:t xml:space="preserve">When.</w:t>
      </w:r>
      <w:r>
        <w:rPr>
          <w:rFonts w:ascii="Calibri" w:cs="Calibri" w:eastAsia="Calibri" w:hAnsi="Calibri"/>
          <w:color w:val="1F1F1F"/>
          <w:sz w:val="21"/>
          <w:szCs w:val="21"/>
        </w:rPr>
        <w:t xml:space="preserve"> The certificate is requested with the booking and is in Havellin's hands before the vendor's first day on site. A renewal certificate follows each renewal, and the vendor gives Havellin thirty (30) days' notice of cancellation or material change.</w:t>
      </w:r>
    </w:p>
    <w:p>
      <w:pPr>
        <w:keepNext/>
        <w:pBdr>
          <w:top w:val="single" w:color="D8CDB8" w:sz="4" w:space="6"/>
        </w:pBdr>
        <w:spacing w:after="110" w:before="300"/>
      </w:pPr>
      <w:r>
        <w:rPr>
          <w:rFonts w:ascii="Cambria" w:cs="Cambria" w:eastAsia="Cambria" w:hAnsi="Cambria"/>
          <w:color w:val="8A6D3B"/>
          <w:sz w:val="30"/>
          <w:szCs w:val="30"/>
        </w:rPr>
        <w:t xml:space="preserve">3. Conduct on Site</w:t>
      </w:r>
    </w:p>
    <w:p>
      <w:pPr>
        <w:pStyle w:val="ListParagraph"/>
        <w:numPr>
          <w:ilvl w:val="0"/>
          <w:numId w:val="2"/>
        </w:numPr>
        <w:spacing w:after="50" w:line="258"/>
        <w:jc w:val="left"/>
      </w:pPr>
      <w:r>
        <w:rPr>
          <w:rFonts w:ascii="Calibri" w:cs="Calibri" w:eastAsia="Calibri" w:hAnsi="Calibri"/>
          <w:color w:val="1F1F1F"/>
          <w:sz w:val="21"/>
          <w:szCs w:val="21"/>
        </w:rPr>
        <w:t xml:space="preserve">Follow the Transition Concierge's directions on access, scheduling and the order of work, and the building's or community's rules.</w:t>
      </w:r>
    </w:p>
    <w:p>
      <w:pPr>
        <w:pStyle w:val="ListParagraph"/>
        <w:numPr>
          <w:ilvl w:val="0"/>
          <w:numId w:val="2"/>
        </w:numPr>
        <w:spacing w:after="50" w:line="258"/>
        <w:jc w:val="left"/>
      </w:pPr>
      <w:r>
        <w:rPr>
          <w:rFonts w:ascii="Calibri" w:cs="Calibri" w:eastAsia="Calibri" w:hAnsi="Calibri"/>
          <w:color w:val="1F1F1F"/>
          <w:sz w:val="21"/>
          <w:szCs w:val="21"/>
        </w:rPr>
        <w:t xml:space="preserve">Never purchase, bid on, accept or otherwise acquire any of the Client's property, at any price, directly or through anyone else, during or after the engagement, with or without the Client's consent. Never accept a gift from the property.</w:t>
      </w:r>
    </w:p>
    <w:p>
      <w:pPr>
        <w:pStyle w:val="ListParagraph"/>
        <w:numPr>
          <w:ilvl w:val="0"/>
          <w:numId w:val="2"/>
        </w:numPr>
        <w:spacing w:after="50" w:line="258"/>
        <w:jc w:val="left"/>
      </w:pPr>
      <w:r>
        <w:rPr>
          <w:rFonts w:ascii="Calibri" w:cs="Calibri" w:eastAsia="Calibri" w:hAnsi="Calibri"/>
          <w:color w:val="1F1F1F"/>
          <w:sz w:val="21"/>
          <w:szCs w:val="21"/>
        </w:rPr>
        <w:t xml:space="preserve">Keep everything about the Client, the property and its contents confidential. Take no photographs for the vendor's own use and post nothing about the engagement on social media or anywhere else.</w:t>
      </w:r>
    </w:p>
    <w:p>
      <w:pPr>
        <w:pStyle w:val="ListParagraph"/>
        <w:numPr>
          <w:ilvl w:val="0"/>
          <w:numId w:val="2"/>
        </w:numPr>
        <w:spacing w:after="50" w:line="258"/>
        <w:jc w:val="left"/>
      </w:pPr>
      <w:r>
        <w:rPr>
          <w:rFonts w:ascii="Calibri" w:cs="Calibri" w:eastAsia="Calibri" w:hAnsi="Calibri"/>
          <w:color w:val="1F1F1F"/>
          <w:sz w:val="21"/>
          <w:szCs w:val="21"/>
        </w:rPr>
        <w:t xml:space="preserve">Firearms are never handled or moved by a vendor on the property. A licensed dealer receives one only through Havellin's Estate Firearms Protocol.</w:t>
      </w:r>
    </w:p>
    <w:p>
      <w:pPr>
        <w:pStyle w:val="ListParagraph"/>
        <w:numPr>
          <w:ilvl w:val="0"/>
          <w:numId w:val="2"/>
        </w:numPr>
        <w:spacing w:after="50" w:line="258"/>
        <w:jc w:val="left"/>
      </w:pPr>
      <w:r>
        <w:rPr>
          <w:rFonts w:ascii="Calibri" w:cs="Calibri" w:eastAsia="Calibri" w:hAnsi="Calibri"/>
          <w:color w:val="1F1F1F"/>
          <w:sz w:val="21"/>
          <w:szCs w:val="21"/>
        </w:rPr>
        <w:t xml:space="preserve">Every item that leaves the property is signed for on Havellin's iPad before it goes.</w:t>
      </w:r>
    </w:p>
    <w:p>
      <w:pPr>
        <w:pStyle w:val="ListParagraph"/>
        <w:numPr>
          <w:ilvl w:val="0"/>
          <w:numId w:val="2"/>
        </w:numPr>
        <w:spacing w:after="50" w:line="258"/>
        <w:jc w:val="left"/>
      </w:pPr>
      <w:r>
        <w:rPr>
          <w:rFonts w:ascii="Calibri" w:cs="Calibri" w:eastAsia="Calibri" w:hAnsi="Calibri"/>
          <w:color w:val="1F1F1F"/>
          <w:sz w:val="21"/>
          <w:szCs w:val="21"/>
        </w:rPr>
        <w:t xml:space="preserve">Keys, codes and access cards are never copied or shared, and are returned as directed.</w:t>
      </w:r>
    </w:p>
    <w:p>
      <w:pPr>
        <w:keepNext/>
        <w:pBdr>
          <w:top w:val="single" w:color="D8CDB8" w:sz="4" w:space="6"/>
        </w:pBdr>
        <w:spacing w:after="110" w:before="300"/>
      </w:pPr>
      <w:r>
        <w:rPr>
          <w:rFonts w:ascii="Cambria" w:cs="Cambria" w:eastAsia="Cambria" w:hAnsi="Cambria"/>
          <w:color w:val="8A6D3B"/>
          <w:sz w:val="30"/>
          <w:szCs w:val="30"/>
        </w:rPr>
        <w:t xml:space="preserve">4. Responsibility and Indemnity</w:t>
      </w:r>
    </w:p>
    <w:p>
      <w:pPr>
        <w:spacing w:after="100" w:line="276"/>
        <w:jc w:val="both"/>
      </w:pPr>
      <w:r>
        <w:rPr>
          <w:rFonts w:ascii="Calibri" w:cs="Calibri" w:eastAsia="Calibri" w:hAnsi="Calibri"/>
          <w:color w:val="1F1F1F"/>
          <w:sz w:val="21"/>
          <w:szCs w:val="21"/>
        </w:rPr>
        <w:t xml:space="preserve">The vendor is responsible for its own work and for its employees, agents and subcontractors. The vendor will indemnify, defend and hold harmless Havellin and the Client from claims, losses, damages and expenses, including reasonable attorneys' fees, arising from the vendor's acts or omissions. Loss of or damage to property while it is in the vendor's custody or transport is the vendor's responsibility and its insurer's. Nothing in these terms or in any booking makes Havellin responsible for the vendor's work, and a claim arising from it is made against the vendor.</w:t>
      </w:r>
    </w:p>
    <w:p>
      <w:pPr>
        <w:keepNext/>
        <w:pBdr>
          <w:top w:val="single" w:color="D8CDB8" w:sz="4" w:space="6"/>
        </w:pBdr>
        <w:spacing w:after="110" w:before="300"/>
      </w:pPr>
      <w:r>
        <w:rPr>
          <w:rFonts w:ascii="Cambria" w:cs="Cambria" w:eastAsia="Cambria" w:hAnsi="Cambria"/>
          <w:color w:val="8A6D3B"/>
          <w:sz w:val="30"/>
          <w:szCs w:val="30"/>
        </w:rPr>
        <w:t xml:space="preserve">5. Records</w:t>
      </w:r>
    </w:p>
    <w:p>
      <w:pPr>
        <w:pStyle w:val="ListParagraph"/>
        <w:numPr>
          <w:ilvl w:val="0"/>
          <w:numId w:val="2"/>
        </w:numPr>
        <w:spacing w:after="50" w:line="258"/>
        <w:jc w:val="left"/>
      </w:pPr>
      <w:r>
        <w:rPr>
          <w:rFonts w:ascii="Calibri" w:cs="Calibri" w:eastAsia="Calibri" w:hAnsi="Calibri"/>
          <w:color w:val="1F1F1F"/>
          <w:sz w:val="21"/>
          <w:szCs w:val="21"/>
        </w:rPr>
        <w:t xml:space="preserve">Invoice the Client directly, naming the Client and the property address, with a copy to Havellin.</w:t>
      </w:r>
    </w:p>
    <w:p>
      <w:pPr>
        <w:pStyle w:val="ListParagraph"/>
        <w:numPr>
          <w:ilvl w:val="0"/>
          <w:numId w:val="2"/>
        </w:numPr>
        <w:spacing w:after="50" w:line="258"/>
        <w:jc w:val="left"/>
      </w:pPr>
      <w:r>
        <w:rPr>
          <w:rFonts w:ascii="Calibri" w:cs="Calibri" w:eastAsia="Calibri" w:hAnsi="Calibri"/>
          <w:color w:val="1F1F1F"/>
          <w:sz w:val="21"/>
          <w:szCs w:val="21"/>
        </w:rPr>
        <w:t xml:space="preserve">Sign Havellin's pickup sheet on the iPad for every item taken from the property. The sheet is the vendor's receipt and the Client's record.</w:t>
      </w:r>
    </w:p>
    <w:p>
      <w:pPr>
        <w:pStyle w:val="ListParagraph"/>
        <w:numPr>
          <w:ilvl w:val="0"/>
          <w:numId w:val="2"/>
        </w:numPr>
        <w:spacing w:after="50" w:line="258"/>
        <w:jc w:val="left"/>
      </w:pPr>
      <w:r>
        <w:rPr>
          <w:rFonts w:ascii="Calibri" w:cs="Calibri" w:eastAsia="Calibri" w:hAnsi="Calibri"/>
          <w:color w:val="1F1F1F"/>
          <w:sz w:val="21"/>
          <w:szCs w:val="21"/>
        </w:rPr>
        <w:t xml:space="preserve">Donation receipts within [14] days of the pickup. Proceeds statements showing gross, fees and net within [14] days of the sale, with payment to the Client or the estate as the booking states.</w:t>
      </w:r>
    </w:p>
    <w:p>
      <w:pPr>
        <w:keepNext/>
        <w:pBdr>
          <w:top w:val="single" w:color="D8CDB8" w:sz="4" w:space="6"/>
        </w:pBdr>
        <w:spacing w:after="110" w:before="300"/>
      </w:pPr>
      <w:r>
        <w:rPr>
          <w:rFonts w:ascii="Cambria" w:cs="Cambria" w:eastAsia="Cambria" w:hAnsi="Cambria"/>
          <w:color w:val="8A6D3B"/>
          <w:sz w:val="30"/>
          <w:szCs w:val="30"/>
        </w:rPr>
        <w:t xml:space="preserve">6. Acceptance</w:t>
      </w:r>
    </w:p>
    <w:p>
      <w:pPr>
        <w:spacing w:after="100" w:line="276"/>
        <w:jc w:val="both"/>
      </w:pPr>
      <w:r>
        <w:rPr>
          <w:rFonts w:ascii="Calibri" w:cs="Calibri" w:eastAsia="Calibri" w:hAnsi="Calibri"/>
          <w:color w:val="1F1F1F"/>
          <w:sz w:val="21"/>
          <w:szCs w:val="21"/>
        </w:rPr>
        <w:t xml:space="preserve">Reply to the booking email with "Accepted," or sign below. These terms apply to every booking from the date of acceptance until Havellin issues replacement terms. Questions to agreements@havellinpalmbeach.com.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C4AD" w:sz="4"/>
              <w:left w:val="single" w:color="CFC4AD" w:sz="4"/>
              <w:bottom w:val="single" w:color="CFC4AD" w:sz="4"/>
              <w:right w:val="single" w:color="CFC4AD" w:sz="4"/>
            </w:tcBorders>
            <w:shd w:fill="EFE8DA" w:color="auto" w:val="clear"/>
            <w:tcMar>
              <w:top w:type="dxa" w:w="70"/>
              <w:left w:type="dxa" w:w="110"/>
              <w:bottom w:type="dxa" w:w="70"/>
              <w:right w:type="dxa" w:w="110"/>
            </w:tcMar>
          </w:tcPr>
          <w:p>
            <w:pPr>
              <w:spacing w:after="0" w:line="252"/>
              <w:jc w:val="left"/>
            </w:pPr>
            <w:r>
              <w:rPr>
                <w:rFonts w:ascii="Calibri" w:cs="Calibri" w:eastAsia="Calibri" w:hAnsi="Calibri"/>
                <w:b/>
                <w:bCs/>
                <w:color w:val="1F1F1F"/>
                <w:sz w:val="19"/>
                <w:szCs w:val="19"/>
              </w:rPr>
              <w:t xml:space="preserve">Vendor</w:t>
            </w:r>
          </w:p>
        </w:tc>
        <w:tc>
          <w:tcPr>
            <w:tcW w:type="dxa" w:w="4680"/>
            <w:tcBorders>
              <w:top w:val="single" w:color="CFC4AD" w:sz="4"/>
              <w:left w:val="single" w:color="CFC4AD" w:sz="4"/>
              <w:bottom w:val="single" w:color="CFC4AD" w:sz="4"/>
              <w:right w:val="single" w:color="CFC4AD" w:sz="4"/>
            </w:tcBorders>
            <w:shd w:fill="EFE8DA" w:color="auto" w:val="clear"/>
            <w:tcMar>
              <w:top w:type="dxa" w:w="70"/>
              <w:left w:type="dxa" w:w="110"/>
              <w:bottom w:type="dxa" w:w="70"/>
              <w:right w:type="dxa" w:w="110"/>
            </w:tcMar>
          </w:tcPr>
          <w:p>
            <w:pPr>
              <w:spacing w:after="0" w:line="252"/>
              <w:jc w:val="left"/>
            </w:pPr>
            <w:r>
              <w:rPr>
                <w:rFonts w:ascii="Calibri" w:cs="Calibri" w:eastAsia="Calibri" w:hAnsi="Calibri"/>
                <w:b/>
                <w:bCs/>
                <w:color w:val="1F1F1F"/>
                <w:sz w:val="19"/>
                <w:szCs w:val="19"/>
              </w:rPr>
              <w:t xml:space="preserve">Havellin Palm Beach, LLC</w:t>
            </w:r>
          </w:p>
        </w:tc>
      </w:tr>
      <w:tr>
        <w:trPr>
          <w:tblHeader w:val="false"/>
        </w:trPr>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Firm ____________________________</w:t>
            </w:r>
          </w:p>
        </w:tc>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By ____________________________</w:t>
            </w:r>
          </w:p>
        </w:tc>
      </w:tr>
      <w:tr>
        <w:trPr>
          <w:tblHeader w:val="false"/>
        </w:trPr>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By (name and title) ____________________________</w:t>
            </w:r>
          </w:p>
        </w:tc>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Title ____________________________</w:t>
            </w:r>
          </w:p>
        </w:tc>
      </w:tr>
      <w:tr>
        <w:trPr>
          <w:tblHeader w:val="false"/>
        </w:trPr>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Signature ____________________________</w:t>
            </w:r>
          </w:p>
        </w:tc>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Signature ____________________________</w:t>
            </w:r>
          </w:p>
        </w:tc>
      </w:tr>
      <w:tr>
        <w:trPr>
          <w:tblHeader w:val="false"/>
        </w:trPr>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Date ____________________________</w:t>
            </w:r>
          </w:p>
        </w:tc>
        <w:tc>
          <w:tcPr>
            <w:tcW w:type="dxa" w:w="4680"/>
            <w:tcBorders>
              <w:top w:val="single" w:color="CFC4AD" w:sz="4"/>
              <w:left w:val="single" w:color="CFC4AD" w:sz="4"/>
              <w:bottom w:val="single" w:color="CFC4AD" w:sz="4"/>
              <w:right w:val="single" w:color="CFC4AD" w:sz="4"/>
            </w:tcBorders>
            <w:tcMar>
              <w:top w:type="dxa" w:w="70"/>
              <w:left w:type="dxa" w:w="110"/>
              <w:bottom w:type="dxa" w:w="70"/>
              <w:right w:type="dxa" w:w="110"/>
            </w:tcMar>
          </w:tcPr>
          <w:p>
            <w:pPr>
              <w:spacing w:after="0" w:line="252"/>
              <w:jc w:val="left"/>
            </w:pPr>
            <w:r>
              <w:rPr>
                <w:rFonts w:ascii="Calibri" w:cs="Calibri" w:eastAsia="Calibri" w:hAnsi="Calibri"/>
                <w:b w:val="false"/>
                <w:bCs w:val="false"/>
                <w:color w:val="1F1F1F"/>
                <w:sz w:val="19"/>
                <w:szCs w:val="19"/>
              </w:rPr>
              <w:t xml:space="preserve">Date ____________________________</w:t>
            </w:r>
          </w:p>
        </w:tc>
      </w:tr>
    </w:tbl>
    <w:sectPr>
      <w:headerReference w:type="default" r:id="rId7"/>
      <w:footerReference w:type="default" r:id="rId8"/>
      <w:pgSz w:w="12240" w:h="15840" w:orient="portrait"/>
      <w:pgMar w:top="1300" w:right="1440" w:bottom="12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Confidential  |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7"/>
        <w:szCs w:val="17"/>
      </w:rPr>
      <w:t xml:space="preserve">Havellin Palm Beach, LLC | Vendor Terms and Insurance Requirements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8A6D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Terms and Insurance Requirements</dc:title>
  <dc:creator>Havellin Palm Beach, LLC</dc:creator>
  <cp:lastModifiedBy>Un-named</cp:lastModifiedBy>
  <cp:revision>1</cp:revision>
  <dcterms:created xsi:type="dcterms:W3CDTF">2026-10-20T16:27:43.550Z</dcterms:created>
  <dcterms:modified xsi:type="dcterms:W3CDTF">2026-10-20T16:27:43.550Z</dcterms:modified>
</cp:coreProperties>
</file>

<file path=docProps/custom.xml><?xml version="1.0" encoding="utf-8"?>
<Properties xmlns="http://schemas.openxmlformats.org/officeDocument/2006/custom-properties" xmlns:vt="http://schemas.openxmlformats.org/officeDocument/2006/docPropsVTypes"/>
</file>