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DẪN CHỨNG CHO BA RÀNG BUỘC CHẶT HƠN CHUẨN</w:t>
      </w:r>
    </w:p>
    <w:p>
      <w:pPr>
        <w:ind w:firstLine="560"/>
      </w:pPr>
      <w:r>
        <w:rPr>
          <w:b w:val="0"/>
          <w:i w:val="0"/>
        </w:rPr>
        <w:t>Tài liệu chuẩn bị cho phần hỏi đáp. Mỗi ràng buộc gồm bốn phần: phát biểu, dẫn chứng trong mã nguồn, số liệu đo được, và câu trả lời gợi ý.</w:t>
      </w:r>
    </w:p>
    <w:p>
      <w:pPr>
        <w:ind w:firstLine="560"/>
      </w:pPr>
      <w:r>
        <w:rPr>
          <w:b/>
          <w:i w:val="0"/>
        </w:rPr>
        <w:t>Phát biểu cần bảo vệ: “Ba chỗ đề tài ràng buộc chặt hơn chuẩn TensorFlow Lite và PyTorch là thang luỹ thừa của hai, activation đối xứng, và per-tensor thay per-channel — đều nhằm giảm chi phí phần cứng.” Phần dưới cung cấp dẫn chứng cho từng vế.</w:t>
      </w:r>
    </w:p>
    <w:p>
      <w:pPr>
        <w:pStyle w:val="Heading2"/>
      </w:pPr>
      <w:r>
        <w:rPr>
          <w:rFonts w:ascii="Times New Roman" w:hAnsi="Times New Roman"/>
          <w:color w:val="000000"/>
        </w:rPr>
        <w:t>1. Thang luỹ thừa của hai</w:t>
      </w:r>
    </w:p>
    <w:p>
      <w:pPr>
        <w:pStyle w:val="Heading3"/>
      </w:pPr>
      <w:r>
        <w:rPr>
          <w:rFonts w:ascii="Times New Roman" w:hAnsi="Times New Roman"/>
          <w:color w:val="000000"/>
        </w:rPr>
        <w:t>1.1. Dẫn chứng hiện thực</w:t>
      </w:r>
    </w:p>
    <w:p>
      <w:pPr>
        <w:ind w:firstLine="560"/>
      </w:pPr>
      <w:r>
        <w:rPr>
          <w:b w:val="0"/>
          <w:i w:val="0"/>
        </w:rPr>
        <w:t>Phép tái tỉ lệ nằm trọn trong khối cp_accumulate_rescale.v. Toàn bộ phép đưa bộ tích luỹ 32 bit về INT8 chỉ gồm một phép cộng hằng số và một phép dịch phải số học:</w:t>
      </w:r>
    </w:p>
    <w:p>
      <w:r>
        <w:rPr>
          <w:b w:val="0"/>
          <w:i w:val="0"/>
        </w:rPr>
        <w:t>S5b–S_bias: acc + bias + round_add (gộp một phép cộng)</w:t>
      </w:r>
    </w:p>
    <w:p>
      <w:r>
        <w:rPr>
          <w:b w:val="0"/>
          <w:i w:val="0"/>
        </w:rPr>
        <w:t>S6:         shifted = acc_biased &gt;&gt;&gt; nb</w:t>
      </w:r>
    </w:p>
    <w:p>
      <w:r>
        <w:rPr>
          <w:b w:val="0"/>
          <w:i w:val="0"/>
        </w:rPr>
        <w:t>S7:         clamp về [−127, 127]</w:t>
      </w:r>
    </w:p>
    <w:p>
      <w:pPr>
        <w:ind w:firstLine="560"/>
      </w:pPr>
      <w:r>
        <w:rPr>
          <w:b w:val="0"/>
          <w:i w:val="0"/>
        </w:rPr>
        <w:t>Không có toán tử nhân nào trong đường tái tỉ lệ. Nếu dùng thang tổng quát, mỗi tầng phải thay phép dịch bằng phép nhân với một số nguyên rồi mới dịch, tức thêm một bộ nhân cho mỗi tầng.</w:t>
      </w:r>
    </w:p>
    <w:p>
      <w:pPr>
        <w:pStyle w:val="Heading3"/>
      </w:pPr>
      <w:r>
        <w:rPr>
          <w:rFonts w:ascii="Times New Roman" w:hAnsi="Times New Roman"/>
          <w:color w:val="000000"/>
        </w:rPr>
        <w:t>1.2. Số liệu đo được</w:t>
      </w:r>
    </w:p>
    <w:p>
      <w:pPr>
        <w:spacing w:before="120" w:after="80"/>
        <w:ind w:firstLine="0"/>
        <w:jc w:val="center"/>
      </w:pPr>
      <w:r>
        <w:rPr>
          <w:i/>
          <w:sz w:val="24"/>
        </w:rPr>
        <w:t>Bảng 1. Chi phí của ràng buộc luỹ thừa của hai (Chapman, đánh giá khớp bit).</w:t>
      </w:r>
    </w:p>
    <w:tbl>
      <w:tblPr>
        <w:tblStyle w:val="TableGrid"/>
        <w:tblW w:type="auto" w:w="0"/>
        <w:jc w:val="center"/>
        <w:tblLook w:firstColumn="1" w:firstRow="1" w:lastColumn="0" w:lastRow="0" w:noHBand="0" w:noVBand="1" w:val="04A0"/>
      </w:tblPr>
      <w:tblGrid>
        <w:gridCol w:w="3118"/>
        <w:gridCol w:w="3118"/>
        <w:gridCol w:w="3118"/>
      </w:tblGrid>
      <w:tr>
        <w:tc>
          <w:tcPr>
            <w:tcW w:type="dxa" w:w="4535"/>
          </w:tcPr>
          <w:p>
            <w:pPr>
              <w:spacing w:line="240" w:lineRule="auto"/>
              <w:ind w:firstLine="0"/>
              <w:jc w:val="center"/>
            </w:pPr>
            <w:r/>
            <w:r>
              <w:rPr>
                <w:rFonts w:ascii="Times New Roman" w:hAnsi="Times New Roman"/>
                <w:b/>
                <w:sz w:val="22"/>
              </w:rPr>
              <w:t>Phương án</w:t>
            </w:r>
          </w:p>
        </w:tc>
        <w:tc>
          <w:tcPr>
            <w:tcW w:type="dxa" w:w="2268"/>
          </w:tcPr>
          <w:p>
            <w:pPr>
              <w:spacing w:line="240" w:lineRule="auto"/>
              <w:ind w:firstLine="0"/>
              <w:jc w:val="center"/>
            </w:pPr>
            <w:r/>
            <w:r>
              <w:rPr>
                <w:rFonts w:ascii="Times New Roman" w:hAnsi="Times New Roman"/>
                <w:b/>
                <w:sz w:val="22"/>
              </w:rPr>
              <w:t>Độ chính xác</w:t>
            </w:r>
          </w:p>
        </w:tc>
        <w:tc>
          <w:tcPr>
            <w:tcW w:type="dxa" w:w="2268"/>
          </w:tcPr>
          <w:p>
            <w:pPr>
              <w:spacing w:line="240" w:lineRule="auto"/>
              <w:ind w:firstLine="0"/>
              <w:jc w:val="center"/>
            </w:pPr>
            <w:r/>
            <w:r>
              <w:rPr>
                <w:rFonts w:ascii="Times New Roman" w:hAnsi="Times New Roman"/>
                <w:b/>
                <w:sz w:val="22"/>
              </w:rPr>
              <w:t>DSP cho tái tỉ lệ</w:t>
            </w:r>
          </w:p>
        </w:tc>
      </w:tr>
      <w:tr>
        <w:tc>
          <w:tcPr>
            <w:tcW w:type="dxa" w:w="4535"/>
          </w:tcPr>
          <w:p>
            <w:pPr>
              <w:spacing w:line="240" w:lineRule="auto"/>
              <w:ind w:firstLine="0"/>
              <w:jc w:val="left"/>
            </w:pPr>
            <w:r/>
            <w:r>
              <w:rPr>
                <w:rFonts w:ascii="Times New Roman" w:hAnsi="Times New Roman"/>
                <w:b w:val="0"/>
                <w:sz w:val="22"/>
              </w:rPr>
              <w:t>Thang tổng quát (A3, theo chuẩn)</w:t>
            </w:r>
          </w:p>
        </w:tc>
        <w:tc>
          <w:tcPr>
            <w:tcW w:type="dxa" w:w="2268"/>
          </w:tcPr>
          <w:p>
            <w:pPr>
              <w:spacing w:line="240" w:lineRule="auto"/>
              <w:ind w:firstLine="0"/>
              <w:jc w:val="center"/>
            </w:pPr>
            <w:r/>
            <w:r>
              <w:rPr>
                <w:rFonts w:ascii="Times New Roman" w:hAnsi="Times New Roman"/>
                <w:b w:val="0"/>
                <w:sz w:val="22"/>
              </w:rPr>
              <w:t>94,65 %</w:t>
            </w:r>
          </w:p>
        </w:tc>
        <w:tc>
          <w:tcPr>
            <w:tcW w:type="dxa" w:w="2268"/>
          </w:tcPr>
          <w:p>
            <w:pPr>
              <w:spacing w:line="240" w:lineRule="auto"/>
              <w:ind w:firstLine="0"/>
              <w:jc w:val="center"/>
            </w:pPr>
            <w:r/>
            <w:r>
              <w:rPr>
                <w:rFonts w:ascii="Times New Roman" w:hAnsi="Times New Roman"/>
                <w:b w:val="0"/>
                <w:sz w:val="22"/>
              </w:rPr>
              <w:t>4</w:t>
            </w:r>
          </w:p>
        </w:tc>
      </w:tr>
      <w:tr>
        <w:tc>
          <w:tcPr>
            <w:tcW w:type="dxa" w:w="4535"/>
          </w:tcPr>
          <w:p>
            <w:pPr>
              <w:spacing w:line="240" w:lineRule="auto"/>
              <w:ind w:firstLine="0"/>
              <w:jc w:val="left"/>
            </w:pPr>
            <w:r/>
            <w:r>
              <w:rPr>
                <w:rFonts w:ascii="Times New Roman" w:hAnsi="Times New Roman"/>
                <w:b/>
                <w:sz w:val="22"/>
              </w:rPr>
              <w:t>Thang luỹ thừa của hai (A2, đề tài)</w:t>
            </w:r>
          </w:p>
        </w:tc>
        <w:tc>
          <w:tcPr>
            <w:tcW w:type="dxa" w:w="2268"/>
          </w:tcPr>
          <w:p>
            <w:pPr>
              <w:spacing w:line="240" w:lineRule="auto"/>
              <w:ind w:firstLine="0"/>
              <w:jc w:val="center"/>
            </w:pPr>
            <w:r/>
            <w:r>
              <w:rPr>
                <w:rFonts w:ascii="Times New Roman" w:hAnsi="Times New Roman"/>
                <w:b/>
                <w:sz w:val="22"/>
              </w:rPr>
              <w:t>94,37 %</w:t>
            </w:r>
          </w:p>
        </w:tc>
        <w:tc>
          <w:tcPr>
            <w:tcW w:type="dxa" w:w="2268"/>
          </w:tcPr>
          <w:p>
            <w:pPr>
              <w:spacing w:line="240" w:lineRule="auto"/>
              <w:ind w:firstLine="0"/>
              <w:jc w:val="center"/>
            </w:pPr>
            <w:r/>
            <w:r>
              <w:rPr>
                <w:rFonts w:ascii="Times New Roman" w:hAnsi="Times New Roman"/>
                <w:b/>
                <w:sz w:val="22"/>
              </w:rPr>
              <w:t>0</w:t>
            </w:r>
          </w:p>
        </w:tc>
      </w:tr>
    </w:tbl>
    <w:p>
      <w:pPr>
        <w:ind w:firstLine="560"/>
      </w:pPr>
      <w:r>
        <w:rPr>
          <w:b w:val="0"/>
          <w:i w:val="0"/>
        </w:rPr>
        <w:t>Chênh lệch 0,28 điểm phần trăm, nhỏ hơn độ lệch chuẩn giữa các lần chia tập kiểm tra (0,81–0,93 điểm phần trăm). Khác biệt về số khối DSP thì xác định, đếm trực tiếp từ cấu trúc mạch.</w:t>
      </w:r>
    </w:p>
    <w:p>
      <w:pPr>
        <w:pStyle w:val="Heading3"/>
      </w:pPr>
      <w:r>
        <w:rPr>
          <w:rFonts w:ascii="Times New Roman" w:hAnsi="Times New Roman"/>
          <w:color w:val="000000"/>
        </w:rPr>
        <w:t>1.3. Câu trả lời gợi ý</w:t>
      </w:r>
    </w:p>
    <w:p>
      <w:pPr>
        <w:spacing w:before="120" w:after="120"/>
        <w:ind w:firstLine="0" w:left="567" w:right="283"/>
      </w:pPr>
      <w:r>
        <w:rPr>
          <w:i/>
        </w:rPr>
        <w:t>Ràng buộc này được đo bằng thực nghiệm đối chứng A2 so với A3, chỉ thay dạng hệ số tỉ lệ và giữ nguyên mọi yếu tố khác. Kết quả là 0,28 điểm phần trăm độ chính xác, nhỏ hơn độ lệch chuẩn giữa các lần chia tập, đổi lấy việc loại bỏ bốn khối DSP khỏi đường tái tỉ lệ. Vì chênh lệch nằm trong nhiễu, em không khẳng định thang tổng quát chính xác hơn; điều khẳng định được là chi phí phần cứng giảm chắc chắn.</w:t>
      </w:r>
    </w:p>
    <w:p>
      <w:pPr>
        <w:pStyle w:val="Heading2"/>
      </w:pPr>
      <w:r>
        <w:rPr>
          <w:rFonts w:ascii="Times New Roman" w:hAnsi="Times New Roman"/>
          <w:color w:val="000000"/>
        </w:rPr>
        <w:t>2. Activation đối xứng</w:t>
      </w:r>
    </w:p>
    <w:p>
      <w:pPr>
        <w:pStyle w:val="Heading3"/>
      </w:pPr>
      <w:r>
        <w:rPr>
          <w:rFonts w:ascii="Times New Roman" w:hAnsi="Times New Roman"/>
          <w:color w:val="000000"/>
        </w:rPr>
        <w:t>2.1. Dẫn chứng hiện thực</w:t>
      </w:r>
    </w:p>
    <w:p>
      <w:pPr>
        <w:ind w:firstLine="560"/>
      </w:pPr>
      <w:r>
        <w:rPr>
          <w:b w:val="0"/>
          <w:i w:val="0"/>
        </w:rPr>
        <w:t>Trong toàn bộ đường tính chỉ tồn tại một điểm chuyển về INT8, tại cp_accumulate_rescale.v dòng 115–116, và điểm này không có tham số zero_point. Bộ tích luỹ ở cp_mac.v cũng không có nhánh cộng bù. Nếu activation bất đối xứng, mỗi tầng phải thêm số hạng bù bằng tích của zero_point với tổng trọng số theo kênh.</w:t>
      </w:r>
    </w:p>
    <w:p>
      <w:pPr>
        <w:pStyle w:val="Heading3"/>
      </w:pPr>
      <w:r>
        <w:rPr>
          <w:rFonts w:ascii="Times New Roman" w:hAnsi="Times New Roman"/>
          <w:color w:val="000000"/>
        </w:rPr>
        <w:t>2.2. Số liệu đo được — và một phát hiện quan trọng</w:t>
      </w:r>
    </w:p>
    <w:p>
      <w:pPr>
        <w:ind w:firstLine="560"/>
      </w:pPr>
      <w:r>
        <w:rPr>
          <w:b w:val="0"/>
          <w:i w:val="0"/>
        </w:rPr>
        <w:t>Em đã đo dải giá trị thực của bộ tích luỹ sau tái tỉ lệ, trước khi chặn biên, trên 800 mẫu kiểm tra. Kết quả ở Bảng 2.</w:t>
      </w:r>
    </w:p>
    <w:p>
      <w:pPr>
        <w:spacing w:before="120" w:after="80"/>
        <w:ind w:firstLine="0"/>
        <w:jc w:val="center"/>
      </w:pPr>
      <w:r>
        <w:rPr>
          <w:i/>
          <w:sz w:val="24"/>
        </w:rPr>
        <w:t>Bảng 2. Dải giá trị sau tái tỉ lệ và tỉ lệ mẫu bị chặn biên.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474"/>
          </w:tcPr>
          <w:p>
            <w:pPr>
              <w:spacing w:line="240" w:lineRule="auto"/>
              <w:ind w:firstLine="0"/>
              <w:jc w:val="center"/>
            </w:pPr>
            <w:r/>
            <w:r>
              <w:rPr>
                <w:rFonts w:ascii="Times New Roman" w:hAnsi="Times New Roman"/>
                <w:b/>
                <w:sz w:val="22"/>
              </w:rPr>
              <w:t>Tầng</w:t>
            </w:r>
          </w:p>
        </w:tc>
        <w:tc>
          <w:tcPr>
            <w:tcW w:type="dxa" w:w="1928"/>
          </w:tcPr>
          <w:p>
            <w:pPr>
              <w:spacing w:line="240" w:lineRule="auto"/>
              <w:ind w:firstLine="0"/>
              <w:jc w:val="center"/>
            </w:pPr>
            <w:r/>
            <w:r>
              <w:rPr>
                <w:rFonts w:ascii="Times New Roman" w:hAnsi="Times New Roman"/>
                <w:b/>
                <w:sz w:val="22"/>
              </w:rPr>
              <w:t>Giá trị nhỏ nhất</w:t>
            </w:r>
          </w:p>
        </w:tc>
        <w:tc>
          <w:tcPr>
            <w:tcW w:type="dxa" w:w="1928"/>
          </w:tcPr>
          <w:p>
            <w:pPr>
              <w:spacing w:line="240" w:lineRule="auto"/>
              <w:ind w:firstLine="0"/>
              <w:jc w:val="center"/>
            </w:pPr>
            <w:r/>
            <w:r>
              <w:rPr>
                <w:rFonts w:ascii="Times New Roman" w:hAnsi="Times New Roman"/>
                <w:b/>
                <w:sz w:val="22"/>
              </w:rPr>
              <w:t>Giá trị lớn nhất</w:t>
            </w:r>
          </w:p>
        </w:tc>
        <w:tc>
          <w:tcPr>
            <w:tcW w:type="dxa" w:w="1587"/>
          </w:tcPr>
          <w:p>
            <w:pPr>
              <w:spacing w:line="240" w:lineRule="auto"/>
              <w:ind w:firstLine="0"/>
              <w:jc w:val="center"/>
            </w:pPr>
            <w:r/>
            <w:r>
              <w:rPr>
                <w:rFonts w:ascii="Times New Roman" w:hAnsi="Times New Roman"/>
                <w:b/>
                <w:sz w:val="22"/>
              </w:rPr>
              <w:t>Bề rộng dải</w:t>
            </w:r>
          </w:p>
        </w:tc>
        <w:tc>
          <w:tcPr>
            <w:tcW w:type="dxa" w:w="1701"/>
          </w:tcPr>
          <w:p>
            <w:pPr>
              <w:spacing w:line="240" w:lineRule="auto"/>
              <w:ind w:firstLine="0"/>
              <w:jc w:val="center"/>
            </w:pPr>
            <w:r/>
            <w:r>
              <w:rPr>
                <w:rFonts w:ascii="Times New Roman" w:hAnsi="Times New Roman"/>
                <w:b/>
                <w:sz w:val="22"/>
              </w:rPr>
              <w:t>Tỉ lệ bị chặn</w:t>
            </w:r>
          </w:p>
        </w:tc>
      </w:tr>
      <w:tr>
        <w:tc>
          <w:tcPr>
            <w:tcW w:type="dxa" w:w="1474"/>
          </w:tcPr>
          <w:p>
            <w:pPr>
              <w:spacing w:line="240" w:lineRule="auto"/>
              <w:ind w:firstLine="0"/>
              <w:jc w:val="left"/>
            </w:pPr>
            <w:r/>
            <w:r>
              <w:rPr>
                <w:rFonts w:ascii="Times New Roman" w:hAnsi="Times New Roman"/>
                <w:b w:val="0"/>
                <w:sz w:val="22"/>
              </w:rPr>
              <w:t>Conv1</w:t>
            </w:r>
          </w:p>
        </w:tc>
        <w:tc>
          <w:tcPr>
            <w:tcW w:type="dxa" w:w="1928"/>
          </w:tcPr>
          <w:p>
            <w:pPr>
              <w:spacing w:line="240" w:lineRule="auto"/>
              <w:ind w:firstLine="0"/>
              <w:jc w:val="center"/>
            </w:pPr>
            <w:r/>
            <w:r>
              <w:rPr>
                <w:rFonts w:ascii="Times New Roman" w:hAnsi="Times New Roman"/>
                <w:b w:val="0"/>
                <w:sz w:val="22"/>
              </w:rPr>
              <w:t>−45</w:t>
            </w:r>
          </w:p>
        </w:tc>
        <w:tc>
          <w:tcPr>
            <w:tcW w:type="dxa" w:w="1928"/>
          </w:tcPr>
          <w:p>
            <w:pPr>
              <w:spacing w:line="240" w:lineRule="auto"/>
              <w:ind w:firstLine="0"/>
              <w:jc w:val="center"/>
            </w:pPr>
            <w:r/>
            <w:r>
              <w:rPr>
                <w:rFonts w:ascii="Times New Roman" w:hAnsi="Times New Roman"/>
                <w:b w:val="0"/>
                <w:sz w:val="22"/>
              </w:rPr>
              <w:t>49</w:t>
            </w:r>
          </w:p>
        </w:tc>
        <w:tc>
          <w:tcPr>
            <w:tcW w:type="dxa" w:w="1587"/>
          </w:tcPr>
          <w:p>
            <w:pPr>
              <w:spacing w:line="240" w:lineRule="auto"/>
              <w:ind w:firstLine="0"/>
              <w:jc w:val="center"/>
            </w:pPr>
            <w:r/>
            <w:r>
              <w:rPr>
                <w:rFonts w:ascii="Times New Roman" w:hAnsi="Times New Roman"/>
                <w:b w:val="0"/>
                <w:sz w:val="22"/>
              </w:rPr>
              <w:t>94</w:t>
            </w:r>
          </w:p>
        </w:tc>
        <w:tc>
          <w:tcPr>
            <w:tcW w:type="dxa" w:w="1701"/>
          </w:tcPr>
          <w:p>
            <w:pPr>
              <w:spacing w:line="240" w:lineRule="auto"/>
              <w:ind w:firstLine="0"/>
              <w:jc w:val="center"/>
            </w:pPr>
            <w:r/>
            <w:r>
              <w:rPr>
                <w:rFonts w:ascii="Times New Roman" w:hAnsi="Times New Roman"/>
                <w:b w:val="0"/>
                <w:sz w:val="22"/>
              </w:rPr>
              <w:t>0,00 %</w:t>
            </w:r>
          </w:p>
        </w:tc>
      </w:tr>
      <w:tr>
        <w:tc>
          <w:tcPr>
            <w:tcW w:type="dxa" w:w="1474"/>
          </w:tcPr>
          <w:p>
            <w:pPr>
              <w:spacing w:line="240" w:lineRule="auto"/>
              <w:ind w:firstLine="0"/>
              <w:jc w:val="left"/>
            </w:pPr>
            <w:r/>
            <w:r>
              <w:rPr>
                <w:rFonts w:ascii="Times New Roman" w:hAnsi="Times New Roman"/>
                <w:b w:val="0"/>
                <w:sz w:val="22"/>
              </w:rPr>
              <w:t>Conv2</w:t>
            </w:r>
          </w:p>
        </w:tc>
        <w:tc>
          <w:tcPr>
            <w:tcW w:type="dxa" w:w="1928"/>
          </w:tcPr>
          <w:p>
            <w:pPr>
              <w:spacing w:line="240" w:lineRule="auto"/>
              <w:ind w:firstLine="0"/>
              <w:jc w:val="center"/>
            </w:pPr>
            <w:r/>
            <w:r>
              <w:rPr>
                <w:rFonts w:ascii="Times New Roman" w:hAnsi="Times New Roman"/>
                <w:b w:val="0"/>
                <w:sz w:val="22"/>
              </w:rPr>
              <w:t>−115</w:t>
            </w:r>
          </w:p>
        </w:tc>
        <w:tc>
          <w:tcPr>
            <w:tcW w:type="dxa" w:w="1928"/>
          </w:tcPr>
          <w:p>
            <w:pPr>
              <w:spacing w:line="240" w:lineRule="auto"/>
              <w:ind w:firstLine="0"/>
              <w:jc w:val="center"/>
            </w:pPr>
            <w:r/>
            <w:r>
              <w:rPr>
                <w:rFonts w:ascii="Times New Roman" w:hAnsi="Times New Roman"/>
                <w:b w:val="0"/>
                <w:sz w:val="22"/>
              </w:rPr>
              <w:t>109</w:t>
            </w:r>
          </w:p>
        </w:tc>
        <w:tc>
          <w:tcPr>
            <w:tcW w:type="dxa" w:w="1587"/>
          </w:tcPr>
          <w:p>
            <w:pPr>
              <w:spacing w:line="240" w:lineRule="auto"/>
              <w:ind w:firstLine="0"/>
              <w:jc w:val="center"/>
            </w:pPr>
            <w:r/>
            <w:r>
              <w:rPr>
                <w:rFonts w:ascii="Times New Roman" w:hAnsi="Times New Roman"/>
                <w:b w:val="0"/>
                <w:sz w:val="22"/>
              </w:rPr>
              <w:t>224</w:t>
            </w:r>
          </w:p>
        </w:tc>
        <w:tc>
          <w:tcPr>
            <w:tcW w:type="dxa" w:w="1701"/>
          </w:tcPr>
          <w:p>
            <w:pPr>
              <w:spacing w:line="240" w:lineRule="auto"/>
              <w:ind w:firstLine="0"/>
              <w:jc w:val="center"/>
            </w:pPr>
            <w:r/>
            <w:r>
              <w:rPr>
                <w:rFonts w:ascii="Times New Roman" w:hAnsi="Times New Roman"/>
                <w:b w:val="0"/>
                <w:sz w:val="22"/>
              </w:rPr>
              <w:t>0,00 %</w:t>
            </w:r>
          </w:p>
        </w:tc>
      </w:tr>
      <w:tr>
        <w:tc>
          <w:tcPr>
            <w:tcW w:type="dxa" w:w="1474"/>
          </w:tcPr>
          <w:p>
            <w:pPr>
              <w:spacing w:line="240" w:lineRule="auto"/>
              <w:ind w:firstLine="0"/>
              <w:jc w:val="left"/>
            </w:pPr>
            <w:r/>
            <w:r>
              <w:rPr>
                <w:rFonts w:ascii="Times New Roman" w:hAnsi="Times New Roman"/>
                <w:b/>
                <w:sz w:val="22"/>
              </w:rPr>
              <w:t>Conv3</w:t>
            </w:r>
          </w:p>
        </w:tc>
        <w:tc>
          <w:tcPr>
            <w:tcW w:type="dxa" w:w="1928"/>
          </w:tcPr>
          <w:p>
            <w:pPr>
              <w:spacing w:line="240" w:lineRule="auto"/>
              <w:ind w:firstLine="0"/>
              <w:jc w:val="center"/>
            </w:pPr>
            <w:r/>
            <w:r>
              <w:rPr>
                <w:rFonts w:ascii="Times New Roman" w:hAnsi="Times New Roman"/>
                <w:b/>
                <w:sz w:val="22"/>
              </w:rPr>
              <w:t>−217</w:t>
            </w:r>
          </w:p>
        </w:tc>
        <w:tc>
          <w:tcPr>
            <w:tcW w:type="dxa" w:w="1928"/>
          </w:tcPr>
          <w:p>
            <w:pPr>
              <w:spacing w:line="240" w:lineRule="auto"/>
              <w:ind w:firstLine="0"/>
              <w:jc w:val="center"/>
            </w:pPr>
            <w:r/>
            <w:r>
              <w:rPr>
                <w:rFonts w:ascii="Times New Roman" w:hAnsi="Times New Roman"/>
                <w:b/>
                <w:sz w:val="22"/>
              </w:rPr>
              <w:t>48</w:t>
            </w:r>
          </w:p>
        </w:tc>
        <w:tc>
          <w:tcPr>
            <w:tcW w:type="dxa" w:w="1587"/>
          </w:tcPr>
          <w:p>
            <w:pPr>
              <w:spacing w:line="240" w:lineRule="auto"/>
              <w:ind w:firstLine="0"/>
              <w:jc w:val="center"/>
            </w:pPr>
            <w:r/>
            <w:r>
              <w:rPr>
                <w:rFonts w:ascii="Times New Roman" w:hAnsi="Times New Roman"/>
                <w:b/>
                <w:sz w:val="22"/>
              </w:rPr>
              <w:t>265</w:t>
            </w:r>
          </w:p>
        </w:tc>
        <w:tc>
          <w:tcPr>
            <w:tcW w:type="dxa" w:w="1701"/>
          </w:tcPr>
          <w:p>
            <w:pPr>
              <w:spacing w:line="240" w:lineRule="auto"/>
              <w:ind w:firstLine="0"/>
              <w:jc w:val="center"/>
            </w:pPr>
            <w:r/>
            <w:r>
              <w:rPr>
                <w:rFonts w:ascii="Times New Roman" w:hAnsi="Times New Roman"/>
                <w:b/>
                <w:sz w:val="22"/>
              </w:rPr>
              <w:t>0,07 %</w:t>
            </w:r>
          </w:p>
        </w:tc>
      </w:tr>
      <w:tr>
        <w:tc>
          <w:tcPr>
            <w:tcW w:type="dxa" w:w="1474"/>
          </w:tcPr>
          <w:p>
            <w:pPr>
              <w:spacing w:line="240" w:lineRule="auto"/>
              <w:ind w:firstLine="0"/>
              <w:jc w:val="left"/>
            </w:pPr>
            <w:r/>
            <w:r>
              <w:rPr>
                <w:rFonts w:ascii="Times New Roman" w:hAnsi="Times New Roman"/>
                <w:b w:val="0"/>
                <w:sz w:val="22"/>
              </w:rPr>
              <w:t>Conv4</w:t>
            </w:r>
          </w:p>
        </w:tc>
        <w:tc>
          <w:tcPr>
            <w:tcW w:type="dxa" w:w="1928"/>
          </w:tcPr>
          <w:p>
            <w:pPr>
              <w:spacing w:line="240" w:lineRule="auto"/>
              <w:ind w:firstLine="0"/>
              <w:jc w:val="center"/>
            </w:pPr>
            <w:r/>
            <w:r>
              <w:rPr>
                <w:rFonts w:ascii="Times New Roman" w:hAnsi="Times New Roman"/>
                <w:b w:val="0"/>
                <w:sz w:val="22"/>
              </w:rPr>
              <w:t>−45</w:t>
            </w:r>
          </w:p>
        </w:tc>
        <w:tc>
          <w:tcPr>
            <w:tcW w:type="dxa" w:w="1928"/>
          </w:tcPr>
          <w:p>
            <w:pPr>
              <w:spacing w:line="240" w:lineRule="auto"/>
              <w:ind w:firstLine="0"/>
              <w:jc w:val="center"/>
            </w:pPr>
            <w:r/>
            <w:r>
              <w:rPr>
                <w:rFonts w:ascii="Times New Roman" w:hAnsi="Times New Roman"/>
                <w:b w:val="0"/>
                <w:sz w:val="22"/>
              </w:rPr>
              <w:t>57</w:t>
            </w:r>
          </w:p>
        </w:tc>
        <w:tc>
          <w:tcPr>
            <w:tcW w:type="dxa" w:w="1587"/>
          </w:tcPr>
          <w:p>
            <w:pPr>
              <w:spacing w:line="240" w:lineRule="auto"/>
              <w:ind w:firstLine="0"/>
              <w:jc w:val="center"/>
            </w:pPr>
            <w:r/>
            <w:r>
              <w:rPr>
                <w:rFonts w:ascii="Times New Roman" w:hAnsi="Times New Roman"/>
                <w:b w:val="0"/>
                <w:sz w:val="22"/>
              </w:rPr>
              <w:t>102</w:t>
            </w:r>
          </w:p>
        </w:tc>
        <w:tc>
          <w:tcPr>
            <w:tcW w:type="dxa" w:w="1701"/>
          </w:tcPr>
          <w:p>
            <w:pPr>
              <w:spacing w:line="240" w:lineRule="auto"/>
              <w:ind w:firstLine="0"/>
              <w:jc w:val="center"/>
            </w:pPr>
            <w:r/>
            <w:r>
              <w:rPr>
                <w:rFonts w:ascii="Times New Roman" w:hAnsi="Times New Roman"/>
                <w:b w:val="0"/>
                <w:sz w:val="22"/>
              </w:rPr>
              <w:t>0,00 %</w:t>
            </w:r>
          </w:p>
        </w:tc>
      </w:tr>
    </w:tbl>
    <w:p>
      <w:pPr>
        <w:ind w:firstLine="560"/>
      </w:pPr>
      <w:r>
        <w:rPr>
          <w:b w:val="0"/>
          <w:i w:val="0"/>
        </w:rPr>
        <w:t>Ba trong bốn tầng không có mẫu nào bị chặn biên, nghĩa là dải đối xứng [−127, 127] đã đủ chứa toàn bộ giá trị. Với ba tầng này, lượng tử hoá bất đối xứng không mang lại lợi ích nào.</w:t>
      </w:r>
    </w:p>
    <w:p>
      <w:pPr>
        <w:ind w:firstLine="560"/>
      </w:pPr>
      <w:r>
        <w:rPr>
          <w:b/>
          <w:i w:val="0"/>
        </w:rPr>
        <w:t>Riêng Conv3 có dải thực từ −217 đến 48, bề rộng 265 mức. Đây là điểm cần nêu rõ: một tensor 8 bit chỉ biểu diễn được 256 mức, trong khi Conv3 cần 266 mức để chứa trọn dải. Do đó ngay cả khi dùng lượng tử hoá bất đối xứng theo đúng chuẩn, tầng này vẫn phải chặn biên. Lợi ích của zero_point tại Conv3 vì thế cũng gần bằng không.</w:t>
      </w:r>
    </w:p>
    <w:p>
      <w:pPr>
        <w:ind w:firstLine="560"/>
      </w:pPr>
      <w:r>
        <w:rPr>
          <w:b w:val="0"/>
          <w:i w:val="0"/>
        </w:rPr>
        <w:t>Tỉ lệ mẫu bị chặn tại Conv3 là 0,07 phần trăm, tức khoảng bảy phần mười nghìn giá trị. Đây là lý do độ chính xác không suy giảm đáng kể dù có chặn biên.</w:t>
      </w:r>
    </w:p>
    <w:p>
      <w:pPr>
        <w:pStyle w:val="Heading3"/>
      </w:pPr>
      <w:r>
        <w:rPr>
          <w:rFonts w:ascii="Times New Roman" w:hAnsi="Times New Roman"/>
          <w:color w:val="000000"/>
        </w:rPr>
        <w:t>2.3. Giới hạn của dẫn chứng</w:t>
      </w:r>
    </w:p>
    <w:p>
      <w:pPr>
        <w:ind w:firstLine="560"/>
      </w:pPr>
      <w:r>
        <w:rPr>
          <w:b w:val="0"/>
          <w:i w:val="0"/>
        </w:rPr>
        <w:t>Em đã thử đo trực tiếp bằng cách áp zero_point khác không lên mô hình hiện có, nhưng thí nghiệm này không cho kết quả có ý nghĩa vì mô hình đã được huấn luyện có nhận thức lượng tử với giả định zero_point bằng không; việc áp thêm phép dời sau huấn luyện làm sai lệch phân bố mà các tầng sau đã hiệu chỉnh theo. Muốn đo đúng phải huấn luyện lại toàn bộ theo sơ đồ bất đối xứng. Vì vậy dẫn chứng cho ràng buộc này là phân tích dải giá trị ở Bảng 2, không phải thực nghiệm đối chứng độ chính xác.</w:t>
      </w:r>
    </w:p>
    <w:p>
      <w:pPr>
        <w:pStyle w:val="Heading3"/>
      </w:pPr>
      <w:r>
        <w:rPr>
          <w:rFonts w:ascii="Times New Roman" w:hAnsi="Times New Roman"/>
          <w:color w:val="000000"/>
        </w:rPr>
        <w:t>2.4. Câu trả lời gợi ý</w:t>
      </w:r>
    </w:p>
    <w:p>
      <w:pPr>
        <w:spacing w:before="120" w:after="120"/>
        <w:ind w:firstLine="0" w:left="567" w:right="283"/>
      </w:pPr>
      <w:r>
        <w:rPr>
          <w:i/>
        </w:rPr>
        <w:t>Chuẩn cho phép activation bất đối xứng và nêu lợi ích là thêm được tối đa một bit độ chính xác. Em đã kiểm tra lợi ích đó có thực sự tồn tại với mô hình này hay không bằng cách đo dải giá trị từng tầng. Ba trên bốn tầng không có mẫu nào chạm biên, nên zero_point không mang lại gì. Tầng Conv3 có dải rộng 265 mức, vượt quá 256 mức mà 8 bit biểu diễn được, nên kể cả bất đối xứng vẫn phải chặn biên. Tỉ lệ bị chặn là 0,07 phần trăm. Vì vậy em chọn đối xứng để bỏ hẳn nhánh cộng bù zero_point trong mạch, với chi phí độ chính xác không đáng kể. Em xin nói rõ đây là lập luận dựa trên phân tích dải giá trị; để có số liệu đối chứng đầy đủ thì phải huấn luyện lại theo sơ đồ bất đối xứng, và đó là hướng phát triển.</w:t>
      </w:r>
    </w:p>
    <w:p>
      <w:pPr>
        <w:pStyle w:val="Heading2"/>
      </w:pPr>
      <w:r>
        <w:rPr>
          <w:rFonts w:ascii="Times New Roman" w:hAnsi="Times New Roman"/>
          <w:color w:val="000000"/>
        </w:rPr>
        <w:t>3. Per-tensor thay per-channel</w:t>
      </w:r>
    </w:p>
    <w:p>
      <w:pPr>
        <w:pStyle w:val="Heading3"/>
      </w:pPr>
      <w:r>
        <w:rPr>
          <w:rFonts w:ascii="Times New Roman" w:hAnsi="Times New Roman"/>
          <w:color w:val="000000"/>
        </w:rPr>
        <w:t>3.1. Dẫn chứng hiện thực</w:t>
      </w:r>
    </w:p>
    <w:p>
      <w:pPr>
        <w:ind w:firstLine="560"/>
      </w:pPr>
      <w:r>
        <w:rPr>
          <w:b w:val="0"/>
          <w:i w:val="0"/>
        </w:rPr>
        <w:t>Hệ số dịch nb là một tín hiệu dùng chung cho cả tám khối xử lý song song, khai báo trong cnn_controller.v và đưa vào cp_accumulate_rescale.v dưới dạng nb[3:0]. Nếu áp dụng per-channel, mỗi kênh ra phải có hệ số dịch riêng, tức tám bộ dịch độc lập thay vì một tham số dùng chung.</w:t>
      </w:r>
    </w:p>
    <w:p>
      <w:pPr>
        <w:pStyle w:val="Heading3"/>
      </w:pPr>
      <w:r>
        <w:rPr>
          <w:rFonts w:ascii="Times New Roman" w:hAnsi="Times New Roman"/>
          <w:color w:val="000000"/>
        </w:rPr>
        <w:t>3.2. Số liệu đo được</w:t>
      </w:r>
    </w:p>
    <w:p>
      <w:pPr>
        <w:ind w:firstLine="560"/>
      </w:pPr>
      <w:r>
        <w:rPr>
          <w:b w:val="0"/>
          <w:i w:val="0"/>
        </w:rPr>
        <w:t>Em đã đo độ phân tán biên độ giữa các kênh ra của từng tầng, và chạy thực nghiệm đối chứng per-channel với hệ số dịch riêng cho mỗi kênh.</w:t>
      </w:r>
    </w:p>
    <w:p>
      <w:pPr>
        <w:spacing w:before="120" w:after="80"/>
        <w:ind w:firstLine="0"/>
        <w:jc w:val="center"/>
      </w:pPr>
      <w:r>
        <w:rPr>
          <w:i/>
          <w:sz w:val="24"/>
        </w:rPr>
        <w:t>Bảng 3. Độ phân tán biên độ trọng số giữa các kênh ra.</w:t>
      </w:r>
    </w:p>
    <w:tbl>
      <w:tblPr>
        <w:tblStyle w:val="TableGrid"/>
        <w:tblW w:type="auto" w:w="0"/>
        <w:jc w:val="center"/>
        <w:tblLook w:firstColumn="1" w:firstRow="1" w:lastColumn="0" w:lastRow="0" w:noHBand="0" w:noVBand="1" w:val="04A0"/>
      </w:tblPr>
      <w:tblGrid>
        <w:gridCol w:w="3118"/>
        <w:gridCol w:w="3118"/>
        <w:gridCol w:w="3118"/>
      </w:tblGrid>
      <w:tr>
        <w:tc>
          <w:tcPr>
            <w:tcW w:type="dxa" w:w="1474"/>
          </w:tcPr>
          <w:p>
            <w:pPr>
              <w:spacing w:line="240" w:lineRule="auto"/>
              <w:ind w:firstLine="0"/>
              <w:jc w:val="center"/>
            </w:pPr>
            <w:r/>
            <w:r>
              <w:rPr>
                <w:rFonts w:ascii="Times New Roman" w:hAnsi="Times New Roman"/>
                <w:b/>
                <w:sz w:val="22"/>
              </w:rPr>
              <w:t>Tầng</w:t>
            </w:r>
          </w:p>
        </w:tc>
        <w:tc>
          <w:tcPr>
            <w:tcW w:type="dxa" w:w="3175"/>
          </w:tcPr>
          <w:p>
            <w:pPr>
              <w:spacing w:line="240" w:lineRule="auto"/>
              <w:ind w:firstLine="0"/>
              <w:jc w:val="center"/>
            </w:pPr>
            <w:r/>
            <w:r>
              <w:rPr>
                <w:rFonts w:ascii="Times New Roman" w:hAnsi="Times New Roman"/>
                <w:b/>
                <w:sz w:val="22"/>
              </w:rPr>
              <w:t>Tỉ lệ kênh lớn nhất trên nhỏ nhất</w:t>
            </w:r>
          </w:p>
        </w:tc>
        <w:tc>
          <w:tcPr>
            <w:tcW w:type="dxa" w:w="3969"/>
          </w:tcPr>
          <w:p>
            <w:pPr>
              <w:spacing w:line="240" w:lineRule="auto"/>
              <w:ind w:firstLine="0"/>
              <w:jc w:val="center"/>
            </w:pPr>
            <w:r/>
            <w:r>
              <w:rPr>
                <w:rFonts w:ascii="Times New Roman" w:hAnsi="Times New Roman"/>
                <w:b/>
                <w:sz w:val="22"/>
              </w:rPr>
              <w:t>Hệ số dịch per-channel</w:t>
            </w:r>
          </w:p>
        </w:tc>
      </w:tr>
      <w:tr>
        <w:tc>
          <w:tcPr>
            <w:tcW w:type="dxa" w:w="1474"/>
          </w:tcPr>
          <w:p>
            <w:pPr>
              <w:spacing w:line="240" w:lineRule="auto"/>
              <w:ind w:firstLine="0"/>
              <w:jc w:val="left"/>
            </w:pPr>
            <w:r/>
            <w:r>
              <w:rPr>
                <w:rFonts w:ascii="Times New Roman" w:hAnsi="Times New Roman"/>
                <w:b w:val="0"/>
                <w:sz w:val="22"/>
              </w:rPr>
              <w:t>Conv1</w:t>
            </w:r>
          </w:p>
        </w:tc>
        <w:tc>
          <w:tcPr>
            <w:tcW w:type="dxa" w:w="3175"/>
          </w:tcPr>
          <w:p>
            <w:pPr>
              <w:spacing w:line="240" w:lineRule="auto"/>
              <w:ind w:firstLine="0"/>
              <w:jc w:val="center"/>
            </w:pPr>
            <w:r/>
            <w:r>
              <w:rPr>
                <w:rFonts w:ascii="Times New Roman" w:hAnsi="Times New Roman"/>
                <w:b w:val="0"/>
                <w:sz w:val="22"/>
              </w:rPr>
              <w:t>1,09 lần</w:t>
            </w:r>
          </w:p>
        </w:tc>
        <w:tc>
          <w:tcPr>
            <w:tcW w:type="dxa" w:w="3969"/>
          </w:tcPr>
          <w:p>
            <w:pPr>
              <w:spacing w:line="240" w:lineRule="auto"/>
              <w:ind w:firstLine="0"/>
              <w:jc w:val="center"/>
            </w:pPr>
            <w:r/>
            <w:r>
              <w:rPr>
                <w:rFonts w:ascii="Times New Roman" w:hAnsi="Times New Roman"/>
                <w:b w:val="0"/>
                <w:sz w:val="22"/>
              </w:rPr>
              <w:t>6, 6, 6, 6</w:t>
            </w:r>
          </w:p>
        </w:tc>
      </w:tr>
      <w:tr>
        <w:tc>
          <w:tcPr>
            <w:tcW w:type="dxa" w:w="1474"/>
          </w:tcPr>
          <w:p>
            <w:pPr>
              <w:spacing w:line="240" w:lineRule="auto"/>
              <w:ind w:firstLine="0"/>
              <w:jc w:val="left"/>
            </w:pPr>
            <w:r/>
            <w:r>
              <w:rPr>
                <w:rFonts w:ascii="Times New Roman" w:hAnsi="Times New Roman"/>
                <w:b w:val="0"/>
                <w:sz w:val="22"/>
              </w:rPr>
              <w:t>Conv2</w:t>
            </w:r>
          </w:p>
        </w:tc>
        <w:tc>
          <w:tcPr>
            <w:tcW w:type="dxa" w:w="3175"/>
          </w:tcPr>
          <w:p>
            <w:pPr>
              <w:spacing w:line="240" w:lineRule="auto"/>
              <w:ind w:firstLine="0"/>
              <w:jc w:val="center"/>
            </w:pPr>
            <w:r/>
            <w:r>
              <w:rPr>
                <w:rFonts w:ascii="Times New Roman" w:hAnsi="Times New Roman"/>
                <w:b w:val="0"/>
                <w:sz w:val="22"/>
              </w:rPr>
              <w:t>2,57 lần</w:t>
            </w:r>
          </w:p>
        </w:tc>
        <w:tc>
          <w:tcPr>
            <w:tcW w:type="dxa" w:w="3969"/>
          </w:tcPr>
          <w:p>
            <w:pPr>
              <w:spacing w:line="240" w:lineRule="auto"/>
              <w:ind w:firstLine="0"/>
              <w:jc w:val="center"/>
            </w:pPr>
            <w:r/>
            <w:r>
              <w:rPr>
                <w:rFonts w:ascii="Times New Roman" w:hAnsi="Times New Roman"/>
                <w:b w:val="0"/>
                <w:sz w:val="22"/>
              </w:rPr>
              <w:t>8, 7, 6, 7</w:t>
            </w:r>
          </w:p>
        </w:tc>
      </w:tr>
      <w:tr>
        <w:tc>
          <w:tcPr>
            <w:tcW w:type="dxa" w:w="1474"/>
          </w:tcPr>
          <w:p>
            <w:pPr>
              <w:spacing w:line="240" w:lineRule="auto"/>
              <w:ind w:firstLine="0"/>
              <w:jc w:val="left"/>
            </w:pPr>
            <w:r/>
            <w:r>
              <w:rPr>
                <w:rFonts w:ascii="Times New Roman" w:hAnsi="Times New Roman"/>
                <w:b/>
                <w:sz w:val="22"/>
              </w:rPr>
              <w:t>Conv3</w:t>
            </w:r>
          </w:p>
        </w:tc>
        <w:tc>
          <w:tcPr>
            <w:tcW w:type="dxa" w:w="3175"/>
          </w:tcPr>
          <w:p>
            <w:pPr>
              <w:spacing w:line="240" w:lineRule="auto"/>
              <w:ind w:firstLine="0"/>
              <w:jc w:val="center"/>
            </w:pPr>
            <w:r/>
            <w:r>
              <w:rPr>
                <w:rFonts w:ascii="Times New Roman" w:hAnsi="Times New Roman"/>
                <w:b/>
                <w:sz w:val="22"/>
              </w:rPr>
              <w:t>5,10 lần</w:t>
            </w:r>
          </w:p>
        </w:tc>
        <w:tc>
          <w:tcPr>
            <w:tcW w:type="dxa" w:w="3969"/>
          </w:tcPr>
          <w:p>
            <w:pPr>
              <w:spacing w:line="240" w:lineRule="auto"/>
              <w:ind w:firstLine="0"/>
              <w:jc w:val="center"/>
            </w:pPr>
            <w:r/>
            <w:r>
              <w:rPr>
                <w:rFonts w:ascii="Times New Roman" w:hAnsi="Times New Roman"/>
                <w:b/>
                <w:sz w:val="22"/>
              </w:rPr>
              <w:t>8, 8, 8, 6, 7, 7, 9, 8</w:t>
            </w:r>
          </w:p>
        </w:tc>
      </w:tr>
      <w:tr>
        <w:tc>
          <w:tcPr>
            <w:tcW w:type="dxa" w:w="1474"/>
          </w:tcPr>
          <w:p>
            <w:pPr>
              <w:spacing w:line="240" w:lineRule="auto"/>
              <w:ind w:firstLine="0"/>
              <w:jc w:val="left"/>
            </w:pPr>
            <w:r/>
            <w:r>
              <w:rPr>
                <w:rFonts w:ascii="Times New Roman" w:hAnsi="Times New Roman"/>
                <w:b w:val="0"/>
                <w:sz w:val="22"/>
              </w:rPr>
              <w:t>Conv4</w:t>
            </w:r>
          </w:p>
        </w:tc>
        <w:tc>
          <w:tcPr>
            <w:tcW w:type="dxa" w:w="3175"/>
          </w:tcPr>
          <w:p>
            <w:pPr>
              <w:spacing w:line="240" w:lineRule="auto"/>
              <w:ind w:firstLine="0"/>
              <w:jc w:val="center"/>
            </w:pPr>
            <w:r/>
            <w:r>
              <w:rPr>
                <w:rFonts w:ascii="Times New Roman" w:hAnsi="Times New Roman"/>
                <w:b w:val="0"/>
                <w:sz w:val="22"/>
              </w:rPr>
              <w:t>2,02 lần</w:t>
            </w:r>
          </w:p>
        </w:tc>
        <w:tc>
          <w:tcPr>
            <w:tcW w:type="dxa" w:w="3969"/>
          </w:tcPr>
          <w:p>
            <w:pPr>
              <w:spacing w:line="240" w:lineRule="auto"/>
              <w:ind w:firstLine="0"/>
              <w:jc w:val="center"/>
            </w:pPr>
            <w:r/>
            <w:r>
              <w:rPr>
                <w:rFonts w:ascii="Times New Roman" w:hAnsi="Times New Roman"/>
                <w:b w:val="0"/>
                <w:sz w:val="22"/>
              </w:rPr>
              <w:t>8, 8, 8, 8, 7, 8, 8, 8</w:t>
            </w:r>
          </w:p>
        </w:tc>
      </w:tr>
    </w:tbl>
    <w:p>
      <w:pPr>
        <w:spacing w:before="120" w:after="80"/>
        <w:ind w:firstLine="0"/>
        <w:jc w:val="center"/>
      </w:pPr>
      <w:r>
        <w:rPr>
          <w:i/>
          <w:sz w:val="24"/>
        </w:rPr>
        <w:t>Bảng 4. Thực nghiệm đối chứng per-tensor và per-channel.</w:t>
      </w:r>
    </w:p>
    <w:tbl>
      <w:tblPr>
        <w:tblStyle w:val="TableGrid"/>
        <w:tblW w:type="auto" w:w="0"/>
        <w:jc w:val="center"/>
        <w:tblLook w:firstColumn="1" w:firstRow="1" w:lastColumn="0" w:lastRow="0" w:noHBand="0" w:noVBand="1" w:val="04A0"/>
      </w:tblPr>
      <w:tblGrid>
        <w:gridCol w:w="3118"/>
        <w:gridCol w:w="3118"/>
        <w:gridCol w:w="3118"/>
      </w:tblGrid>
      <w:tr>
        <w:tc>
          <w:tcPr>
            <w:tcW w:type="dxa" w:w="4535"/>
          </w:tcPr>
          <w:p>
            <w:pPr>
              <w:spacing w:line="240" w:lineRule="auto"/>
              <w:ind w:firstLine="0"/>
              <w:jc w:val="center"/>
            </w:pPr>
            <w:r/>
            <w:r>
              <w:rPr>
                <w:rFonts w:ascii="Times New Roman" w:hAnsi="Times New Roman"/>
                <w:b/>
                <w:sz w:val="22"/>
              </w:rPr>
              <w:t>Phương án</w:t>
            </w:r>
          </w:p>
        </w:tc>
        <w:tc>
          <w:tcPr>
            <w:tcW w:type="dxa" w:w="2268"/>
          </w:tcPr>
          <w:p>
            <w:pPr>
              <w:spacing w:line="240" w:lineRule="auto"/>
              <w:ind w:firstLine="0"/>
              <w:jc w:val="center"/>
            </w:pPr>
            <w:r/>
            <w:r>
              <w:rPr>
                <w:rFonts w:ascii="Times New Roman" w:hAnsi="Times New Roman"/>
                <w:b/>
                <w:sz w:val="22"/>
              </w:rPr>
              <w:t>Độ chính xác</w:t>
            </w:r>
          </w:p>
        </w:tc>
        <w:tc>
          <w:tcPr>
            <w:tcW w:type="dxa" w:w="2268"/>
          </w:tcPr>
          <w:p>
            <w:pPr>
              <w:spacing w:line="240" w:lineRule="auto"/>
              <w:ind w:firstLine="0"/>
              <w:jc w:val="center"/>
            </w:pPr>
            <w:r/>
            <w:r>
              <w:rPr>
                <w:rFonts w:ascii="Times New Roman" w:hAnsi="Times New Roman"/>
                <w:b/>
                <w:sz w:val="22"/>
              </w:rPr>
              <w:t>Số bộ dịch cần có</w:t>
            </w:r>
          </w:p>
        </w:tc>
      </w:tr>
      <w:tr>
        <w:tc>
          <w:tcPr>
            <w:tcW w:type="dxa" w:w="4535"/>
          </w:tcPr>
          <w:p>
            <w:pPr>
              <w:spacing w:line="240" w:lineRule="auto"/>
              <w:ind w:firstLine="0"/>
              <w:jc w:val="left"/>
            </w:pPr>
            <w:r/>
            <w:r>
              <w:rPr>
                <w:rFonts w:ascii="Times New Roman" w:hAnsi="Times New Roman"/>
                <w:b w:val="0"/>
                <w:sz w:val="22"/>
              </w:rPr>
              <w:t>Per-channel (theo khuyến nghị)</w:t>
            </w:r>
          </w:p>
        </w:tc>
        <w:tc>
          <w:tcPr>
            <w:tcW w:type="dxa" w:w="2268"/>
          </w:tcPr>
          <w:p>
            <w:pPr>
              <w:spacing w:line="240" w:lineRule="auto"/>
              <w:ind w:firstLine="0"/>
              <w:jc w:val="center"/>
            </w:pPr>
            <w:r/>
            <w:r>
              <w:rPr>
                <w:rFonts w:ascii="Times New Roman" w:hAnsi="Times New Roman"/>
                <w:b w:val="0"/>
                <w:sz w:val="22"/>
              </w:rPr>
              <w:t>94,43 %</w:t>
            </w:r>
          </w:p>
        </w:tc>
        <w:tc>
          <w:tcPr>
            <w:tcW w:type="dxa" w:w="2268"/>
          </w:tcPr>
          <w:p>
            <w:pPr>
              <w:spacing w:line="240" w:lineRule="auto"/>
              <w:ind w:firstLine="0"/>
              <w:jc w:val="center"/>
            </w:pPr>
            <w:r/>
            <w:r>
              <w:rPr>
                <w:rFonts w:ascii="Times New Roman" w:hAnsi="Times New Roman"/>
                <w:b w:val="0"/>
                <w:sz w:val="22"/>
              </w:rPr>
              <w:t>8</w:t>
            </w:r>
          </w:p>
        </w:tc>
      </w:tr>
      <w:tr>
        <w:tc>
          <w:tcPr>
            <w:tcW w:type="dxa" w:w="4535"/>
          </w:tcPr>
          <w:p>
            <w:pPr>
              <w:spacing w:line="240" w:lineRule="auto"/>
              <w:ind w:firstLine="0"/>
              <w:jc w:val="left"/>
            </w:pPr>
            <w:r/>
            <w:r>
              <w:rPr>
                <w:rFonts w:ascii="Times New Roman" w:hAnsi="Times New Roman"/>
                <w:b/>
                <w:sz w:val="22"/>
              </w:rPr>
              <w:t>Per-tensor (đề tài)</w:t>
            </w:r>
          </w:p>
        </w:tc>
        <w:tc>
          <w:tcPr>
            <w:tcW w:type="dxa" w:w="2268"/>
          </w:tcPr>
          <w:p>
            <w:pPr>
              <w:spacing w:line="240" w:lineRule="auto"/>
              <w:ind w:firstLine="0"/>
              <w:jc w:val="center"/>
            </w:pPr>
            <w:r/>
            <w:r>
              <w:rPr>
                <w:rFonts w:ascii="Times New Roman" w:hAnsi="Times New Roman"/>
                <w:b/>
                <w:sz w:val="22"/>
              </w:rPr>
              <w:t>94,27 %</w:t>
            </w:r>
          </w:p>
        </w:tc>
        <w:tc>
          <w:tcPr>
            <w:tcW w:type="dxa" w:w="2268"/>
          </w:tcPr>
          <w:p>
            <w:pPr>
              <w:spacing w:line="240" w:lineRule="auto"/>
              <w:ind w:firstLine="0"/>
              <w:jc w:val="center"/>
            </w:pPr>
            <w:r/>
            <w:r>
              <w:rPr>
                <w:rFonts w:ascii="Times New Roman" w:hAnsi="Times New Roman"/>
                <w:b/>
                <w:sz w:val="22"/>
              </w:rPr>
              <w:t>1</w:t>
            </w:r>
          </w:p>
        </w:tc>
      </w:tr>
    </w:tbl>
    <w:p>
      <w:pPr>
        <w:ind w:firstLine="560"/>
      </w:pPr>
      <w:r>
        <w:rPr>
          <w:b w:val="0"/>
          <w:i w:val="0"/>
        </w:rPr>
        <w:t>Chênh lệch 0,16 điểm phần trăm, nhỏ hơn độ lệch chuẩn giữa các lần chia tập. Conv1 và FC có độ phân tán quanh 1,1 lần nên per-channel gần như không khác per-tensor; Conv3 là tầng phân tán nhất với 5,1 lần và là nơi per-channel có lợi nhất.</w:t>
      </w:r>
    </w:p>
    <w:p>
      <w:pPr>
        <w:pStyle w:val="Heading3"/>
      </w:pPr>
      <w:r>
        <w:rPr>
          <w:rFonts w:ascii="Times New Roman" w:hAnsi="Times New Roman"/>
          <w:color w:val="000000"/>
        </w:rPr>
        <w:t>3.3. Câu trả lời gợi ý</w:t>
      </w:r>
    </w:p>
    <w:p>
      <w:pPr>
        <w:spacing w:before="120" w:after="120"/>
        <w:ind w:firstLine="0" w:left="567" w:right="283"/>
      </w:pPr>
      <w:r>
        <w:rPr>
          <w:i/>
        </w:rPr>
        <w:t>Cả hai khung đều khuyến nghị per-channel cho trọng số, nên em đã chạy thực nghiệm đối chứng thay vì chỉ suy luận. Per-channel cho 94,43 phần trăm so với 94,27 phần trăm của per-tensor, chênh 0,16 điểm phần trăm và nhỏ hơn độ lệch chuẩn giữa các lần chia tập. Nguyên nhân là mô hình chỉ có bốn đến tám kênh mỗi tầng nên độ phân tán biên độ giữa các kênh nhỏ, cao nhất là 5,1 lần ở Conv3. Đổi lại, per-tensor cho phép tám khối xử lý dùng chung một hệ số dịch thay vì tám bộ dịch riêng. Em chọn per-tensor vì lợi ích độ chính xác nằm trong nhiễu còn chi phí phần cứng thì giảm rõ rệt.</w:t>
      </w:r>
    </w:p>
    <w:p>
      <w:pPr>
        <w:pStyle w:val="Heading2"/>
      </w:pPr>
      <w:r>
        <w:rPr>
          <w:rFonts w:ascii="Times New Roman" w:hAnsi="Times New Roman"/>
          <w:color w:val="000000"/>
        </w:rPr>
        <w:t>4. Bảng tổng hợp</w:t>
      </w:r>
    </w:p>
    <w:p>
      <w:pPr>
        <w:spacing w:before="120" w:after="80"/>
        <w:ind w:firstLine="0"/>
        <w:jc w:val="center"/>
      </w:pPr>
      <w:r>
        <w:rPr>
          <w:i/>
          <w:sz w:val="24"/>
        </w:rPr>
        <w:t>Bảng 5. Tổng hợp ba ràng buộc, chi phí và dẫn chứng.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tcPr>
          <w:p>
            <w:pPr>
              <w:spacing w:line="240" w:lineRule="auto"/>
              <w:ind w:firstLine="0"/>
              <w:jc w:val="center"/>
            </w:pPr>
            <w:r/>
            <w:r>
              <w:rPr>
                <w:rFonts w:ascii="Times New Roman" w:hAnsi="Times New Roman"/>
                <w:b/>
                <w:sz w:val="22"/>
              </w:rPr>
              <w:t>Ràng buộc</w:t>
            </w:r>
          </w:p>
        </w:tc>
        <w:tc>
          <w:tcPr>
            <w:tcW w:type="dxa" w:w="2494"/>
          </w:tcPr>
          <w:p>
            <w:pPr>
              <w:spacing w:line="240" w:lineRule="auto"/>
              <w:ind w:firstLine="0"/>
              <w:jc w:val="center"/>
            </w:pPr>
            <w:r/>
            <w:r>
              <w:rPr>
                <w:rFonts w:ascii="Times New Roman" w:hAnsi="Times New Roman"/>
                <w:b/>
                <w:sz w:val="22"/>
              </w:rPr>
              <w:t>Chi phí độ chính xác</w:t>
            </w:r>
          </w:p>
        </w:tc>
        <w:tc>
          <w:tcPr>
            <w:tcW w:type="dxa" w:w="2268"/>
          </w:tcPr>
          <w:p>
            <w:pPr>
              <w:spacing w:line="240" w:lineRule="auto"/>
              <w:ind w:firstLine="0"/>
              <w:jc w:val="center"/>
            </w:pPr>
            <w:r/>
            <w:r>
              <w:rPr>
                <w:rFonts w:ascii="Times New Roman" w:hAnsi="Times New Roman"/>
                <w:b/>
                <w:sz w:val="22"/>
              </w:rPr>
              <w:t>Lợi ích phần cứng</w:t>
            </w:r>
          </w:p>
        </w:tc>
        <w:tc>
          <w:tcPr>
            <w:tcW w:type="dxa" w:w="2268"/>
          </w:tcPr>
          <w:p>
            <w:pPr>
              <w:spacing w:line="240" w:lineRule="auto"/>
              <w:ind w:firstLine="0"/>
              <w:jc w:val="center"/>
            </w:pPr>
            <w:r/>
            <w:r>
              <w:rPr>
                <w:rFonts w:ascii="Times New Roman" w:hAnsi="Times New Roman"/>
                <w:b/>
                <w:sz w:val="22"/>
              </w:rPr>
              <w:t>Loại dẫn chứng</w:t>
            </w:r>
          </w:p>
        </w:tc>
      </w:tr>
      <w:tr>
        <w:tc>
          <w:tcPr>
            <w:tcW w:type="dxa" w:w="2268"/>
          </w:tcPr>
          <w:p>
            <w:pPr>
              <w:spacing w:line="240" w:lineRule="auto"/>
              <w:ind w:firstLine="0"/>
              <w:jc w:val="left"/>
            </w:pPr>
            <w:r/>
            <w:r>
              <w:rPr>
                <w:rFonts w:ascii="Times New Roman" w:hAnsi="Times New Roman"/>
                <w:b w:val="0"/>
                <w:sz w:val="22"/>
              </w:rPr>
              <w:t>Thang luỹ thừa của hai</w:t>
            </w:r>
          </w:p>
        </w:tc>
        <w:tc>
          <w:tcPr>
            <w:tcW w:type="dxa" w:w="2494"/>
          </w:tcPr>
          <w:p>
            <w:pPr>
              <w:spacing w:line="240" w:lineRule="auto"/>
              <w:ind w:firstLine="0"/>
              <w:jc w:val="center"/>
            </w:pPr>
            <w:r/>
            <w:r>
              <w:rPr>
                <w:rFonts w:ascii="Times New Roman" w:hAnsi="Times New Roman"/>
                <w:b w:val="0"/>
                <w:sz w:val="22"/>
              </w:rPr>
              <w:t>0,28 điểm (trong nhiễu)</w:t>
            </w:r>
          </w:p>
        </w:tc>
        <w:tc>
          <w:tcPr>
            <w:tcW w:type="dxa" w:w="2268"/>
          </w:tcPr>
          <w:p>
            <w:pPr>
              <w:spacing w:line="240" w:lineRule="auto"/>
              <w:ind w:firstLine="0"/>
              <w:jc w:val="center"/>
            </w:pPr>
            <w:r/>
            <w:r>
              <w:rPr>
                <w:rFonts w:ascii="Times New Roman" w:hAnsi="Times New Roman"/>
                <w:b w:val="0"/>
                <w:sz w:val="22"/>
              </w:rPr>
              <w:t>Bỏ 4 khối DSP</w:t>
            </w:r>
          </w:p>
        </w:tc>
        <w:tc>
          <w:tcPr>
            <w:tcW w:type="dxa" w:w="2268"/>
          </w:tcPr>
          <w:p>
            <w:pPr>
              <w:spacing w:line="240" w:lineRule="auto"/>
              <w:ind w:firstLine="0"/>
              <w:jc w:val="center"/>
            </w:pPr>
            <w:r/>
            <w:r>
              <w:rPr>
                <w:rFonts w:ascii="Times New Roman" w:hAnsi="Times New Roman"/>
                <w:b w:val="0"/>
                <w:sz w:val="22"/>
              </w:rPr>
              <w:t>Thực nghiệm đối chứng</w:t>
            </w:r>
          </w:p>
        </w:tc>
      </w:tr>
      <w:tr>
        <w:tc>
          <w:tcPr>
            <w:tcW w:type="dxa" w:w="2268"/>
          </w:tcPr>
          <w:p>
            <w:pPr>
              <w:spacing w:line="240" w:lineRule="auto"/>
              <w:ind w:firstLine="0"/>
              <w:jc w:val="left"/>
            </w:pPr>
            <w:r/>
            <w:r>
              <w:rPr>
                <w:rFonts w:ascii="Times New Roman" w:hAnsi="Times New Roman"/>
                <w:b w:val="0"/>
                <w:sz w:val="22"/>
              </w:rPr>
              <w:t>Activation đối xứng</w:t>
            </w:r>
          </w:p>
        </w:tc>
        <w:tc>
          <w:tcPr>
            <w:tcW w:type="dxa" w:w="2494"/>
          </w:tcPr>
          <w:p>
            <w:pPr>
              <w:spacing w:line="240" w:lineRule="auto"/>
              <w:ind w:firstLine="0"/>
              <w:jc w:val="center"/>
            </w:pPr>
            <w:r/>
            <w:r>
              <w:rPr>
                <w:rFonts w:ascii="Times New Roman" w:hAnsi="Times New Roman"/>
                <w:b w:val="0"/>
                <w:sz w:val="22"/>
              </w:rPr>
              <w:t>không đo trực tiếp được</w:t>
            </w:r>
          </w:p>
        </w:tc>
        <w:tc>
          <w:tcPr>
            <w:tcW w:type="dxa" w:w="2268"/>
          </w:tcPr>
          <w:p>
            <w:pPr>
              <w:spacing w:line="240" w:lineRule="auto"/>
              <w:ind w:firstLine="0"/>
              <w:jc w:val="center"/>
            </w:pPr>
            <w:r/>
            <w:r>
              <w:rPr>
                <w:rFonts w:ascii="Times New Roman" w:hAnsi="Times New Roman"/>
                <w:b w:val="0"/>
                <w:sz w:val="22"/>
              </w:rPr>
              <w:t>Bỏ nhánh bù zero_point</w:t>
            </w:r>
          </w:p>
        </w:tc>
        <w:tc>
          <w:tcPr>
            <w:tcW w:type="dxa" w:w="2268"/>
          </w:tcPr>
          <w:p>
            <w:pPr>
              <w:spacing w:line="240" w:lineRule="auto"/>
              <w:ind w:firstLine="0"/>
              <w:jc w:val="center"/>
            </w:pPr>
            <w:r/>
            <w:r>
              <w:rPr>
                <w:rFonts w:ascii="Times New Roman" w:hAnsi="Times New Roman"/>
                <w:b w:val="0"/>
                <w:sz w:val="22"/>
              </w:rPr>
              <w:t>Phân tích dải giá trị</w:t>
            </w:r>
          </w:p>
        </w:tc>
      </w:tr>
      <w:tr>
        <w:tc>
          <w:tcPr>
            <w:tcW w:type="dxa" w:w="2268"/>
          </w:tcPr>
          <w:p>
            <w:pPr>
              <w:spacing w:line="240" w:lineRule="auto"/>
              <w:ind w:firstLine="0"/>
              <w:jc w:val="left"/>
            </w:pPr>
            <w:r/>
            <w:r>
              <w:rPr>
                <w:rFonts w:ascii="Times New Roman" w:hAnsi="Times New Roman"/>
                <w:b w:val="0"/>
                <w:sz w:val="22"/>
              </w:rPr>
              <w:t>Per-tensor</w:t>
            </w:r>
          </w:p>
        </w:tc>
        <w:tc>
          <w:tcPr>
            <w:tcW w:type="dxa" w:w="2494"/>
          </w:tcPr>
          <w:p>
            <w:pPr>
              <w:spacing w:line="240" w:lineRule="auto"/>
              <w:ind w:firstLine="0"/>
              <w:jc w:val="center"/>
            </w:pPr>
            <w:r/>
            <w:r>
              <w:rPr>
                <w:rFonts w:ascii="Times New Roman" w:hAnsi="Times New Roman"/>
                <w:b w:val="0"/>
                <w:sz w:val="22"/>
              </w:rPr>
              <w:t>0,16 điểm (trong nhiễu)</w:t>
            </w:r>
          </w:p>
        </w:tc>
        <w:tc>
          <w:tcPr>
            <w:tcW w:type="dxa" w:w="2268"/>
          </w:tcPr>
          <w:p>
            <w:pPr>
              <w:spacing w:line="240" w:lineRule="auto"/>
              <w:ind w:firstLine="0"/>
              <w:jc w:val="center"/>
            </w:pPr>
            <w:r/>
            <w:r>
              <w:rPr>
                <w:rFonts w:ascii="Times New Roman" w:hAnsi="Times New Roman"/>
                <w:b w:val="0"/>
                <w:sz w:val="22"/>
              </w:rPr>
              <w:t>Một bộ dịch thay vì tám</w:t>
            </w:r>
          </w:p>
        </w:tc>
        <w:tc>
          <w:tcPr>
            <w:tcW w:type="dxa" w:w="2268"/>
          </w:tcPr>
          <w:p>
            <w:pPr>
              <w:spacing w:line="240" w:lineRule="auto"/>
              <w:ind w:firstLine="0"/>
              <w:jc w:val="center"/>
            </w:pPr>
            <w:r/>
            <w:r>
              <w:rPr>
                <w:rFonts w:ascii="Times New Roman" w:hAnsi="Times New Roman"/>
                <w:b w:val="0"/>
                <w:sz w:val="22"/>
              </w:rPr>
              <w:t>Thực nghiệm đối chứng</w:t>
            </w:r>
          </w:p>
        </w:tc>
      </w:tr>
    </w:tbl>
    <w:p>
      <w:pPr>
        <w:ind w:firstLine="560"/>
      </w:pPr>
      <w:r>
        <w:rPr>
          <w:b w:val="0"/>
          <w:i w:val="0"/>
        </w:rPr>
        <w:t>Cả ba chênh lệch độ chính xác đều nhỏ hơn độ lệch chuẩn giữa các lần chia tập kiểm tra, trong khi ba lợi ích phần cứng đều xác định và đếm được từ cấu trúc mạch. Đây là cơ sở của phát biểu rằng ba ràng buộc là đánh đổi có lợi cho thiết kế phần cứng.</w:t>
      </w:r>
    </w:p>
    <w:p>
      <w:pPr>
        <w:pStyle w:val="Heading2"/>
      </w:pPr>
      <w:r>
        <w:rPr>
          <w:rFonts w:ascii="Times New Roman" w:hAnsi="Times New Roman"/>
          <w:color w:val="000000"/>
        </w:rPr>
        <w:t>5. Câu hỏi có thể gặp và hướng trả lời</w:t>
      </w:r>
    </w:p>
    <w:p>
      <w:pPr>
        <w:ind w:firstLine="560"/>
      </w:pPr>
      <w:r>
        <w:rPr>
          <w:b/>
          <w:i w:val="0"/>
        </w:rPr>
        <w:t>Câu hỏi: Vì sao không dùng đúng chuẩn cho chắc?</w:t>
      </w:r>
    </w:p>
    <w:p>
      <w:pPr>
        <w:spacing w:before="120" w:after="120"/>
        <w:ind w:firstLine="0" w:left="567" w:right="283"/>
      </w:pPr>
      <w:r>
        <w:rPr>
          <w:i/>
        </w:rPr>
        <w:t>Chuẩn được thiết kế cho bộ suy luận đa dụng chạy trên CPU và điện thoại, nơi bộ nhân đã có sẵn nên thang tổng quát không tốn thêm gì. Trên FPGA, mỗi bộ nhân là một khối DSP hữu hạn. Ba ràng buộc của em đổi phần độ chính xác nằm trong nhiễu lấy tài nguyên giảm chắc chắn, và các số liệu ở Bảng 1, 3, 4 là căn cứ cho đánh đổi đó.</w:t>
      </w:r>
    </w:p>
    <w:p>
      <w:pPr>
        <w:ind w:firstLine="560"/>
      </w:pPr>
      <w:r>
        <w:rPr>
          <w:b/>
          <w:i w:val="0"/>
        </w:rPr>
        <w:t>Câu hỏi: Chênh lệch nằm trong nhiễu thì sao dám kết luận?</w:t>
      </w:r>
    </w:p>
    <w:p>
      <w:pPr>
        <w:spacing w:before="120" w:after="120"/>
        <w:ind w:firstLine="0" w:left="567" w:right="283"/>
      </w:pPr>
      <w:r>
        <w:rPr>
          <w:i/>
        </w:rPr>
        <w:t>Em không kết luận phương án của em chính xác hơn. Em kết luận rằng độ chính xác không khác biệt có ý nghĩa thống kê, còn chi phí phần cứng thì khác biệt xác định. Khi một trục không phân biệt được mà trục kia phân biệt rõ, lựa chọn theo trục phân biệt được là hợp lý.</w:t>
      </w:r>
    </w:p>
    <w:p>
      <w:pPr>
        <w:ind w:firstLine="560"/>
      </w:pPr>
      <w:r>
        <w:rPr>
          <w:b/>
          <w:i w:val="0"/>
        </w:rPr>
        <w:t>Câu hỏi: Ràng buộc nào ảnh hưởng nhiều nhất?</w:t>
      </w:r>
    </w:p>
    <w:p>
      <w:pPr>
        <w:spacing w:before="120" w:after="120"/>
        <w:ind w:firstLine="0" w:left="567" w:right="283"/>
      </w:pPr>
      <w:r>
        <w:rPr>
          <w:i/>
        </w:rPr>
        <w:t>Theo số liệu thì thang luỹ thừa của hai ảnh hưởng nhiều nhất với 0,28 điểm phần trăm, nhưng cũng là ràng buộc mang lại lợi ích lớn nhất là bốn khối DSP. Activation đối xứng ảnh hưởng ít nhất vì ba trên bốn tầng vốn không chạm biên dải.</w:t>
      </w:r>
    </w:p>
    <w:p>
      <w:pPr>
        <w:ind w:firstLine="560"/>
      </w:pPr>
      <w:r>
        <w:rPr>
          <w:b/>
          <w:i w:val="0"/>
        </w:rPr>
        <w:t>Câu hỏi: Nếu bỏ cả ba ràng buộc thì được bao nhiêu?</w:t>
      </w:r>
    </w:p>
    <w:p>
      <w:pPr>
        <w:spacing w:before="120" w:after="120"/>
        <w:ind w:firstLine="0" w:left="567" w:right="283"/>
      </w:pPr>
      <w:r>
        <w:rPr>
          <w:i/>
        </w:rPr>
        <w:t>Em chưa đo trường hợp bỏ đồng thời cả ba vì mỗi thực nghiệm chỉ thay đổi một biến để quy kết nguyên nhân được rõ ràng. Cộng dồn thô thì khoảng 0,4 điểm phần trăm, nhưng con số cộng dồn này không chặt vì các ràng buộc có thể tương tác. Đây là hạn chế em ghi nhận.</w:t>
      </w:r>
    </w:p>
    <w:sectPr w:rsidR="00FC693F" w:rsidRPr="0006063C" w:rsidSect="00034616">
      <w:pgSz w:w="11907" w:h="16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