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ĐỐI CHIẾU PHƯƠNG PHÁP LƯỢNG TỬ HOÁ CỦA ĐỀ TÀI VỚI TENSORFLOW LITE VÀ PYTORCH</w:t>
      </w:r>
    </w:p>
    <w:p>
      <w:pPr>
        <w:ind w:firstLine="560"/>
      </w:pPr>
      <w:r>
        <w:rPr>
          <w:b w:val="0"/>
          <w:i w:val="0"/>
        </w:rPr>
        <w:t>Tài liệu này trình bày bốn nội dung: (i) phương pháp lượng tử hoá INT8 theo đặc tả chính thức của TensorFlow Lite/LiteRT dùng làm hệ quy chiếu; (ii) phương pháp tương ứng của PyTorch, là khung huấn luyện được dùng trong đề tài; (iii) phương pháp lượng tử hoá được hiện thực trong đề tài; (iv) đối chiếu ba phương pháp, chỉ rõ những điểm tuân thủ, những điểm khác biệt có chủ đích, và chi phí đo được của từng khác biệt.</w:t>
      </w:r>
    </w:p>
    <w:p>
      <w:pPr>
        <w:pStyle w:val="Heading2"/>
      </w:pPr>
      <w:r>
        <w:rPr>
          <w:rFonts w:ascii="Times New Roman" w:hAnsi="Times New Roman"/>
          <w:color w:val="000000"/>
        </w:rPr>
        <w:t>1. Phương pháp lượng tử hoá tham chiếu theo TensorFlow Lite</w:t>
      </w:r>
    </w:p>
    <w:p>
      <w:pPr>
        <w:pStyle w:val="Heading3"/>
      </w:pPr>
      <w:r>
        <w:rPr>
          <w:rFonts w:ascii="Times New Roman" w:hAnsi="Times New Roman"/>
          <w:color w:val="000000"/>
        </w:rPr>
        <w:t>1.1. Ánh xạ affine</w:t>
      </w:r>
    </w:p>
    <w:p>
      <w:pPr>
        <w:ind w:firstLine="560"/>
      </w:pPr>
      <w:r>
        <w:rPr>
          <w:b w:val="0"/>
          <w:i w:val="0"/>
        </w:rPr>
        <w:t>TensorFlow Lite (nay là LiteRT) định nghĩa lượng tử hoá 8 bit bằng ánh xạ affine giữa giá trị thực và giá trị nguyên [TF]:</w:t>
      </w:r>
    </w:p>
    <w:p>
      <w:pPr>
        <w:tabs>
          <w:tab w:pos="4677" w:val="left"/>
          <w:tab w:pos="9074" w:val="left"/>
        </w:tabs>
        <w:spacing w:before="120" w:after="120"/>
        <w:ind w:firstLine="0"/>
      </w:pPr>
      <w:r>
        <w:rPr>
          <w:i/>
        </w:rPr>
        <w:tab/>
        <w:t>real_value = (q − zero_point) × scale</w:t>
        <w:tab/>
        <w:t>(A.1)</w:t>
      </w:r>
    </w:p>
    <w:p>
      <w:pPr>
        <w:ind w:firstLine="560"/>
      </w:pPr>
      <w:r>
        <w:rPr>
          <w:b w:val="0"/>
          <w:i w:val="0"/>
        </w:rPr>
        <w:t>trong đó q là số nguyên 8 bit được lưu, scale là hệ số tỉ lệ số thực dương, và zero_point là số nguyên xác định giá trị nguyên nào tương ứng với số thực 0. Nguyên văn đặc tả: “8-bit quantization approximates floating point values using the following formula: real_value = (int8_value − zero_point) × scale”.</w:t>
      </w:r>
    </w:p>
    <w:p>
      <w:pPr>
        <w:pStyle w:val="Heading3"/>
      </w:pPr>
      <w:r>
        <w:rPr>
          <w:rFonts w:ascii="Times New Roman" w:hAnsi="Times New Roman"/>
          <w:color w:val="000000"/>
        </w:rPr>
        <w:t>1.2. Ràng buộc theo từng loại tensor</w:t>
      </w:r>
    </w:p>
    <w:p>
      <w:pPr>
        <w:ind w:firstLine="560"/>
      </w:pPr>
      <w:r>
        <w:rPr>
          <w:b w:val="0"/>
          <w:i w:val="0"/>
        </w:rPr>
        <w:t>Đặc tả quy định ràng buộc khác nhau cho trọng số và cho activation. Bảng A.1 tóm tắt các ràng buộc đối với hai toán tử CONV_2D và FULLY_CONNECTED.</w:t>
      </w:r>
    </w:p>
    <w:p>
      <w:pPr>
        <w:spacing w:before="120" w:after="80"/>
        <w:ind w:firstLine="0"/>
        <w:jc w:val="center"/>
      </w:pPr>
      <w:r>
        <w:rPr>
          <w:i/>
          <w:sz w:val="24"/>
        </w:rPr>
        <w:t>Bảng A.1. Ràng buộc lượng tử hoá INT8 theo đặc tả TensorFlow Lite.</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041"/>
          </w:tcPr>
          <w:p>
            <w:pPr>
              <w:spacing w:line="240" w:lineRule="auto"/>
              <w:ind w:firstLine="0"/>
              <w:jc w:val="center"/>
            </w:pPr>
            <w:r/>
            <w:r>
              <w:rPr>
                <w:rFonts w:ascii="Times New Roman" w:hAnsi="Times New Roman"/>
                <w:b/>
                <w:sz w:val="22"/>
              </w:rPr>
              <w:t>Tensor</w:t>
            </w:r>
          </w:p>
        </w:tc>
        <w:tc>
          <w:tcPr>
            <w:tcW w:type="dxa" w:w="850"/>
          </w:tcPr>
          <w:p>
            <w:pPr>
              <w:spacing w:line="240" w:lineRule="auto"/>
              <w:ind w:firstLine="0"/>
              <w:jc w:val="center"/>
            </w:pPr>
            <w:r/>
            <w:r>
              <w:rPr>
                <w:rFonts w:ascii="Times New Roman" w:hAnsi="Times New Roman"/>
                <w:b/>
                <w:sz w:val="22"/>
              </w:rPr>
              <w:t>Kiểu</w:t>
            </w:r>
          </w:p>
        </w:tc>
        <w:tc>
          <w:tcPr>
            <w:tcW w:type="dxa" w:w="1474"/>
          </w:tcPr>
          <w:p>
            <w:pPr>
              <w:spacing w:line="240" w:lineRule="auto"/>
              <w:ind w:firstLine="0"/>
              <w:jc w:val="center"/>
            </w:pPr>
            <w:r/>
            <w:r>
              <w:rPr>
                <w:rFonts w:ascii="Times New Roman" w:hAnsi="Times New Roman"/>
                <w:b/>
                <w:sz w:val="22"/>
              </w:rPr>
              <w:t>Dải giá trị</w:t>
            </w:r>
          </w:p>
        </w:tc>
        <w:tc>
          <w:tcPr>
            <w:tcW w:type="dxa" w:w="2041"/>
          </w:tcPr>
          <w:p>
            <w:pPr>
              <w:spacing w:line="240" w:lineRule="auto"/>
              <w:ind w:firstLine="0"/>
              <w:jc w:val="center"/>
            </w:pPr>
            <w:r/>
            <w:r>
              <w:rPr>
                <w:rFonts w:ascii="Times New Roman" w:hAnsi="Times New Roman"/>
                <w:b/>
                <w:sz w:val="22"/>
              </w:rPr>
              <w:t>zero_point</w:t>
            </w:r>
          </w:p>
        </w:tc>
        <w:tc>
          <w:tcPr>
            <w:tcW w:type="dxa" w:w="2381"/>
          </w:tcPr>
          <w:p>
            <w:pPr>
              <w:spacing w:line="240" w:lineRule="auto"/>
              <w:ind w:firstLine="0"/>
              <w:jc w:val="center"/>
            </w:pPr>
            <w:r/>
            <w:r>
              <w:rPr>
                <w:rFonts w:ascii="Times New Roman" w:hAnsi="Times New Roman"/>
                <w:b/>
                <w:sz w:val="22"/>
              </w:rPr>
              <w:t>Mức áp dụng</w:t>
            </w:r>
          </w:p>
        </w:tc>
      </w:tr>
      <w:tr>
        <w:tc>
          <w:tcPr>
            <w:tcW w:type="dxa" w:w="2041"/>
          </w:tcPr>
          <w:p>
            <w:pPr>
              <w:spacing w:line="240" w:lineRule="auto"/>
              <w:ind w:firstLine="0"/>
              <w:jc w:val="left"/>
            </w:pPr>
            <w:r/>
            <w:r>
              <w:rPr>
                <w:rFonts w:ascii="Times New Roman" w:hAnsi="Times New Roman"/>
                <w:b w:val="0"/>
                <w:sz w:val="22"/>
              </w:rPr>
              <w:t>Activation vào/ra</w:t>
            </w:r>
          </w:p>
        </w:tc>
        <w:tc>
          <w:tcPr>
            <w:tcW w:type="dxa" w:w="850"/>
          </w:tcPr>
          <w:p>
            <w:pPr>
              <w:spacing w:line="240" w:lineRule="auto"/>
              <w:ind w:firstLine="0"/>
              <w:jc w:val="center"/>
            </w:pPr>
            <w:r/>
            <w:r>
              <w:rPr>
                <w:rFonts w:ascii="Times New Roman" w:hAnsi="Times New Roman"/>
                <w:b w:val="0"/>
                <w:sz w:val="22"/>
              </w:rPr>
              <w:t>int8</w:t>
            </w:r>
          </w:p>
        </w:tc>
        <w:tc>
          <w:tcPr>
            <w:tcW w:type="dxa" w:w="1474"/>
          </w:tcPr>
          <w:p>
            <w:pPr>
              <w:spacing w:line="240" w:lineRule="auto"/>
              <w:ind w:firstLine="0"/>
              <w:jc w:val="center"/>
            </w:pPr>
            <w:r/>
            <w:r>
              <w:rPr>
                <w:rFonts w:ascii="Times New Roman" w:hAnsi="Times New Roman"/>
                <w:b w:val="0"/>
                <w:sz w:val="22"/>
              </w:rPr>
              <w:t>[−128, 127]</w:t>
            </w:r>
          </w:p>
        </w:tc>
        <w:tc>
          <w:tcPr>
            <w:tcW w:type="dxa" w:w="2041"/>
          </w:tcPr>
          <w:p>
            <w:pPr>
              <w:spacing w:line="240" w:lineRule="auto"/>
              <w:ind w:firstLine="0"/>
              <w:jc w:val="center"/>
            </w:pPr>
            <w:r/>
            <w:r>
              <w:rPr>
                <w:rFonts w:ascii="Times New Roman" w:hAnsi="Times New Roman"/>
                <w:b w:val="0"/>
                <w:sz w:val="22"/>
              </w:rPr>
              <w:t>tự do (bất đối xứng)</w:t>
            </w:r>
          </w:p>
        </w:tc>
        <w:tc>
          <w:tcPr>
            <w:tcW w:type="dxa" w:w="2381"/>
          </w:tcPr>
          <w:p>
            <w:pPr>
              <w:spacing w:line="240" w:lineRule="auto"/>
              <w:ind w:firstLine="0"/>
              <w:jc w:val="center"/>
            </w:pPr>
            <w:r/>
            <w:r>
              <w:rPr>
                <w:rFonts w:ascii="Times New Roman" w:hAnsi="Times New Roman"/>
                <w:b w:val="0"/>
                <w:sz w:val="22"/>
              </w:rPr>
              <w:t>per-tensor</w:t>
            </w:r>
          </w:p>
        </w:tc>
      </w:tr>
      <w:tr>
        <w:tc>
          <w:tcPr>
            <w:tcW w:type="dxa" w:w="2041"/>
          </w:tcPr>
          <w:p>
            <w:pPr>
              <w:spacing w:line="240" w:lineRule="auto"/>
              <w:ind w:firstLine="0"/>
              <w:jc w:val="left"/>
            </w:pPr>
            <w:r/>
            <w:r>
              <w:rPr>
                <w:rFonts w:ascii="Times New Roman" w:hAnsi="Times New Roman"/>
                <w:b w:val="0"/>
                <w:sz w:val="22"/>
              </w:rPr>
              <w:t>Trọng số</w:t>
            </w:r>
          </w:p>
        </w:tc>
        <w:tc>
          <w:tcPr>
            <w:tcW w:type="dxa" w:w="850"/>
          </w:tcPr>
          <w:p>
            <w:pPr>
              <w:spacing w:line="240" w:lineRule="auto"/>
              <w:ind w:firstLine="0"/>
              <w:jc w:val="center"/>
            </w:pPr>
            <w:r/>
            <w:r>
              <w:rPr>
                <w:rFonts w:ascii="Times New Roman" w:hAnsi="Times New Roman"/>
                <w:b w:val="0"/>
                <w:sz w:val="22"/>
              </w:rPr>
              <w:t>int8</w:t>
            </w:r>
          </w:p>
        </w:tc>
        <w:tc>
          <w:tcPr>
            <w:tcW w:type="dxa" w:w="1474"/>
          </w:tcPr>
          <w:p>
            <w:pPr>
              <w:spacing w:line="240" w:lineRule="auto"/>
              <w:ind w:firstLine="0"/>
              <w:jc w:val="center"/>
            </w:pPr>
            <w:r/>
            <w:r>
              <w:rPr>
                <w:rFonts w:ascii="Times New Roman" w:hAnsi="Times New Roman"/>
                <w:b w:val="0"/>
                <w:sz w:val="22"/>
              </w:rPr>
              <w:t>[−127, 127]</w:t>
            </w:r>
          </w:p>
        </w:tc>
        <w:tc>
          <w:tcPr>
            <w:tcW w:type="dxa" w:w="2041"/>
          </w:tcPr>
          <w:p>
            <w:pPr>
              <w:spacing w:line="240" w:lineRule="auto"/>
              <w:ind w:firstLine="0"/>
              <w:jc w:val="center"/>
            </w:pPr>
            <w:r/>
            <w:r>
              <w:rPr>
                <w:rFonts w:ascii="Times New Roman" w:hAnsi="Times New Roman"/>
                <w:b w:val="0"/>
                <w:sz w:val="22"/>
              </w:rPr>
              <w:t>= 0 (bắt buộc)</w:t>
            </w:r>
          </w:p>
        </w:tc>
        <w:tc>
          <w:tcPr>
            <w:tcW w:type="dxa" w:w="2381"/>
          </w:tcPr>
          <w:p>
            <w:pPr>
              <w:spacing w:line="240" w:lineRule="auto"/>
              <w:ind w:firstLine="0"/>
              <w:jc w:val="center"/>
            </w:pPr>
            <w:r/>
            <w:r>
              <w:rPr>
                <w:rFonts w:ascii="Times New Roman" w:hAnsi="Times New Roman"/>
                <w:b w:val="0"/>
                <w:sz w:val="22"/>
              </w:rPr>
              <w:t>per-axis (dim 0) hoặc per-tensor</w:t>
            </w:r>
          </w:p>
        </w:tc>
      </w:tr>
      <w:tr>
        <w:tc>
          <w:tcPr>
            <w:tcW w:type="dxa" w:w="2041"/>
          </w:tcPr>
          <w:p>
            <w:pPr>
              <w:spacing w:line="240" w:lineRule="auto"/>
              <w:ind w:firstLine="0"/>
              <w:jc w:val="left"/>
            </w:pPr>
            <w:r/>
            <w:r>
              <w:rPr>
                <w:rFonts w:ascii="Times New Roman" w:hAnsi="Times New Roman"/>
                <w:b w:val="0"/>
                <w:sz w:val="22"/>
              </w:rPr>
              <w:t>Bias</w:t>
            </w:r>
          </w:p>
        </w:tc>
        <w:tc>
          <w:tcPr>
            <w:tcW w:type="dxa" w:w="850"/>
          </w:tcPr>
          <w:p>
            <w:pPr>
              <w:spacing w:line="240" w:lineRule="auto"/>
              <w:ind w:firstLine="0"/>
              <w:jc w:val="center"/>
            </w:pPr>
            <w:r/>
            <w:r>
              <w:rPr>
                <w:rFonts w:ascii="Times New Roman" w:hAnsi="Times New Roman"/>
                <w:b w:val="0"/>
                <w:sz w:val="22"/>
              </w:rPr>
              <w:t>int32</w:t>
            </w:r>
          </w:p>
        </w:tc>
        <w:tc>
          <w:tcPr>
            <w:tcW w:type="dxa" w:w="1474"/>
          </w:tcPr>
          <w:p>
            <w:pPr>
              <w:spacing w:line="240" w:lineRule="auto"/>
              <w:ind w:firstLine="0"/>
              <w:jc w:val="center"/>
            </w:pPr>
            <w:r/>
            <w:r>
              <w:rPr>
                <w:rFonts w:ascii="Times New Roman" w:hAnsi="Times New Roman"/>
                <w:b w:val="0"/>
                <w:sz w:val="22"/>
              </w:rPr>
              <w:t>dải int32</w:t>
            </w:r>
          </w:p>
        </w:tc>
        <w:tc>
          <w:tcPr>
            <w:tcW w:type="dxa" w:w="2041"/>
          </w:tcPr>
          <w:p>
            <w:pPr>
              <w:spacing w:line="240" w:lineRule="auto"/>
              <w:ind w:firstLine="0"/>
              <w:jc w:val="center"/>
            </w:pPr>
            <w:r/>
            <w:r>
              <w:rPr>
                <w:rFonts w:ascii="Times New Roman" w:hAnsi="Times New Roman"/>
                <w:b w:val="0"/>
                <w:sz w:val="22"/>
              </w:rPr>
              <w:t>= 0</w:t>
            </w:r>
          </w:p>
        </w:tc>
        <w:tc>
          <w:tcPr>
            <w:tcW w:type="dxa" w:w="2381"/>
          </w:tcPr>
          <w:p>
            <w:pPr>
              <w:spacing w:line="240" w:lineRule="auto"/>
              <w:ind w:firstLine="0"/>
              <w:jc w:val="center"/>
            </w:pPr>
            <w:r/>
            <w:r>
              <w:rPr>
                <w:rFonts w:ascii="Times New Roman" w:hAnsi="Times New Roman"/>
                <w:b w:val="0"/>
                <w:sz w:val="22"/>
              </w:rPr>
              <w:t>scale = scale_in × scale_w</w:t>
            </w:r>
          </w:p>
        </w:tc>
      </w:tr>
    </w:tbl>
    <w:p>
      <w:pPr>
        <w:ind w:firstLine="560"/>
      </w:pPr>
      <w:r>
        <w:rPr>
          <w:b w:val="0"/>
          <w:i w:val="0"/>
        </w:rPr>
        <w:t>Lý do trọng số bị ép đối xứng được nêu trực tiếp trong đặc tả: “Weight values are multiplied by dynamic input and activation values. This means that there is an unavoidable runtime cost of multiplying the zero-point of the weight with the activation value. By enforcing that zero-point is 0 we can avoid this cost.” Nói cách khác, nếu zero_point của trọng số khác 0 thì phép tích chập sinh thêm một số hạng chéo phải tính trong thời gian chạy.</w:t>
      </w:r>
    </w:p>
    <w:p>
      <w:pPr>
        <w:ind w:firstLine="560"/>
      </w:pPr>
      <w:r>
        <w:rPr>
          <w:b w:val="0"/>
          <w:i w:val="0"/>
        </w:rPr>
        <w:t>Ngược lại, activation được phép bất đối xứng. Đặc tả giải thích: “Many activations are asymmetric in nature and a zero-point is an relatively inexpensive way to effectively get up to an extra binary bit of precision.” Đây là điểm cần lưu ý khi đối chiếu, vì đề tài không áp dụng lựa chọn này.</w:t>
      </w:r>
    </w:p>
    <w:p>
      <w:pPr>
        <w:pStyle w:val="Heading3"/>
      </w:pPr>
      <w:r>
        <w:rPr>
          <w:rFonts w:ascii="Times New Roman" w:hAnsi="Times New Roman"/>
          <w:color w:val="000000"/>
        </w:rPr>
        <w:t>1.3. Quy tắc đối với bias</w:t>
      </w:r>
    </w:p>
    <w:p>
      <w:pPr>
        <w:ind w:firstLine="560"/>
      </w:pPr>
      <w:r>
        <w:rPr>
          <w:b w:val="0"/>
          <w:i w:val="0"/>
        </w:rPr>
        <w:t>Đặc tả yêu cầu bias được lưu ở INT32 với hệ số tỉ lệ bằng tích hai hệ số tỉ lệ đầu vào: “(scale, zero_point) = (input0_scale × input1_scale, 0)”. Ràng buộc này bảo đảm bias cùng đơn vị với bộ tích luỹ trước khi cộng.</w:t>
      </w:r>
    </w:p>
    <w:p>
      <w:pPr>
        <w:pStyle w:val="Heading2"/>
      </w:pPr>
      <w:r>
        <w:rPr>
          <w:rFonts w:ascii="Times New Roman" w:hAnsi="Times New Roman"/>
          <w:color w:val="000000"/>
        </w:rPr>
        <w:t>2. Phương pháp lượng tử hoá tham chiếu theo PyTorch</w:t>
      </w:r>
    </w:p>
    <w:p>
      <w:pPr>
        <w:ind w:firstLine="560"/>
      </w:pPr>
      <w:r>
        <w:rPr>
          <w:b w:val="0"/>
          <w:i w:val="0"/>
        </w:rPr>
        <w:t>PyTorch là khung được dùng để huấn luyện và lượng tử hoá mô hình trong đề tài, nên quy ước của PyTorch cũng là một hệ quy chiếu cần đối chiếu.</w:t>
      </w:r>
    </w:p>
    <w:p>
      <w:pPr>
        <w:pStyle w:val="Heading3"/>
      </w:pPr>
      <w:r>
        <w:rPr>
          <w:rFonts w:ascii="Times New Roman" w:hAnsi="Times New Roman"/>
          <w:color w:val="000000"/>
        </w:rPr>
        <w:t>2.1. Ánh xạ và tham số lượng tử hoá</w:t>
      </w:r>
    </w:p>
    <w:p>
      <w:pPr>
        <w:ind w:firstLine="560"/>
      </w:pPr>
      <w:r>
        <w:rPr>
          <w:b w:val="0"/>
          <w:i w:val="0"/>
        </w:rPr>
        <w:t>PyTorch định nghĩa hàm ánh xạ từ miền số thực sang miền số nguyên [PT2]:</w:t>
      </w:r>
    </w:p>
    <w:p>
      <w:pPr>
        <w:tabs>
          <w:tab w:pos="4677" w:val="left"/>
          <w:tab w:pos="9074" w:val="left"/>
        </w:tabs>
        <w:spacing w:before="120" w:after="120"/>
        <w:ind w:firstLine="0"/>
      </w:pPr>
      <w:r>
        <w:rPr>
          <w:i/>
        </w:rPr>
        <w:tab/>
        <w:t>Q(r) = round( r / S + Z )</w:t>
        <w:tab/>
        <w:t>(A.8)</w:t>
      </w:r>
    </w:p>
    <w:p>
      <w:pPr>
        <w:ind w:firstLine="560"/>
      </w:pPr>
      <w:r>
        <w:rPr>
          <w:b w:val="0"/>
          <w:i w:val="0"/>
        </w:rPr>
        <w:t>và phép ánh xạ ngược:</w:t>
      </w:r>
    </w:p>
    <w:p>
      <w:pPr>
        <w:tabs>
          <w:tab w:pos="4677" w:val="left"/>
          <w:tab w:pos="9074" w:val="left"/>
        </w:tabs>
        <w:spacing w:before="120" w:after="120"/>
        <w:ind w:firstLine="0"/>
      </w:pPr>
      <w:r>
        <w:rPr>
          <w:i/>
        </w:rPr>
        <w:tab/>
        <w:t>r̃ = ( Q(r) − Z ) × S</w:t>
        <w:tab/>
        <w:t>(A.9)</w:t>
      </w:r>
    </w:p>
    <w:p>
      <w:pPr>
        <w:ind w:firstLine="560"/>
      </w:pPr>
      <w:r>
        <w:rPr>
          <w:b w:val="0"/>
          <w:i w:val="0"/>
        </w:rPr>
        <w:t>trong đó S là hệ số tỉ lệ, Z là điểm không. Đây chính là ánh xạ affine (A.1) của TensorFlow viết dưới dạng khác: đặt scale = S và zero_point = Z thì (A.9) trùng (A.1). Hai khung dùng cùng một mô hình toán học.</w:t>
      </w:r>
    </w:p>
    <w:p>
      <w:pPr>
        <w:ind w:firstLine="560"/>
      </w:pPr>
      <w:r>
        <w:rPr>
          <w:b w:val="0"/>
          <w:i w:val="0"/>
        </w:rPr>
        <w:t>Hệ số tỉ lệ được tính theo tỉ số giữa dải đầu vào và dải đầu ra, S = (β − α) / (β_q − α_q), với [α, β] là dải cắt của đầu vào. Điểm không Z bảo đảm giá trị thực 0 ánh xạ đúng vào một số nguyên trong miền lượng tử.</w:t>
      </w:r>
    </w:p>
    <w:p>
      <w:pPr>
        <w:pStyle w:val="Heading3"/>
      </w:pPr>
      <w:r>
        <w:rPr>
          <w:rFonts w:ascii="Times New Roman" w:hAnsi="Times New Roman"/>
          <w:color w:val="000000"/>
        </w:rPr>
        <w:t>2.2. Hai sơ đồ đối xứng và bất đối xứng</w:t>
      </w:r>
    </w:p>
    <w:p>
      <w:pPr>
        <w:ind w:firstLine="560"/>
      </w:pPr>
      <w:r>
        <w:rPr>
          <w:b w:val="0"/>
          <w:i w:val="0"/>
        </w:rPr>
        <w:t>PyTorch cho phép chọn giữa hai sơ đồ thông qua tham số qscheme [PT1]. Với sơ đồ bất đối xứng (affine), dải cắt lấy đúng giá trị nhỏ nhất và lớn nhất quan sát được: α = min(r), β = max(r). Với sơ đồ đối xứng, dải cắt được căn giữa quanh 0: −α = β = max(|min(r)|, |max(r)|), và khi đó không cần tính điểm không.</w:t>
      </w:r>
    </w:p>
    <w:p>
      <w:pPr>
        <w:ind w:firstLine="560"/>
      </w:pPr>
      <w:r>
        <w:rPr>
          <w:b w:val="0"/>
          <w:i w:val="0"/>
        </w:rPr>
        <w:t>Tài liệu PyTorch nêu rõ ưu nhược điểm của từng sơ đồ. Về sơ đồ đối xứng: “For skewed signals (like non-negative activations) this can result in bad quantization resolution because the clipping range includes values that never show up in the input.” Đây chính là hiện tượng đo được ở phần Hạn chế của tài liệu này đối với đầu ra Conv4 sau ReLU.</w:t>
      </w:r>
    </w:p>
    <w:p>
      <w:pPr>
        <w:ind w:firstLine="560"/>
      </w:pPr>
      <w:r>
        <w:rPr>
          <w:b w:val="0"/>
          <w:i w:val="0"/>
        </w:rPr>
        <w:t>Trong mã nguồn bộ quan sát của PyTorch, điểm không dưới sơ đồ đối xứng được gán bằng 0 khi kiểu dữ liệu là qint8, và bằng 128 khi kiểu dữ liệu là quint8. Với qint8, sơ đồ đối xứng của PyTorch tương đương ràng buộc zero_point = 0 [PT3].</w:t>
      </w:r>
    </w:p>
    <w:p>
      <w:pPr>
        <w:pStyle w:val="Heading3"/>
      </w:pPr>
      <w:r>
        <w:rPr>
          <w:rFonts w:ascii="Times New Roman" w:hAnsi="Times New Roman"/>
          <w:color w:val="000000"/>
        </w:rPr>
        <w:t>2.3. Khuyến nghị của PyTorch và cấu hình dải trọng số</w:t>
      </w:r>
    </w:p>
    <w:p>
      <w:pPr>
        <w:ind w:firstLine="560"/>
      </w:pPr>
      <w:r>
        <w:rPr>
          <w:b w:val="0"/>
          <w:i w:val="0"/>
        </w:rPr>
        <w:t>Tài liệu PyTorch khuyến nghị rõ ràng về lựa chọn sơ đồ: “Use symmetric-per-channel quantization with MinMax observers for quantizing weights. Use affine-per-tensor quantization with MovingAverageMinMax observers for quantizing activations.” Khuyến nghị này [PT2] trùng khớp với ràng buộc bắt buộc của TensorFlow Lite.</w:t>
      </w:r>
    </w:p>
    <w:p>
      <w:pPr>
        <w:ind w:firstLine="560"/>
      </w:pPr>
      <w:r>
        <w:rPr>
          <w:b w:val="0"/>
          <w:i w:val="0"/>
        </w:rPr>
        <w:t>Về mức áp dụng, tài liệu nêu: “For weights quantization, symmetric-per-channel quantization provides better accuracies; per-tensor quantization performs poorly, possibly due to high variance in conv weights across channels.”</w:t>
      </w:r>
    </w:p>
    <w:p>
      <w:pPr>
        <w:ind w:firstLine="560"/>
      </w:pPr>
      <w:r>
        <w:rPr>
          <w:b w:val="0"/>
          <w:i w:val="0"/>
        </w:rPr>
        <w:t>PyTorch cũng có sẵn cấu hình giới hạn dải trọng số giống TensorFlow Lite. Mã nguồn định nghĩa [PT3] bộ quan sát “Symmetric weight observer with the 8-bit values restricted to [−127, +127], excluding −128”, hiện thực bằng quant_min = −127 và quant_max = 127.</w:t>
      </w:r>
    </w:p>
    <w:p>
      <w:pPr>
        <w:pStyle w:val="Heading3"/>
      </w:pPr>
      <w:r>
        <w:rPr>
          <w:rFonts w:ascii="Times New Roman" w:hAnsi="Times New Roman"/>
          <w:color w:val="000000"/>
        </w:rPr>
        <w:t>2.4. Cách xử lý bias</w:t>
      </w:r>
    </w:p>
    <w:p>
      <w:pPr>
        <w:ind w:firstLine="560"/>
      </w:pPr>
      <w:r>
        <w:rPr>
          <w:b w:val="0"/>
          <w:i w:val="0"/>
        </w:rPr>
        <w:t>Điểm khác biệt đáng chú ý nhất giữa PyTorch và TensorFlow Lite nằm ở bias. Trong quy trình huấn luyện có nhận thức lượng tử của PyTorch: “All weights and biases are stored in FP32, and backpropagation happens as usual.” Nghĩa là ở giai đoạn huấn luyện, bias không bị lượng tử hoá mà giữ nguyên dấu chấm động; việc chuyển bias sang INT32 chỉ diễn ra ở giai đoạn hiện thực suy luận số nguyên. TensorFlow Lite ngược lại quy định thẳng bias là INT32 với thang bằng tích hai thang đầu vào.</w:t>
      </w:r>
    </w:p>
    <w:p>
      <w:pPr>
        <w:ind w:firstLine="560"/>
      </w:pPr>
      <w:r>
        <w:rPr>
          <w:b w:val="0"/>
          <w:i w:val="0"/>
        </w:rPr>
        <w:t>Khác biệt này giải thích vì sao đề tài phải tự hiện thực bước nhân thang bias theo (A.6): PyTorch chỉ cung cấp cơ chế lượng tử hoá giả cho trọng số và activation, còn quy tắc thang của bias phải do người thiết kế bảo đảm cho khớp với mạch phần cứng.</w:t>
      </w:r>
    </w:p>
    <w:p>
      <w:pPr>
        <w:pStyle w:val="Heading3"/>
      </w:pPr>
      <w:r>
        <w:rPr>
          <w:rFonts w:ascii="Times New Roman" w:hAnsi="Times New Roman"/>
          <w:color w:val="000000"/>
        </w:rPr>
        <w:t>2.5. Ràng buộc reduce_range của backend x86</w:t>
      </w:r>
    </w:p>
    <w:p>
      <w:pPr>
        <w:ind w:firstLine="560"/>
      </w:pPr>
      <w:r>
        <w:rPr>
          <w:b w:val="0"/>
          <w:i w:val="0"/>
        </w:rPr>
        <w:t>PyTorch có tham số reduce_range [PT3] xuất phát từ ràng buộc phần cứng của backend x86: “For x86 quantized kernels, we need to ensure that the vpmaddubsw instruction does not overflow. We allow for a reduce_range argument to observers that reduces the quantized range to (0,127) or (−64, 63).” Đây là ràng buộc riêng của tập lệnh x86, không áp dụng cho thiết kế FPGA của đề tài vì bộ tích luỹ 32 bit được hiện thực trực tiếp trong mạch nên không có nguy cơ tràn tương ứng.</w:t>
      </w:r>
    </w:p>
    <w:p>
      <w:pPr>
        <w:pStyle w:val="Heading2"/>
      </w:pPr>
      <w:r>
        <w:rPr>
          <w:rFonts w:ascii="Times New Roman" w:hAnsi="Times New Roman"/>
          <w:color w:val="000000"/>
        </w:rPr>
        <w:t>3. Phương pháp lượng tử hoá thực hiện trong đề tài</w:t>
      </w:r>
    </w:p>
    <w:p>
      <w:pPr>
        <w:pStyle w:val="Heading3"/>
      </w:pPr>
      <w:r>
        <w:rPr>
          <w:rFonts w:ascii="Times New Roman" w:hAnsi="Times New Roman"/>
          <w:color w:val="000000"/>
        </w:rPr>
        <w:t>3.1. Hai ràng buộc bổ sung</w:t>
      </w:r>
    </w:p>
    <w:p>
      <w:pPr>
        <w:ind w:firstLine="560"/>
      </w:pPr>
      <w:r>
        <w:rPr>
          <w:b w:val="0"/>
          <w:i w:val="0"/>
        </w:rPr>
        <w:t>Đề tài xuất phát từ ánh xạ affine (A.1) và bổ sung hai ràng buộc, cả hai đều xuất phát từ chi phí hiện thực trên FPGA.</w:t>
      </w:r>
    </w:p>
    <w:p>
      <w:pPr>
        <w:ind w:firstLine="560"/>
      </w:pPr>
      <w:r>
        <w:rPr>
          <w:b w:val="0"/>
          <w:i w:val="0"/>
        </w:rPr>
        <w:t>Ràng buộc 1 — Đối xứng toàn cục: zero_point = 0 cho mọi tensor, kể cả activation. Nhờ đó (A.1) rút gọn còn real = q × scale, và đường tích luỹ trong khối cp_block không cần thêm nhánh cộng bù zero_point.</w:t>
      </w:r>
    </w:p>
    <w:p>
      <w:pPr>
        <w:ind w:firstLine="560"/>
      </w:pPr>
      <w:r>
        <w:rPr>
          <w:b w:val="0"/>
          <w:i w:val="0"/>
        </w:rPr>
        <w:t>Ràng buộc 2 — Thang luỹ thừa của hai: scale = 2^(−nb) với nb nguyên. Nhờ đó phép tái tỉ lệ suy biến thành một phép dịch phải, loại bỏ hoàn toàn bộ nhân khỏi đường tái tỉ lệ.</w:t>
      </w:r>
    </w:p>
    <w:p>
      <w:pPr>
        <w:ind w:firstLine="560"/>
      </w:pPr>
      <w:r>
        <w:rPr>
          <w:b w:val="0"/>
          <w:i w:val="0"/>
        </w:rPr>
        <w:t>Kết hợp hai ràng buộc, phép lượng tử hoá của đề tài là:</w:t>
      </w:r>
    </w:p>
    <w:p>
      <w:pPr>
        <w:tabs>
          <w:tab w:pos="4677" w:val="left"/>
          <w:tab w:pos="9074" w:val="left"/>
        </w:tabs>
        <w:spacing w:before="120" w:after="120"/>
        <w:ind w:firstLine="0"/>
      </w:pPr>
      <w:r>
        <w:rPr>
          <w:i/>
        </w:rPr>
        <w:tab/>
        <w:t>q = clamp( round( r × 2^s ), −127, 127 )</w:t>
        <w:tab/>
        <w:t>(A.2)</w:t>
      </w:r>
    </w:p>
    <w:p>
      <w:pPr>
        <w:ind w:firstLine="560"/>
      </w:pPr>
      <w:r>
        <w:rPr>
          <w:b w:val="0"/>
          <w:i w:val="0"/>
        </w:rPr>
        <w:t>với hệ số dịch bit chọn theo biên độ lớn nhất của tensor:</w:t>
      </w:r>
    </w:p>
    <w:p>
      <w:pPr>
        <w:tabs>
          <w:tab w:pos="4677" w:val="left"/>
          <w:tab w:pos="9074" w:val="left"/>
        </w:tabs>
        <w:spacing w:before="120" w:after="120"/>
        <w:ind w:firstLine="0"/>
      </w:pPr>
      <w:r>
        <w:rPr>
          <w:i/>
        </w:rPr>
        <w:tab/>
        <w:t>s = floor( log₂( 127 / max|T| ) )</w:t>
        <w:tab/>
        <w:t>(A.3)</w:t>
      </w:r>
    </w:p>
    <w:p>
      <w:pPr>
        <w:pStyle w:val="Heading3"/>
      </w:pPr>
      <w:r>
        <w:rPr>
          <w:rFonts w:ascii="Times New Roman" w:hAnsi="Times New Roman"/>
          <w:color w:val="000000"/>
        </w:rPr>
        <w:t>3.2. Đường ống số học</w:t>
      </w:r>
    </w:p>
    <w:p>
      <w:pPr>
        <w:ind w:firstLine="560"/>
      </w:pPr>
      <w:r>
        <w:rPr>
          <w:b w:val="0"/>
          <w:i w:val="0"/>
        </w:rPr>
        <w:t>Đường ống INT8 gồm bốn bước, hiện thực đồng nhất giữa mô hình Python và mạch RTL:</w:t>
      </w:r>
    </w:p>
    <w:p>
      <w:pPr>
        <w:tabs>
          <w:tab w:pos="4677" w:val="left"/>
          <w:tab w:pos="9074" w:val="left"/>
        </w:tabs>
        <w:spacing w:before="120" w:after="120"/>
        <w:ind w:firstLine="0"/>
      </w:pPr>
      <w:r>
        <w:rPr>
          <w:i/>
        </w:rPr>
        <w:tab/>
        <w:t>x_q = clamp( round( x × 2^s_in ), −127, 127 )</w:t>
        <w:tab/>
        <w:t>(A.4)</w:t>
      </w:r>
    </w:p>
    <w:p>
      <w:pPr>
        <w:tabs>
          <w:tab w:pos="4677" w:val="left"/>
          <w:tab w:pos="9074" w:val="left"/>
        </w:tabs>
        <w:spacing w:before="120" w:after="120"/>
        <w:ind w:firstLine="0"/>
      </w:pPr>
      <w:r>
        <w:rPr>
          <w:i/>
        </w:rPr>
        <w:tab/>
        <w:t>w_q = clamp( round( w × 2^s_w ), −127, 127 )</w:t>
        <w:tab/>
        <w:t>(A.5)</w:t>
      </w:r>
    </w:p>
    <w:p>
      <w:pPr>
        <w:tabs>
          <w:tab w:pos="4677" w:val="left"/>
          <w:tab w:pos="9074" w:val="left"/>
        </w:tabs>
        <w:spacing w:before="120" w:after="120"/>
        <w:ind w:firstLine="0"/>
      </w:pPr>
      <w:r>
        <w:rPr>
          <w:i/>
        </w:rPr>
        <w:tab/>
        <w:t>a = Σ w_q · x_q + b_q ,  với  b_q = round( b × 2^nb )</w:t>
        <w:tab/>
        <w:t>(A.6)</w:t>
      </w:r>
    </w:p>
    <w:p>
      <w:pPr>
        <w:tabs>
          <w:tab w:pos="4677" w:val="left"/>
          <w:tab w:pos="9074" w:val="left"/>
        </w:tabs>
        <w:spacing w:before="120" w:after="120"/>
        <w:ind w:firstLine="0"/>
      </w:pPr>
      <w:r>
        <w:rPr>
          <w:i/>
        </w:rPr>
        <w:tab/>
        <w:t>y = clamp( ( a + 2^(nb−1) ) &gt;&gt; nb , −127, 127 )</w:t>
        <w:tab/>
        <w:t>(A.7)</w:t>
      </w:r>
    </w:p>
    <w:p>
      <w:pPr>
        <w:ind w:firstLine="560"/>
      </w:pPr>
      <w:r>
        <w:rPr>
          <w:b w:val="0"/>
          <w:i w:val="0"/>
        </w:rPr>
        <w:t>Trong đó nb = s_in + s_w, tức thang của bộ tích luỹ bằng tích thang đầu vào và thang trọng số. Công thức (A.7) là phép làm tròn tới số nguyên gần nhất (round-half-up), không phải cắt bỏ phần thập phân.</w:t>
      </w:r>
    </w:p>
    <w:p>
      <w:pPr>
        <w:spacing w:before="120" w:after="80"/>
        <w:ind w:firstLine="0"/>
        <w:jc w:val="center"/>
      </w:pPr>
      <w:r>
        <w:rPr>
          <w:i/>
          <w:sz w:val="24"/>
        </w:rPr>
        <w:t>Bảng A.2. Tham số lượng tử hoá theo từng tầng (bản hiện hành).</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3402"/>
          </w:tcPr>
          <w:p>
            <w:pPr>
              <w:spacing w:line="240" w:lineRule="auto"/>
              <w:ind w:firstLine="0"/>
              <w:jc w:val="center"/>
            </w:pPr>
            <w:r/>
            <w:r>
              <w:rPr>
                <w:rFonts w:ascii="Times New Roman" w:hAnsi="Times New Roman"/>
                <w:b/>
                <w:sz w:val="22"/>
              </w:rPr>
              <w:t>Tham số</w:t>
            </w:r>
          </w:p>
        </w:tc>
        <w:tc>
          <w:tcPr>
            <w:tcW w:type="dxa" w:w="1077"/>
          </w:tcPr>
          <w:p>
            <w:pPr>
              <w:spacing w:line="240" w:lineRule="auto"/>
              <w:ind w:firstLine="0"/>
              <w:jc w:val="center"/>
            </w:pPr>
            <w:r/>
            <w:r>
              <w:rPr>
                <w:rFonts w:ascii="Times New Roman" w:hAnsi="Times New Roman"/>
                <w:b/>
                <w:sz w:val="22"/>
              </w:rPr>
              <w:t>Conv1</w:t>
            </w:r>
          </w:p>
        </w:tc>
        <w:tc>
          <w:tcPr>
            <w:tcW w:type="dxa" w:w="1077"/>
          </w:tcPr>
          <w:p>
            <w:pPr>
              <w:spacing w:line="240" w:lineRule="auto"/>
              <w:ind w:firstLine="0"/>
              <w:jc w:val="center"/>
            </w:pPr>
            <w:r/>
            <w:r>
              <w:rPr>
                <w:rFonts w:ascii="Times New Roman" w:hAnsi="Times New Roman"/>
                <w:b/>
                <w:sz w:val="22"/>
              </w:rPr>
              <w:t>Conv2</w:t>
            </w:r>
          </w:p>
        </w:tc>
        <w:tc>
          <w:tcPr>
            <w:tcW w:type="dxa" w:w="1077"/>
          </w:tcPr>
          <w:p>
            <w:pPr>
              <w:spacing w:line="240" w:lineRule="auto"/>
              <w:ind w:firstLine="0"/>
              <w:jc w:val="center"/>
            </w:pPr>
            <w:r/>
            <w:r>
              <w:rPr>
                <w:rFonts w:ascii="Times New Roman" w:hAnsi="Times New Roman"/>
                <w:b/>
                <w:sz w:val="22"/>
              </w:rPr>
              <w:t>Conv3</w:t>
            </w:r>
          </w:p>
        </w:tc>
        <w:tc>
          <w:tcPr>
            <w:tcW w:type="dxa" w:w="1077"/>
          </w:tcPr>
          <w:p>
            <w:pPr>
              <w:spacing w:line="240" w:lineRule="auto"/>
              <w:ind w:firstLine="0"/>
              <w:jc w:val="center"/>
            </w:pPr>
            <w:r/>
            <w:r>
              <w:rPr>
                <w:rFonts w:ascii="Times New Roman" w:hAnsi="Times New Roman"/>
                <w:b/>
                <w:sz w:val="22"/>
              </w:rPr>
              <w:t>Conv4</w:t>
            </w:r>
          </w:p>
        </w:tc>
        <w:tc>
          <w:tcPr>
            <w:tcW w:type="dxa" w:w="1077"/>
          </w:tcPr>
          <w:p>
            <w:pPr>
              <w:spacing w:line="240" w:lineRule="auto"/>
              <w:ind w:firstLine="0"/>
              <w:jc w:val="center"/>
            </w:pPr>
            <w:r/>
            <w:r>
              <w:rPr>
                <w:rFonts w:ascii="Times New Roman" w:hAnsi="Times New Roman"/>
                <w:b/>
                <w:sz w:val="22"/>
              </w:rPr>
              <w:t>FC</w:t>
            </w:r>
          </w:p>
        </w:tc>
      </w:tr>
      <w:tr>
        <w:tc>
          <w:tcPr>
            <w:tcW w:type="dxa" w:w="3402"/>
          </w:tcPr>
          <w:p>
            <w:pPr>
              <w:spacing w:line="240" w:lineRule="auto"/>
              <w:ind w:firstLine="0"/>
              <w:jc w:val="left"/>
            </w:pPr>
            <w:r/>
            <w:r>
              <w:rPr>
                <w:rFonts w:ascii="Times New Roman" w:hAnsi="Times New Roman"/>
                <w:b w:val="0"/>
                <w:sz w:val="22"/>
              </w:rPr>
              <w:t>Hệ số dịch trọng số s_w</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7</w:t>
            </w:r>
          </w:p>
        </w:tc>
      </w:tr>
      <w:tr>
        <w:tc>
          <w:tcPr>
            <w:tcW w:type="dxa" w:w="3402"/>
          </w:tcPr>
          <w:p>
            <w:pPr>
              <w:spacing w:line="240" w:lineRule="auto"/>
              <w:ind w:firstLine="0"/>
              <w:jc w:val="left"/>
            </w:pPr>
            <w:r/>
            <w:r>
              <w:rPr>
                <w:rFonts w:ascii="Times New Roman" w:hAnsi="Times New Roman"/>
                <w:b w:val="0"/>
                <w:sz w:val="22"/>
              </w:rPr>
              <w:t>Hệ số dịch tái tỉ lệ nb</w:t>
            </w:r>
          </w:p>
        </w:tc>
        <w:tc>
          <w:tcPr>
            <w:tcW w:type="dxa" w:w="1077"/>
          </w:tcPr>
          <w:p>
            <w:pPr>
              <w:spacing w:line="240" w:lineRule="auto"/>
              <w:ind w:firstLine="0"/>
              <w:jc w:val="center"/>
            </w:pPr>
            <w:r/>
            <w:r>
              <w:rPr>
                <w:rFonts w:ascii="Times New Roman" w:hAnsi="Times New Roman"/>
                <w:b w:val="0"/>
                <w:sz w:val="22"/>
              </w:rPr>
              <w:t>8</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6</w:t>
            </w:r>
          </w:p>
        </w:tc>
        <w:tc>
          <w:tcPr>
            <w:tcW w:type="dxa" w:w="1077"/>
          </w:tcPr>
          <w:p>
            <w:pPr>
              <w:spacing w:line="240" w:lineRule="auto"/>
              <w:ind w:firstLine="0"/>
              <w:jc w:val="center"/>
            </w:pPr>
            <w:r/>
            <w:r>
              <w:rPr>
                <w:rFonts w:ascii="Times New Roman" w:hAnsi="Times New Roman"/>
                <w:b w:val="0"/>
                <w:sz w:val="22"/>
              </w:rPr>
              <w:t>7</w:t>
            </w:r>
          </w:p>
        </w:tc>
        <w:tc>
          <w:tcPr>
            <w:tcW w:type="dxa" w:w="1077"/>
          </w:tcPr>
          <w:p>
            <w:pPr>
              <w:spacing w:line="240" w:lineRule="auto"/>
              <w:ind w:firstLine="0"/>
              <w:jc w:val="center"/>
            </w:pPr>
            <w:r/>
            <w:r>
              <w:rPr>
                <w:rFonts w:ascii="Times New Roman" w:hAnsi="Times New Roman"/>
                <w:b w:val="0"/>
                <w:sz w:val="22"/>
              </w:rPr>
              <w:t>0</w:t>
            </w:r>
          </w:p>
        </w:tc>
      </w:tr>
    </w:tbl>
    <w:p>
      <w:pPr>
        <w:ind w:firstLine="560"/>
      </w:pPr>
      <w:r>
        <w:rPr>
          <w:b w:val="0"/>
          <w:i w:val="0"/>
        </w:rPr>
        <w:t>Hệ số dịch đầu vào s_in = 2. Giá trị nb trong bảng khớp với tham số được nạp cứng trong khối điều khiển cnn_controller của bản RTL nộp kèm.</w:t>
      </w:r>
    </w:p>
    <w:p>
      <w:pPr>
        <w:pStyle w:val="Heading2"/>
      </w:pPr>
      <w:r>
        <w:rPr>
          <w:rFonts w:ascii="Times New Roman" w:hAnsi="Times New Roman"/>
          <w:color w:val="000000"/>
        </w:rPr>
        <w:t>4. Đối chiếu ba phương pháp</w:t>
      </w:r>
    </w:p>
    <w:p>
      <w:pPr>
        <w:pStyle w:val="Heading3"/>
      </w:pPr>
      <w:r>
        <w:rPr>
          <w:rFonts w:ascii="Times New Roman" w:hAnsi="Times New Roman"/>
          <w:color w:val="000000"/>
        </w:rPr>
        <w:t>4.1. Những điểm tuân thủ đặc tả</w:t>
      </w:r>
    </w:p>
    <w:p>
      <w:pPr>
        <w:ind w:firstLine="560"/>
      </w:pPr>
      <w:r>
        <w:rPr>
          <w:b w:val="0"/>
          <w:i w:val="0"/>
        </w:rPr>
        <w:t>Bốn ràng buộc cốt lõi đều được đề tài tuân thủ, trình bày ở Bảng A.3.</w:t>
      </w:r>
    </w:p>
    <w:p>
      <w:pPr>
        <w:spacing w:before="120" w:after="80"/>
        <w:ind w:firstLine="0"/>
        <w:jc w:val="center"/>
      </w:pPr>
      <w:r>
        <w:rPr>
          <w:i/>
          <w:sz w:val="24"/>
        </w:rPr>
        <w:t>Bảng A.3. Các điểm tuân thủ của đề tài so với hai khung tham chiếu.</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2041"/>
          </w:tcPr>
          <w:p>
            <w:pPr>
              <w:spacing w:line="240" w:lineRule="auto"/>
              <w:ind w:firstLine="0"/>
              <w:jc w:val="center"/>
            </w:pPr>
            <w:r/>
            <w:r>
              <w:rPr>
                <w:rFonts w:ascii="Times New Roman" w:hAnsi="Times New Roman"/>
                <w:b/>
                <w:sz w:val="22"/>
              </w:rPr>
              <w:t>Hạng mục</w:t>
            </w:r>
          </w:p>
        </w:tc>
        <w:tc>
          <w:tcPr>
            <w:tcW w:type="dxa" w:w="1871"/>
          </w:tcPr>
          <w:p>
            <w:pPr>
              <w:spacing w:line="240" w:lineRule="auto"/>
              <w:ind w:firstLine="0"/>
              <w:jc w:val="center"/>
            </w:pPr>
            <w:r/>
            <w:r>
              <w:rPr>
                <w:rFonts w:ascii="Times New Roman" w:hAnsi="Times New Roman"/>
                <w:b/>
                <w:sz w:val="22"/>
              </w:rPr>
              <w:t>TensorFlow Lite</w:t>
            </w:r>
          </w:p>
        </w:tc>
        <w:tc>
          <w:tcPr>
            <w:tcW w:type="dxa" w:w="1871"/>
          </w:tcPr>
          <w:p>
            <w:pPr>
              <w:spacing w:line="240" w:lineRule="auto"/>
              <w:ind w:firstLine="0"/>
              <w:jc w:val="center"/>
            </w:pPr>
            <w:r/>
            <w:r>
              <w:rPr>
                <w:rFonts w:ascii="Times New Roman" w:hAnsi="Times New Roman"/>
                <w:b/>
                <w:sz w:val="22"/>
              </w:rPr>
              <w:t>PyTorch</w:t>
            </w:r>
          </w:p>
        </w:tc>
        <w:tc>
          <w:tcPr>
            <w:tcW w:type="dxa" w:w="1474"/>
          </w:tcPr>
          <w:p>
            <w:pPr>
              <w:spacing w:line="240" w:lineRule="auto"/>
              <w:ind w:firstLine="0"/>
              <w:jc w:val="center"/>
            </w:pPr>
            <w:r/>
            <w:r>
              <w:rPr>
                <w:rFonts w:ascii="Times New Roman" w:hAnsi="Times New Roman"/>
                <w:b/>
                <w:sz w:val="22"/>
              </w:rPr>
              <w:t>Đề tài</w:t>
            </w:r>
          </w:p>
        </w:tc>
        <w:tc>
          <w:tcPr>
            <w:tcW w:type="dxa" w:w="1304"/>
          </w:tcPr>
          <w:p>
            <w:pPr>
              <w:spacing w:line="240" w:lineRule="auto"/>
              <w:ind w:firstLine="0"/>
              <w:jc w:val="center"/>
            </w:pPr>
            <w:r/>
            <w:r>
              <w:rPr>
                <w:rFonts w:ascii="Times New Roman" w:hAnsi="Times New Roman"/>
                <w:b/>
                <w:sz w:val="22"/>
              </w:rPr>
              <w:t>Kết luận</w:t>
            </w:r>
          </w:p>
        </w:tc>
      </w:tr>
      <w:tr>
        <w:tc>
          <w:tcPr>
            <w:tcW w:type="dxa" w:w="2041"/>
          </w:tcPr>
          <w:p>
            <w:pPr>
              <w:spacing w:line="240" w:lineRule="auto"/>
              <w:ind w:firstLine="0"/>
              <w:jc w:val="left"/>
            </w:pPr>
            <w:r/>
            <w:r>
              <w:rPr>
                <w:rFonts w:ascii="Times New Roman" w:hAnsi="Times New Roman"/>
                <w:b w:val="0"/>
                <w:sz w:val="22"/>
              </w:rPr>
              <w:t>zero_point của trọng số</w:t>
            </w:r>
          </w:p>
        </w:tc>
        <w:tc>
          <w:tcPr>
            <w:tcW w:type="dxa" w:w="1871"/>
          </w:tcPr>
          <w:p>
            <w:pPr>
              <w:spacing w:line="240" w:lineRule="auto"/>
              <w:ind w:firstLine="0"/>
              <w:jc w:val="center"/>
            </w:pPr>
            <w:r/>
            <w:r>
              <w:rPr>
                <w:rFonts w:ascii="Times New Roman" w:hAnsi="Times New Roman"/>
                <w:b w:val="0"/>
                <w:sz w:val="22"/>
              </w:rPr>
              <w:t>= 0 (bắt buộc)</w:t>
            </w:r>
          </w:p>
        </w:tc>
        <w:tc>
          <w:tcPr>
            <w:tcW w:type="dxa" w:w="1871"/>
          </w:tcPr>
          <w:p>
            <w:pPr>
              <w:spacing w:line="240" w:lineRule="auto"/>
              <w:ind w:firstLine="0"/>
              <w:jc w:val="center"/>
            </w:pPr>
            <w:r/>
            <w:r>
              <w:rPr>
                <w:rFonts w:ascii="Times New Roman" w:hAnsi="Times New Roman"/>
                <w:b w:val="0"/>
                <w:sz w:val="22"/>
              </w:rPr>
              <w:t>= 0 (qint8 đối xứng)</w:t>
            </w:r>
          </w:p>
        </w:tc>
        <w:tc>
          <w:tcPr>
            <w:tcW w:type="dxa" w:w="1474"/>
          </w:tcPr>
          <w:p>
            <w:pPr>
              <w:spacing w:line="240" w:lineRule="auto"/>
              <w:ind w:firstLine="0"/>
              <w:jc w:val="center"/>
            </w:pPr>
            <w:r/>
            <w:r>
              <w:rPr>
                <w:rFonts w:ascii="Times New Roman" w:hAnsi="Times New Roman"/>
                <w:b w:val="0"/>
                <w:sz w:val="22"/>
              </w:rPr>
              <w:t>= 0</w:t>
            </w:r>
          </w:p>
        </w:tc>
        <w:tc>
          <w:tcPr>
            <w:tcW w:type="dxa" w:w="1304"/>
          </w:tcPr>
          <w:p>
            <w:pPr>
              <w:spacing w:line="240" w:lineRule="auto"/>
              <w:ind w:firstLine="0"/>
              <w:jc w:val="center"/>
            </w:pPr>
            <w:r/>
            <w:r>
              <w:rPr>
                <w:rFonts w:ascii="Times New Roman" w:hAnsi="Times New Roman"/>
                <w:b/>
                <w:sz w:val="22"/>
              </w:rPr>
              <w:t>Tuân thủ</w:t>
            </w:r>
          </w:p>
        </w:tc>
      </w:tr>
      <w:tr>
        <w:tc>
          <w:tcPr>
            <w:tcW w:type="dxa" w:w="2041"/>
          </w:tcPr>
          <w:p>
            <w:pPr>
              <w:spacing w:line="240" w:lineRule="auto"/>
              <w:ind w:firstLine="0"/>
              <w:jc w:val="left"/>
            </w:pPr>
            <w:r/>
            <w:r>
              <w:rPr>
                <w:rFonts w:ascii="Times New Roman" w:hAnsi="Times New Roman"/>
                <w:b w:val="0"/>
                <w:sz w:val="22"/>
              </w:rPr>
              <w:t>Dải giá trị trọng số</w:t>
            </w:r>
          </w:p>
        </w:tc>
        <w:tc>
          <w:tcPr>
            <w:tcW w:type="dxa" w:w="1871"/>
          </w:tcPr>
          <w:p>
            <w:pPr>
              <w:spacing w:line="240" w:lineRule="auto"/>
              <w:ind w:firstLine="0"/>
              <w:jc w:val="center"/>
            </w:pPr>
            <w:r/>
            <w:r>
              <w:rPr>
                <w:rFonts w:ascii="Times New Roman" w:hAnsi="Times New Roman"/>
                <w:b w:val="0"/>
                <w:sz w:val="22"/>
              </w:rPr>
              <w:t>[−127, 127]</w:t>
            </w:r>
          </w:p>
        </w:tc>
        <w:tc>
          <w:tcPr>
            <w:tcW w:type="dxa" w:w="1871"/>
          </w:tcPr>
          <w:p>
            <w:pPr>
              <w:spacing w:line="240" w:lineRule="auto"/>
              <w:ind w:firstLine="0"/>
              <w:jc w:val="center"/>
            </w:pPr>
            <w:r/>
            <w:r>
              <w:rPr>
                <w:rFonts w:ascii="Times New Roman" w:hAnsi="Times New Roman"/>
                <w:b w:val="0"/>
                <w:sz w:val="22"/>
              </w:rPr>
              <w:t>[−127, 127] (tuỳ chọn)</w:t>
            </w:r>
          </w:p>
        </w:tc>
        <w:tc>
          <w:tcPr>
            <w:tcW w:type="dxa" w:w="1474"/>
          </w:tcPr>
          <w:p>
            <w:pPr>
              <w:spacing w:line="240" w:lineRule="auto"/>
              <w:ind w:firstLine="0"/>
              <w:jc w:val="center"/>
            </w:pPr>
            <w:r/>
            <w:r>
              <w:rPr>
                <w:rFonts w:ascii="Times New Roman" w:hAnsi="Times New Roman"/>
                <w:b w:val="0"/>
                <w:sz w:val="22"/>
              </w:rPr>
              <w:t>[−127, 127]</w:t>
            </w:r>
          </w:p>
        </w:tc>
        <w:tc>
          <w:tcPr>
            <w:tcW w:type="dxa" w:w="1304"/>
          </w:tcPr>
          <w:p>
            <w:pPr>
              <w:spacing w:line="240" w:lineRule="auto"/>
              <w:ind w:firstLine="0"/>
              <w:jc w:val="center"/>
            </w:pPr>
            <w:r/>
            <w:r>
              <w:rPr>
                <w:rFonts w:ascii="Times New Roman" w:hAnsi="Times New Roman"/>
                <w:b/>
                <w:sz w:val="22"/>
              </w:rPr>
              <w:t>Tuân thủ</w:t>
            </w:r>
          </w:p>
        </w:tc>
      </w:tr>
      <w:tr>
        <w:tc>
          <w:tcPr>
            <w:tcW w:type="dxa" w:w="2041"/>
          </w:tcPr>
          <w:p>
            <w:pPr>
              <w:spacing w:line="240" w:lineRule="auto"/>
              <w:ind w:firstLine="0"/>
              <w:jc w:val="left"/>
            </w:pPr>
            <w:r/>
            <w:r>
              <w:rPr>
                <w:rFonts w:ascii="Times New Roman" w:hAnsi="Times New Roman"/>
                <w:b w:val="0"/>
                <w:sz w:val="22"/>
              </w:rPr>
              <w:t>Kiểu dữ liệu bias khi suy luận</w:t>
            </w:r>
          </w:p>
        </w:tc>
        <w:tc>
          <w:tcPr>
            <w:tcW w:type="dxa" w:w="1871"/>
          </w:tcPr>
          <w:p>
            <w:pPr>
              <w:spacing w:line="240" w:lineRule="auto"/>
              <w:ind w:firstLine="0"/>
              <w:jc w:val="center"/>
            </w:pPr>
            <w:r/>
            <w:r>
              <w:rPr>
                <w:rFonts w:ascii="Times New Roman" w:hAnsi="Times New Roman"/>
                <w:b w:val="0"/>
                <w:sz w:val="22"/>
              </w:rPr>
              <w:t>int32</w:t>
            </w:r>
          </w:p>
        </w:tc>
        <w:tc>
          <w:tcPr>
            <w:tcW w:type="dxa" w:w="1871"/>
          </w:tcPr>
          <w:p>
            <w:pPr>
              <w:spacing w:line="240" w:lineRule="auto"/>
              <w:ind w:firstLine="0"/>
              <w:jc w:val="center"/>
            </w:pPr>
            <w:r/>
            <w:r>
              <w:rPr>
                <w:rFonts w:ascii="Times New Roman" w:hAnsi="Times New Roman"/>
                <w:b w:val="0"/>
                <w:sz w:val="22"/>
              </w:rPr>
              <w:t>int32</w:t>
            </w:r>
          </w:p>
        </w:tc>
        <w:tc>
          <w:tcPr>
            <w:tcW w:type="dxa" w:w="1474"/>
          </w:tcPr>
          <w:p>
            <w:pPr>
              <w:spacing w:line="240" w:lineRule="auto"/>
              <w:ind w:firstLine="0"/>
              <w:jc w:val="center"/>
            </w:pPr>
            <w:r/>
            <w:r>
              <w:rPr>
                <w:rFonts w:ascii="Times New Roman" w:hAnsi="Times New Roman"/>
                <w:b w:val="0"/>
                <w:sz w:val="22"/>
              </w:rPr>
              <w:t>int32</w:t>
            </w:r>
          </w:p>
        </w:tc>
        <w:tc>
          <w:tcPr>
            <w:tcW w:type="dxa" w:w="1304"/>
          </w:tcPr>
          <w:p>
            <w:pPr>
              <w:spacing w:line="240" w:lineRule="auto"/>
              <w:ind w:firstLine="0"/>
              <w:jc w:val="center"/>
            </w:pPr>
            <w:r/>
            <w:r>
              <w:rPr>
                <w:rFonts w:ascii="Times New Roman" w:hAnsi="Times New Roman"/>
                <w:b/>
                <w:sz w:val="22"/>
              </w:rPr>
              <w:t>Tuân thủ</w:t>
            </w:r>
          </w:p>
        </w:tc>
      </w:tr>
      <w:tr>
        <w:tc>
          <w:tcPr>
            <w:tcW w:type="dxa" w:w="2041"/>
          </w:tcPr>
          <w:p>
            <w:pPr>
              <w:spacing w:line="240" w:lineRule="auto"/>
              <w:ind w:firstLine="0"/>
              <w:jc w:val="left"/>
            </w:pPr>
            <w:r/>
            <w:r>
              <w:rPr>
                <w:rFonts w:ascii="Times New Roman" w:hAnsi="Times New Roman"/>
                <w:b w:val="0"/>
                <w:sz w:val="22"/>
              </w:rPr>
              <w:t>Thang của bias</w:t>
            </w:r>
          </w:p>
        </w:tc>
        <w:tc>
          <w:tcPr>
            <w:tcW w:type="dxa" w:w="1871"/>
          </w:tcPr>
          <w:p>
            <w:pPr>
              <w:spacing w:line="240" w:lineRule="auto"/>
              <w:ind w:firstLine="0"/>
              <w:jc w:val="center"/>
            </w:pPr>
            <w:r/>
            <w:r>
              <w:rPr>
                <w:rFonts w:ascii="Times New Roman" w:hAnsi="Times New Roman"/>
                <w:b w:val="0"/>
                <w:sz w:val="22"/>
              </w:rPr>
              <w:t>scale_in × scale_w</w:t>
            </w:r>
          </w:p>
        </w:tc>
        <w:tc>
          <w:tcPr>
            <w:tcW w:type="dxa" w:w="1871"/>
          </w:tcPr>
          <w:p>
            <w:pPr>
              <w:spacing w:line="240" w:lineRule="auto"/>
              <w:ind w:firstLine="0"/>
              <w:jc w:val="center"/>
            </w:pPr>
            <w:r/>
            <w:r>
              <w:rPr>
                <w:rFonts w:ascii="Times New Roman" w:hAnsi="Times New Roman"/>
                <w:b w:val="0"/>
                <w:sz w:val="22"/>
              </w:rPr>
              <w:t>scale_in × scale_w</w:t>
            </w:r>
          </w:p>
        </w:tc>
        <w:tc>
          <w:tcPr>
            <w:tcW w:type="dxa" w:w="1474"/>
          </w:tcPr>
          <w:p>
            <w:pPr>
              <w:spacing w:line="240" w:lineRule="auto"/>
              <w:ind w:firstLine="0"/>
              <w:jc w:val="center"/>
            </w:pPr>
            <w:r/>
            <w:r>
              <w:rPr>
                <w:rFonts w:ascii="Times New Roman" w:hAnsi="Times New Roman"/>
                <w:b w:val="0"/>
                <w:sz w:val="22"/>
              </w:rPr>
              <w:t>2^(s_in + s_w)</w:t>
            </w:r>
          </w:p>
        </w:tc>
        <w:tc>
          <w:tcPr>
            <w:tcW w:type="dxa" w:w="1304"/>
          </w:tcPr>
          <w:p>
            <w:pPr>
              <w:spacing w:line="240" w:lineRule="auto"/>
              <w:ind w:firstLine="0"/>
              <w:jc w:val="center"/>
            </w:pPr>
            <w:r/>
            <w:r>
              <w:rPr>
                <w:rFonts w:ascii="Times New Roman" w:hAnsi="Times New Roman"/>
                <w:b/>
                <w:sz w:val="22"/>
              </w:rPr>
              <w:t>Tuân thủ</w:t>
            </w:r>
          </w:p>
        </w:tc>
      </w:tr>
    </w:tbl>
    <w:p>
      <w:pPr>
        <w:ind w:firstLine="560"/>
      </w:pPr>
      <w:r>
        <w:rPr>
          <w:b w:val="0"/>
          <w:i w:val="0"/>
        </w:rPr>
        <w:t>Riêng dòng cuối cần giải thích thêm vì hình thức hai công thức trông khác nhau. Đặc tả yêu cầu thang bias bằng tích hai thang đầu vào. Đề tài viết thang bias là 2^nb với nb = s_in + s_w. Hai cách viết là một, do 2^s_in × 2^s_w = 2^(s_in + s_w). Đề tài biểu diễn quy tắc này trong miền logarit thay vì miền tuyến tính, bản chất không đổi.</w:t>
      </w:r>
    </w:p>
    <w:p>
      <w:pPr>
        <w:pStyle w:val="Heading3"/>
      </w:pPr>
      <w:r>
        <w:rPr>
          <w:rFonts w:ascii="Times New Roman" w:hAnsi="Times New Roman"/>
          <w:color w:val="000000"/>
        </w:rPr>
        <w:t>4.2. Những điểm khác biệt có chủ đích</w:t>
      </w:r>
    </w:p>
    <w:p>
      <w:pPr>
        <w:ind w:firstLine="560"/>
      </w:pPr>
      <w:r>
        <w:rPr>
          <w:b w:val="0"/>
          <w:i w:val="0"/>
        </w:rPr>
        <w:t>Ba điểm khác biệt, tất cả đều là ràng buộc chặt hơn nhằm giảm chi phí phần cứng, trình bày ở Bảng A.4.</w:t>
      </w:r>
    </w:p>
    <w:p>
      <w:pPr>
        <w:spacing w:before="120" w:after="80"/>
        <w:ind w:firstLine="0"/>
        <w:jc w:val="center"/>
      </w:pPr>
      <w:r>
        <w:rPr>
          <w:i/>
          <w:sz w:val="24"/>
        </w:rPr>
        <w:t>Bảng A.4. Các điểm khác biệt của đề tài và lý do.</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14"/>
          </w:tcPr>
          <w:p>
            <w:pPr>
              <w:spacing w:line="240" w:lineRule="auto"/>
              <w:ind w:firstLine="0"/>
              <w:jc w:val="center"/>
            </w:pPr>
            <w:r/>
            <w:r>
              <w:rPr>
                <w:rFonts w:ascii="Times New Roman" w:hAnsi="Times New Roman"/>
                <w:b/>
                <w:sz w:val="22"/>
              </w:rPr>
              <w:t>Hạng mục</w:t>
            </w:r>
          </w:p>
        </w:tc>
        <w:tc>
          <w:tcPr>
            <w:tcW w:type="dxa" w:w="1814"/>
          </w:tcPr>
          <w:p>
            <w:pPr>
              <w:spacing w:line="240" w:lineRule="auto"/>
              <w:ind w:firstLine="0"/>
              <w:jc w:val="center"/>
            </w:pPr>
            <w:r/>
            <w:r>
              <w:rPr>
                <w:rFonts w:ascii="Times New Roman" w:hAnsi="Times New Roman"/>
                <w:b/>
                <w:sz w:val="22"/>
              </w:rPr>
              <w:t>TensorFlow Lite</w:t>
            </w:r>
          </w:p>
        </w:tc>
        <w:tc>
          <w:tcPr>
            <w:tcW w:type="dxa" w:w="1814"/>
          </w:tcPr>
          <w:p>
            <w:pPr>
              <w:spacing w:line="240" w:lineRule="auto"/>
              <w:ind w:firstLine="0"/>
              <w:jc w:val="center"/>
            </w:pPr>
            <w:r/>
            <w:r>
              <w:rPr>
                <w:rFonts w:ascii="Times New Roman" w:hAnsi="Times New Roman"/>
                <w:b/>
                <w:sz w:val="22"/>
              </w:rPr>
              <w:t>PyTorch</w:t>
            </w:r>
          </w:p>
        </w:tc>
        <w:tc>
          <w:tcPr>
            <w:tcW w:type="dxa" w:w="1531"/>
          </w:tcPr>
          <w:p>
            <w:pPr>
              <w:spacing w:line="240" w:lineRule="auto"/>
              <w:ind w:firstLine="0"/>
              <w:jc w:val="center"/>
            </w:pPr>
            <w:r/>
            <w:r>
              <w:rPr>
                <w:rFonts w:ascii="Times New Roman" w:hAnsi="Times New Roman"/>
                <w:b/>
                <w:sz w:val="22"/>
              </w:rPr>
              <w:t>Đề tài</w:t>
            </w:r>
          </w:p>
        </w:tc>
        <w:tc>
          <w:tcPr>
            <w:tcW w:type="dxa" w:w="2041"/>
          </w:tcPr>
          <w:p>
            <w:pPr>
              <w:spacing w:line="240" w:lineRule="auto"/>
              <w:ind w:firstLine="0"/>
              <w:jc w:val="center"/>
            </w:pPr>
            <w:r/>
            <w:r>
              <w:rPr>
                <w:rFonts w:ascii="Times New Roman" w:hAnsi="Times New Roman"/>
                <w:b/>
                <w:sz w:val="22"/>
              </w:rPr>
              <w:t>Lý do</w:t>
            </w:r>
          </w:p>
        </w:tc>
      </w:tr>
      <w:tr>
        <w:tc>
          <w:tcPr>
            <w:tcW w:type="dxa" w:w="1814"/>
          </w:tcPr>
          <w:p>
            <w:pPr>
              <w:spacing w:line="240" w:lineRule="auto"/>
              <w:ind w:firstLine="0"/>
              <w:jc w:val="left"/>
            </w:pPr>
            <w:r/>
            <w:r>
              <w:rPr>
                <w:rFonts w:ascii="Times New Roman" w:hAnsi="Times New Roman"/>
                <w:b w:val="0"/>
                <w:sz w:val="22"/>
              </w:rPr>
              <w:t>Hệ số tỉ lệ</w:t>
            </w:r>
          </w:p>
        </w:tc>
        <w:tc>
          <w:tcPr>
            <w:tcW w:type="dxa" w:w="1814"/>
          </w:tcPr>
          <w:p>
            <w:pPr>
              <w:spacing w:line="240" w:lineRule="auto"/>
              <w:ind w:firstLine="0"/>
              <w:jc w:val="center"/>
            </w:pPr>
            <w:r/>
            <w:r>
              <w:rPr>
                <w:rFonts w:ascii="Times New Roman" w:hAnsi="Times New Roman"/>
                <w:b w:val="0"/>
                <w:sz w:val="22"/>
              </w:rPr>
              <w:t>số thực dương bất kỳ</w:t>
            </w:r>
          </w:p>
        </w:tc>
        <w:tc>
          <w:tcPr>
            <w:tcW w:type="dxa" w:w="1814"/>
          </w:tcPr>
          <w:p>
            <w:pPr>
              <w:spacing w:line="240" w:lineRule="auto"/>
              <w:ind w:firstLine="0"/>
              <w:jc w:val="center"/>
            </w:pPr>
            <w:r/>
            <w:r>
              <w:rPr>
                <w:rFonts w:ascii="Times New Roman" w:hAnsi="Times New Roman"/>
                <w:b w:val="0"/>
                <w:sz w:val="22"/>
              </w:rPr>
              <w:t>số thực dương bất kỳ</w:t>
            </w:r>
          </w:p>
        </w:tc>
        <w:tc>
          <w:tcPr>
            <w:tcW w:type="dxa" w:w="1531"/>
          </w:tcPr>
          <w:p>
            <w:pPr>
              <w:spacing w:line="240" w:lineRule="auto"/>
              <w:ind w:firstLine="0"/>
              <w:jc w:val="center"/>
            </w:pPr>
            <w:r/>
            <w:r>
              <w:rPr>
                <w:rFonts w:ascii="Times New Roman" w:hAnsi="Times New Roman"/>
                <w:b w:val="0"/>
                <w:sz w:val="22"/>
              </w:rPr>
              <w:t>luỹ thừa của hai</w:t>
            </w:r>
          </w:p>
        </w:tc>
        <w:tc>
          <w:tcPr>
            <w:tcW w:type="dxa" w:w="2041"/>
          </w:tcPr>
          <w:p>
            <w:pPr>
              <w:spacing w:line="240" w:lineRule="auto"/>
              <w:ind w:firstLine="0"/>
              <w:jc w:val="center"/>
            </w:pPr>
            <w:r/>
            <w:r>
              <w:rPr>
                <w:rFonts w:ascii="Times New Roman" w:hAnsi="Times New Roman"/>
                <w:b w:val="0"/>
                <w:sz w:val="22"/>
              </w:rPr>
              <w:t>Tái tỉ lệ không cần bộ nhân</w:t>
            </w:r>
          </w:p>
        </w:tc>
      </w:tr>
      <w:tr>
        <w:tc>
          <w:tcPr>
            <w:tcW w:type="dxa" w:w="1814"/>
          </w:tcPr>
          <w:p>
            <w:pPr>
              <w:spacing w:line="240" w:lineRule="auto"/>
              <w:ind w:firstLine="0"/>
              <w:jc w:val="left"/>
            </w:pPr>
            <w:r/>
            <w:r>
              <w:rPr>
                <w:rFonts w:ascii="Times New Roman" w:hAnsi="Times New Roman"/>
                <w:b w:val="0"/>
                <w:sz w:val="22"/>
              </w:rPr>
              <w:t>zero_point của activation</w:t>
            </w:r>
          </w:p>
        </w:tc>
        <w:tc>
          <w:tcPr>
            <w:tcW w:type="dxa" w:w="1814"/>
          </w:tcPr>
          <w:p>
            <w:pPr>
              <w:spacing w:line="240" w:lineRule="auto"/>
              <w:ind w:firstLine="0"/>
              <w:jc w:val="center"/>
            </w:pPr>
            <w:r/>
            <w:r>
              <w:rPr>
                <w:rFonts w:ascii="Times New Roman" w:hAnsi="Times New Roman"/>
                <w:b w:val="0"/>
                <w:sz w:val="22"/>
              </w:rPr>
              <w:t>tự do (bất đối xứng)</w:t>
            </w:r>
          </w:p>
        </w:tc>
        <w:tc>
          <w:tcPr>
            <w:tcW w:type="dxa" w:w="1814"/>
          </w:tcPr>
          <w:p>
            <w:pPr>
              <w:spacing w:line="240" w:lineRule="auto"/>
              <w:ind w:firstLine="0"/>
              <w:jc w:val="center"/>
            </w:pPr>
            <w:r/>
            <w:r>
              <w:rPr>
                <w:rFonts w:ascii="Times New Roman" w:hAnsi="Times New Roman"/>
                <w:b w:val="0"/>
                <w:sz w:val="22"/>
              </w:rPr>
              <w:t>khuyến nghị bất đối xứng</w:t>
            </w:r>
          </w:p>
        </w:tc>
        <w:tc>
          <w:tcPr>
            <w:tcW w:type="dxa" w:w="1531"/>
          </w:tcPr>
          <w:p>
            <w:pPr>
              <w:spacing w:line="240" w:lineRule="auto"/>
              <w:ind w:firstLine="0"/>
              <w:jc w:val="center"/>
            </w:pPr>
            <w:r/>
            <w:r>
              <w:rPr>
                <w:rFonts w:ascii="Times New Roman" w:hAnsi="Times New Roman"/>
                <w:b w:val="0"/>
                <w:sz w:val="22"/>
              </w:rPr>
              <w:t>= 0 (đối xứng)</w:t>
            </w:r>
          </w:p>
        </w:tc>
        <w:tc>
          <w:tcPr>
            <w:tcW w:type="dxa" w:w="2041"/>
          </w:tcPr>
          <w:p>
            <w:pPr>
              <w:spacing w:line="240" w:lineRule="auto"/>
              <w:ind w:firstLine="0"/>
              <w:jc w:val="center"/>
            </w:pPr>
            <w:r/>
            <w:r>
              <w:rPr>
                <w:rFonts w:ascii="Times New Roman" w:hAnsi="Times New Roman"/>
                <w:b w:val="0"/>
                <w:sz w:val="22"/>
              </w:rPr>
              <w:t>Bỏ nhánh cộng bù zero_point</w:t>
            </w:r>
          </w:p>
        </w:tc>
      </w:tr>
      <w:tr>
        <w:tc>
          <w:tcPr>
            <w:tcW w:type="dxa" w:w="1814"/>
          </w:tcPr>
          <w:p>
            <w:pPr>
              <w:spacing w:line="240" w:lineRule="auto"/>
              <w:ind w:firstLine="0"/>
              <w:jc w:val="left"/>
            </w:pPr>
            <w:r/>
            <w:r>
              <w:rPr>
                <w:rFonts w:ascii="Times New Roman" w:hAnsi="Times New Roman"/>
                <w:b w:val="0"/>
                <w:sz w:val="22"/>
              </w:rPr>
              <w:t>Mức áp dụng của trọng số</w:t>
            </w:r>
          </w:p>
        </w:tc>
        <w:tc>
          <w:tcPr>
            <w:tcW w:type="dxa" w:w="1814"/>
          </w:tcPr>
          <w:p>
            <w:pPr>
              <w:spacing w:line="240" w:lineRule="auto"/>
              <w:ind w:firstLine="0"/>
              <w:jc w:val="center"/>
            </w:pPr>
            <w:r/>
            <w:r>
              <w:rPr>
                <w:rFonts w:ascii="Times New Roman" w:hAnsi="Times New Roman"/>
                <w:b w:val="0"/>
                <w:sz w:val="22"/>
              </w:rPr>
              <w:t>per-axis hoặc per-tensor</w:t>
            </w:r>
          </w:p>
        </w:tc>
        <w:tc>
          <w:tcPr>
            <w:tcW w:type="dxa" w:w="1814"/>
          </w:tcPr>
          <w:p>
            <w:pPr>
              <w:spacing w:line="240" w:lineRule="auto"/>
              <w:ind w:firstLine="0"/>
              <w:jc w:val="center"/>
            </w:pPr>
            <w:r/>
            <w:r>
              <w:rPr>
                <w:rFonts w:ascii="Times New Roman" w:hAnsi="Times New Roman"/>
                <w:b w:val="0"/>
                <w:sz w:val="22"/>
              </w:rPr>
              <w:t>khuyến nghị per-channel</w:t>
            </w:r>
          </w:p>
        </w:tc>
        <w:tc>
          <w:tcPr>
            <w:tcW w:type="dxa" w:w="1531"/>
          </w:tcPr>
          <w:p>
            <w:pPr>
              <w:spacing w:line="240" w:lineRule="auto"/>
              <w:ind w:firstLine="0"/>
              <w:jc w:val="center"/>
            </w:pPr>
            <w:r/>
            <w:r>
              <w:rPr>
                <w:rFonts w:ascii="Times New Roman" w:hAnsi="Times New Roman"/>
                <w:b w:val="0"/>
                <w:sz w:val="22"/>
              </w:rPr>
              <w:t>per-tensor</w:t>
            </w:r>
          </w:p>
        </w:tc>
        <w:tc>
          <w:tcPr>
            <w:tcW w:type="dxa" w:w="2041"/>
          </w:tcPr>
          <w:p>
            <w:pPr>
              <w:spacing w:line="240" w:lineRule="auto"/>
              <w:ind w:firstLine="0"/>
              <w:jc w:val="center"/>
            </w:pPr>
            <w:r/>
            <w:r>
              <w:rPr>
                <w:rFonts w:ascii="Times New Roman" w:hAnsi="Times New Roman"/>
                <w:b w:val="0"/>
                <w:sz w:val="22"/>
              </w:rPr>
              <w:t>Tám PE dùng chung một bộ dịch</w:t>
            </w:r>
          </w:p>
        </w:tc>
      </w:tr>
    </w:tbl>
    <w:p>
      <w:pPr>
        <w:ind w:firstLine="560"/>
      </w:pPr>
      <w:r>
        <w:rPr>
          <w:b w:val="0"/>
          <w:i w:val="0"/>
        </w:rPr>
        <w:t>Cần lưu ý mức độ ràng buộc của hai khung là khác nhau. TensorFlow Lite quy định bắt buộc, còn PyTorch chỉ đưa ra khuyến nghị và cho phép người dùng chọn qscheme. Về mức áp dụng, đặc tả TensorFlow Lite cho phép cả hai — nguyên văn: “Per-axis (aka per-channel in Conv ops) or per-tensor weights are represented by int8 two’s complement values in the range [−127, 127]”. Do đó lựa chọn per-tensor của đề tài vẫn nằm trong phạm vi cho phép, chỉ là không dùng phương án mịn hơn mà cả hai khung đều khuyến nghị.</w:t>
      </w:r>
    </w:p>
    <w:p>
      <w:pPr>
        <w:ind w:firstLine="560"/>
      </w:pPr>
      <w:r>
        <w:rPr>
          <w:b w:val="0"/>
          <w:i w:val="0"/>
        </w:rPr>
        <w:t>Riêng điểm thứ hai, cả hai khung đều thống nhất rằng activation nên bất đối xứng, và đều nêu cùng một lý do. TensorFlow Lite nói việc này cho thêm tới một bit độ chính xác; PyTorch nói sơ đồ đối xứng cho “bad quantization resolution” với tín hiệu lệch như activation không âm. Đây là khác biệt thực sự của đề tài so với cả hai khung, và mức độ ảnh hưởng đã được đo ở phần Hạn chế.</w:t>
      </w:r>
    </w:p>
    <w:p>
      <w:pPr>
        <w:pStyle w:val="Heading3"/>
      </w:pPr>
      <w:r>
        <w:rPr>
          <w:rFonts w:ascii="Times New Roman" w:hAnsi="Times New Roman"/>
          <w:color w:val="000000"/>
        </w:rPr>
        <w:t>4.3. Chi phí đo được của ràng buộc luỹ thừa của hai</w:t>
      </w:r>
    </w:p>
    <w:p>
      <w:pPr>
        <w:ind w:firstLine="560"/>
      </w:pPr>
      <w:r>
        <w:rPr>
          <w:b w:val="0"/>
          <w:i w:val="0"/>
        </w:rPr>
        <w:t>Chi phí của Ràng buộc 2 được đo bằng thực nghiệm đối chứng: giữ nguyên mọi yếu tố khác và chỉ thay thang luỹ thừa của hai bằng thang tổng quát. Kết quả ở Bảng A.5.</w:t>
      </w:r>
    </w:p>
    <w:p>
      <w:pPr>
        <w:spacing w:before="120" w:after="80"/>
        <w:ind w:firstLine="0"/>
        <w:jc w:val="center"/>
      </w:pPr>
      <w:r>
        <w:rPr>
          <w:i/>
          <w:sz w:val="24"/>
        </w:rPr>
        <w:t>Bảng A.5. Chi phí của ràng buộc luỹ thừa của hai (tập Chapman, đánh giá khớp bit).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628"/>
          </w:tcPr>
          <w:p>
            <w:pPr>
              <w:spacing w:line="240" w:lineRule="auto"/>
              <w:ind w:firstLine="0"/>
              <w:jc w:val="center"/>
            </w:pPr>
            <w:r/>
            <w:r>
              <w:rPr>
                <w:rFonts w:ascii="Times New Roman" w:hAnsi="Times New Roman"/>
                <w:b/>
                <w:sz w:val="22"/>
              </w:rPr>
              <w:t>Phương án</w:t>
            </w:r>
          </w:p>
        </w:tc>
        <w:tc>
          <w:tcPr>
            <w:tcW w:type="dxa" w:w="1928"/>
          </w:tcPr>
          <w:p>
            <w:pPr>
              <w:spacing w:line="240" w:lineRule="auto"/>
              <w:ind w:firstLine="0"/>
              <w:jc w:val="center"/>
            </w:pPr>
            <w:r/>
            <w:r>
              <w:rPr>
                <w:rFonts w:ascii="Times New Roman" w:hAnsi="Times New Roman"/>
                <w:b/>
                <w:sz w:val="22"/>
              </w:rPr>
              <w:t>Hệ số tỉ lệ</w:t>
            </w:r>
          </w:p>
        </w:tc>
        <w:tc>
          <w:tcPr>
            <w:tcW w:type="dxa" w:w="1928"/>
          </w:tcPr>
          <w:p>
            <w:pPr>
              <w:spacing w:line="240" w:lineRule="auto"/>
              <w:ind w:firstLine="0"/>
              <w:jc w:val="center"/>
            </w:pPr>
            <w:r/>
            <w:r>
              <w:rPr>
                <w:rFonts w:ascii="Times New Roman" w:hAnsi="Times New Roman"/>
                <w:b/>
                <w:sz w:val="22"/>
              </w:rPr>
              <w:t>Độ chính xác (%)</w:t>
            </w:r>
          </w:p>
        </w:tc>
        <w:tc>
          <w:tcPr>
            <w:tcW w:type="dxa" w:w="1701"/>
          </w:tcPr>
          <w:p>
            <w:pPr>
              <w:spacing w:line="240" w:lineRule="auto"/>
              <w:ind w:firstLine="0"/>
              <w:jc w:val="center"/>
            </w:pPr>
            <w:r/>
            <w:r>
              <w:rPr>
                <w:rFonts w:ascii="Times New Roman" w:hAnsi="Times New Roman"/>
                <w:b/>
                <w:sz w:val="22"/>
              </w:rPr>
              <w:t>DSP cho tái tỉ lệ</w:t>
            </w:r>
          </w:p>
        </w:tc>
      </w:tr>
      <w:tr>
        <w:tc>
          <w:tcPr>
            <w:tcW w:type="dxa" w:w="3628"/>
          </w:tcPr>
          <w:p>
            <w:pPr>
              <w:spacing w:line="240" w:lineRule="auto"/>
              <w:ind w:firstLine="0"/>
              <w:jc w:val="left"/>
            </w:pPr>
            <w:r/>
            <w:r>
              <w:rPr>
                <w:rFonts w:ascii="Times New Roman" w:hAnsi="Times New Roman"/>
                <w:b w:val="0"/>
                <w:sz w:val="22"/>
              </w:rPr>
              <w:t>Thang tổng quát (theo đặc tả)</w:t>
            </w:r>
          </w:p>
        </w:tc>
        <w:tc>
          <w:tcPr>
            <w:tcW w:type="dxa" w:w="1928"/>
          </w:tcPr>
          <w:p>
            <w:pPr>
              <w:spacing w:line="240" w:lineRule="auto"/>
              <w:ind w:firstLine="0"/>
              <w:jc w:val="center"/>
            </w:pPr>
            <w:r/>
            <w:r>
              <w:rPr>
                <w:rFonts w:ascii="Times New Roman" w:hAnsi="Times New Roman"/>
                <w:b w:val="0"/>
                <w:sz w:val="22"/>
              </w:rPr>
              <w:t>max|T| / 127</w:t>
            </w:r>
          </w:p>
        </w:tc>
        <w:tc>
          <w:tcPr>
            <w:tcW w:type="dxa" w:w="1928"/>
          </w:tcPr>
          <w:p>
            <w:pPr>
              <w:spacing w:line="240" w:lineRule="auto"/>
              <w:ind w:firstLine="0"/>
              <w:jc w:val="center"/>
            </w:pPr>
            <w:r/>
            <w:r>
              <w:rPr>
                <w:rFonts w:ascii="Times New Roman" w:hAnsi="Times New Roman"/>
                <w:b w:val="0"/>
                <w:sz w:val="22"/>
              </w:rPr>
              <w:t>94,65</w:t>
            </w:r>
          </w:p>
        </w:tc>
        <w:tc>
          <w:tcPr>
            <w:tcW w:type="dxa" w:w="1701"/>
          </w:tcPr>
          <w:p>
            <w:pPr>
              <w:spacing w:line="240" w:lineRule="auto"/>
              <w:ind w:firstLine="0"/>
              <w:jc w:val="center"/>
            </w:pPr>
            <w:r/>
            <w:r>
              <w:rPr>
                <w:rFonts w:ascii="Times New Roman" w:hAnsi="Times New Roman"/>
                <w:b w:val="0"/>
                <w:sz w:val="22"/>
              </w:rPr>
              <w:t>4</w:t>
            </w:r>
          </w:p>
        </w:tc>
      </w:tr>
      <w:tr>
        <w:tc>
          <w:tcPr>
            <w:tcW w:type="dxa" w:w="3628"/>
          </w:tcPr>
          <w:p>
            <w:pPr>
              <w:spacing w:line="240" w:lineRule="auto"/>
              <w:ind w:firstLine="0"/>
              <w:jc w:val="left"/>
            </w:pPr>
            <w:r/>
            <w:r>
              <w:rPr>
                <w:rFonts w:ascii="Times New Roman" w:hAnsi="Times New Roman"/>
                <w:b/>
                <w:sz w:val="22"/>
              </w:rPr>
              <w:t>Thang luỹ thừa của hai (đề tài)</w:t>
            </w:r>
          </w:p>
        </w:tc>
        <w:tc>
          <w:tcPr>
            <w:tcW w:type="dxa" w:w="1928"/>
          </w:tcPr>
          <w:p>
            <w:pPr>
              <w:spacing w:line="240" w:lineRule="auto"/>
              <w:ind w:firstLine="0"/>
              <w:jc w:val="center"/>
            </w:pPr>
            <w:r/>
            <w:r>
              <w:rPr>
                <w:rFonts w:ascii="Times New Roman" w:hAnsi="Times New Roman"/>
                <w:b/>
                <w:sz w:val="22"/>
              </w:rPr>
              <w:t>2^(−nb)</w:t>
            </w:r>
          </w:p>
        </w:tc>
        <w:tc>
          <w:tcPr>
            <w:tcW w:type="dxa" w:w="1928"/>
          </w:tcPr>
          <w:p>
            <w:pPr>
              <w:spacing w:line="240" w:lineRule="auto"/>
              <w:ind w:firstLine="0"/>
              <w:jc w:val="center"/>
            </w:pPr>
            <w:r/>
            <w:r>
              <w:rPr>
                <w:rFonts w:ascii="Times New Roman" w:hAnsi="Times New Roman"/>
                <w:b/>
                <w:sz w:val="22"/>
              </w:rPr>
              <w:t>94,37</w:t>
            </w:r>
          </w:p>
        </w:tc>
        <w:tc>
          <w:tcPr>
            <w:tcW w:type="dxa" w:w="1701"/>
          </w:tcPr>
          <w:p>
            <w:pPr>
              <w:spacing w:line="240" w:lineRule="auto"/>
              <w:ind w:firstLine="0"/>
              <w:jc w:val="center"/>
            </w:pPr>
            <w:r/>
            <w:r>
              <w:rPr>
                <w:rFonts w:ascii="Times New Roman" w:hAnsi="Times New Roman"/>
                <w:b/>
                <w:sz w:val="22"/>
              </w:rPr>
              <w:t>0</w:t>
            </w:r>
          </w:p>
        </w:tc>
      </w:tr>
    </w:tbl>
    <w:p>
      <w:pPr>
        <w:ind w:firstLine="560"/>
      </w:pPr>
      <w:r>
        <w:rPr>
          <w:b w:val="0"/>
          <w:i w:val="0"/>
        </w:rPr>
        <w:t>Chênh lệch độ chính xác là 0,28 phần trăm điểm. Cần đặt con số này cạnh độ lệch chuẩn giữa các lần chia tập kiểm tra, đo được trong khoảng 0,81–0,93 phần trăm điểm. Vì chênh lệch nhỏ hơn độ lệch chuẩn, không đủ cơ sở thống kê để khẳng định thang tổng quát cho độ chính xác cao hơn. Ngược lại, khác biệt về số khối DSP là xác định, đếm trực tiếp từ cấu trúc mạch chứ không phụ thuộc dữ liệu.</w:t>
      </w:r>
    </w:p>
    <w:p>
      <w:pPr>
        <w:ind w:firstLine="560"/>
      </w:pPr>
      <w:r>
        <w:rPr>
          <w:b w:val="0"/>
          <w:i w:val="0"/>
        </w:rPr>
        <w:t>Cần nêu rõ phạm vi của kết luận này: thực nghiệm chỉ thay đổi một biến là dạng hệ số tỉ lệ; cả hai phương án đều dùng zero_point = 0 và đều áp dụng per-tensor. Do đó con số 0,28 phần trăm điểm là chi phí riêng của Ràng buộc 2, không bao gồm chi phí của Ràng buộc 1 và của lựa chọn per-tensor.</w:t>
      </w:r>
    </w:p>
    <w:p>
      <w:pPr>
        <w:pStyle w:val="Heading3"/>
      </w:pPr>
      <w:r>
        <w:rPr>
          <w:rFonts w:ascii="Times New Roman" w:hAnsi="Times New Roman"/>
          <w:color w:val="000000"/>
        </w:rPr>
        <w:t>4.4. Vấn đề sai số tích luỹ</w:t>
      </w:r>
    </w:p>
    <w:p>
      <w:pPr>
        <w:ind w:firstLine="560"/>
      </w:pPr>
      <w:r>
        <w:rPr>
          <w:b w:val="0"/>
          <w:i w:val="0"/>
        </w:rPr>
        <w:t>Một câu hỏi đặt ra là các khác biệt trên có gây sai số tích luỹ qua bốn tầng tích chập hay không. Sai số tích luỹ chỉ phát sinh khi phép làm tròn thiên lệch về một phía; nhiễu không thiên lệch thì qua N tầng chỉ tăng theo căn bậc hai của N thay vì theo N. Bảng A.6 trình bày sai số tái tỉ lệ đo trên 600 mẫu kiểm tra, lấy phép chia thực không làm tròn làm mốc.</w:t>
      </w:r>
    </w:p>
    <w:p>
      <w:pPr>
        <w:spacing w:before="120" w:after="80"/>
        <w:ind w:firstLine="0"/>
        <w:jc w:val="center"/>
      </w:pPr>
      <w:r>
        <w:rPr>
          <w:i/>
          <w:sz w:val="24"/>
        </w:rPr>
        <w:t>Bảng A.6. Sai số tái tỉ lệ theo từng tầng, đơn vị LSB.</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74"/>
          </w:tcPr>
          <w:p>
            <w:pPr>
              <w:spacing w:line="240" w:lineRule="auto"/>
              <w:ind w:firstLine="0"/>
              <w:jc w:val="center"/>
            </w:pPr>
            <w:r/>
            <w:r>
              <w:rPr>
                <w:rFonts w:ascii="Times New Roman" w:hAnsi="Times New Roman"/>
                <w:b/>
                <w:sz w:val="22"/>
              </w:rPr>
              <w:t>Tầng</w:t>
            </w:r>
          </w:p>
        </w:tc>
        <w:tc>
          <w:tcPr>
            <w:tcW w:type="dxa" w:w="2608"/>
          </w:tcPr>
          <w:p>
            <w:pPr>
              <w:spacing w:line="240" w:lineRule="auto"/>
              <w:ind w:firstLine="0"/>
              <w:jc w:val="center"/>
            </w:pPr>
            <w:r/>
            <w:r>
              <w:rPr>
                <w:rFonts w:ascii="Times New Roman" w:hAnsi="Times New Roman"/>
                <w:b/>
                <w:sz w:val="22"/>
              </w:rPr>
              <w:t>Round-half-up: sai số trung bình</w:t>
            </w:r>
          </w:p>
        </w:tc>
        <w:tc>
          <w:tcPr>
            <w:tcW w:type="dxa" w:w="2381"/>
          </w:tcPr>
          <w:p>
            <w:pPr>
              <w:spacing w:line="240" w:lineRule="auto"/>
              <w:ind w:firstLine="0"/>
              <w:jc w:val="center"/>
            </w:pPr>
            <w:r/>
            <w:r>
              <w:rPr>
                <w:rFonts w:ascii="Times New Roman" w:hAnsi="Times New Roman"/>
                <w:b/>
                <w:sz w:val="22"/>
              </w:rPr>
              <w:t>Round-half-up: độ lệch chuẩn</w:t>
            </w:r>
          </w:p>
        </w:tc>
        <w:tc>
          <w:tcPr>
            <w:tcW w:type="dxa" w:w="2608"/>
          </w:tcPr>
          <w:p>
            <w:pPr>
              <w:spacing w:line="240" w:lineRule="auto"/>
              <w:ind w:firstLine="0"/>
              <w:jc w:val="center"/>
            </w:pPr>
            <w:r/>
            <w:r>
              <w:rPr>
                <w:rFonts w:ascii="Times New Roman" w:hAnsi="Times New Roman"/>
                <w:b/>
                <w:sz w:val="22"/>
              </w:rPr>
              <w:t>Cắt bỏ (floor): sai số trung bình</w:t>
            </w:r>
          </w:p>
        </w:tc>
      </w:tr>
      <w:tr>
        <w:tc>
          <w:tcPr>
            <w:tcW w:type="dxa" w:w="1474"/>
          </w:tcPr>
          <w:p>
            <w:pPr>
              <w:spacing w:line="240" w:lineRule="auto"/>
              <w:ind w:firstLine="0"/>
              <w:jc w:val="left"/>
            </w:pPr>
            <w:r/>
            <w:r>
              <w:rPr>
                <w:rFonts w:ascii="Times New Roman" w:hAnsi="Times New Roman"/>
                <w:b w:val="0"/>
                <w:sz w:val="22"/>
              </w:rPr>
              <w:t>Conv1</w:t>
            </w:r>
          </w:p>
        </w:tc>
        <w:tc>
          <w:tcPr>
            <w:tcW w:type="dxa" w:w="2608"/>
          </w:tcPr>
          <w:p>
            <w:pPr>
              <w:spacing w:line="240" w:lineRule="auto"/>
              <w:ind w:firstLine="0"/>
              <w:jc w:val="center"/>
            </w:pPr>
            <w:r/>
            <w:r>
              <w:rPr>
                <w:rFonts w:ascii="Times New Roman" w:hAnsi="Times New Roman"/>
                <w:b w:val="0"/>
                <w:sz w:val="22"/>
              </w:rPr>
              <w:t>+0,019</w:t>
            </w:r>
          </w:p>
        </w:tc>
        <w:tc>
          <w:tcPr>
            <w:tcW w:type="dxa" w:w="2381"/>
          </w:tcPr>
          <w:p>
            <w:pPr>
              <w:spacing w:line="240" w:lineRule="auto"/>
              <w:ind w:firstLine="0"/>
              <w:jc w:val="center"/>
            </w:pPr>
            <w:r/>
            <w:r>
              <w:rPr>
                <w:rFonts w:ascii="Times New Roman" w:hAnsi="Times New Roman"/>
                <w:b w:val="0"/>
                <w:sz w:val="22"/>
              </w:rPr>
              <w:t>0,292</w:t>
            </w:r>
          </w:p>
        </w:tc>
        <w:tc>
          <w:tcPr>
            <w:tcW w:type="dxa" w:w="2608"/>
          </w:tcPr>
          <w:p>
            <w:pPr>
              <w:spacing w:line="240" w:lineRule="auto"/>
              <w:ind w:firstLine="0"/>
              <w:jc w:val="center"/>
            </w:pPr>
            <w:r/>
            <w:r>
              <w:rPr>
                <w:rFonts w:ascii="Times New Roman" w:hAnsi="Times New Roman"/>
                <w:b w:val="0"/>
                <w:sz w:val="22"/>
              </w:rPr>
              <w:t>−0,501</w:t>
            </w:r>
          </w:p>
        </w:tc>
      </w:tr>
      <w:tr>
        <w:tc>
          <w:tcPr>
            <w:tcW w:type="dxa" w:w="1474"/>
          </w:tcPr>
          <w:p>
            <w:pPr>
              <w:spacing w:line="240" w:lineRule="auto"/>
              <w:ind w:firstLine="0"/>
              <w:jc w:val="left"/>
            </w:pPr>
            <w:r/>
            <w:r>
              <w:rPr>
                <w:rFonts w:ascii="Times New Roman" w:hAnsi="Times New Roman"/>
                <w:b w:val="0"/>
                <w:sz w:val="22"/>
              </w:rPr>
              <w:t>Conv2</w:t>
            </w:r>
          </w:p>
        </w:tc>
        <w:tc>
          <w:tcPr>
            <w:tcW w:type="dxa" w:w="2608"/>
          </w:tcPr>
          <w:p>
            <w:pPr>
              <w:spacing w:line="240" w:lineRule="auto"/>
              <w:ind w:firstLine="0"/>
              <w:jc w:val="center"/>
            </w:pPr>
            <w:r/>
            <w:r>
              <w:rPr>
                <w:rFonts w:ascii="Times New Roman" w:hAnsi="Times New Roman"/>
                <w:b w:val="0"/>
                <w:sz w:val="22"/>
              </w:rPr>
              <w:t>+0,005</w:t>
            </w:r>
          </w:p>
        </w:tc>
        <w:tc>
          <w:tcPr>
            <w:tcW w:type="dxa" w:w="2381"/>
          </w:tcPr>
          <w:p>
            <w:pPr>
              <w:spacing w:line="240" w:lineRule="auto"/>
              <w:ind w:firstLine="0"/>
              <w:jc w:val="center"/>
            </w:pPr>
            <w:r/>
            <w:r>
              <w:rPr>
                <w:rFonts w:ascii="Times New Roman" w:hAnsi="Times New Roman"/>
                <w:b w:val="0"/>
                <w:sz w:val="22"/>
              </w:rPr>
              <w:t>0,290</w:t>
            </w:r>
          </w:p>
        </w:tc>
        <w:tc>
          <w:tcPr>
            <w:tcW w:type="dxa" w:w="2608"/>
          </w:tcPr>
          <w:p>
            <w:pPr>
              <w:spacing w:line="240" w:lineRule="auto"/>
              <w:ind w:firstLine="0"/>
              <w:jc w:val="center"/>
            </w:pPr>
            <w:r/>
            <w:r>
              <w:rPr>
                <w:rFonts w:ascii="Times New Roman" w:hAnsi="Times New Roman"/>
                <w:b w:val="0"/>
                <w:sz w:val="22"/>
              </w:rPr>
              <w:t>−0,493</w:t>
            </w:r>
          </w:p>
        </w:tc>
      </w:tr>
      <w:tr>
        <w:tc>
          <w:tcPr>
            <w:tcW w:type="dxa" w:w="1474"/>
          </w:tcPr>
          <w:p>
            <w:pPr>
              <w:spacing w:line="240" w:lineRule="auto"/>
              <w:ind w:firstLine="0"/>
              <w:jc w:val="left"/>
            </w:pPr>
            <w:r/>
            <w:r>
              <w:rPr>
                <w:rFonts w:ascii="Times New Roman" w:hAnsi="Times New Roman"/>
                <w:b w:val="0"/>
                <w:sz w:val="22"/>
              </w:rPr>
              <w:t>Conv3</w:t>
            </w:r>
          </w:p>
        </w:tc>
        <w:tc>
          <w:tcPr>
            <w:tcW w:type="dxa" w:w="2608"/>
          </w:tcPr>
          <w:p>
            <w:pPr>
              <w:spacing w:line="240" w:lineRule="auto"/>
              <w:ind w:firstLine="0"/>
              <w:jc w:val="center"/>
            </w:pPr>
            <w:r/>
            <w:r>
              <w:rPr>
                <w:rFonts w:ascii="Times New Roman" w:hAnsi="Times New Roman"/>
                <w:b w:val="0"/>
                <w:sz w:val="22"/>
              </w:rPr>
              <w:t>+0,007</w:t>
            </w:r>
          </w:p>
        </w:tc>
        <w:tc>
          <w:tcPr>
            <w:tcW w:type="dxa" w:w="2381"/>
          </w:tcPr>
          <w:p>
            <w:pPr>
              <w:spacing w:line="240" w:lineRule="auto"/>
              <w:ind w:firstLine="0"/>
              <w:jc w:val="center"/>
            </w:pPr>
            <w:r/>
            <w:r>
              <w:rPr>
                <w:rFonts w:ascii="Times New Roman" w:hAnsi="Times New Roman"/>
                <w:b w:val="0"/>
                <w:sz w:val="22"/>
              </w:rPr>
              <w:t>0,289</w:t>
            </w:r>
          </w:p>
        </w:tc>
        <w:tc>
          <w:tcPr>
            <w:tcW w:type="dxa" w:w="2608"/>
          </w:tcPr>
          <w:p>
            <w:pPr>
              <w:spacing w:line="240" w:lineRule="auto"/>
              <w:ind w:firstLine="0"/>
              <w:jc w:val="center"/>
            </w:pPr>
            <w:r/>
            <w:r>
              <w:rPr>
                <w:rFonts w:ascii="Times New Roman" w:hAnsi="Times New Roman"/>
                <w:b w:val="0"/>
                <w:sz w:val="22"/>
              </w:rPr>
              <w:t>−0,492</w:t>
            </w:r>
          </w:p>
        </w:tc>
      </w:tr>
      <w:tr>
        <w:tc>
          <w:tcPr>
            <w:tcW w:type="dxa" w:w="1474"/>
          </w:tcPr>
          <w:p>
            <w:pPr>
              <w:spacing w:line="240" w:lineRule="auto"/>
              <w:ind w:firstLine="0"/>
              <w:jc w:val="left"/>
            </w:pPr>
            <w:r/>
            <w:r>
              <w:rPr>
                <w:rFonts w:ascii="Times New Roman" w:hAnsi="Times New Roman"/>
                <w:b w:val="0"/>
                <w:sz w:val="22"/>
              </w:rPr>
              <w:t>Conv4</w:t>
            </w:r>
          </w:p>
        </w:tc>
        <w:tc>
          <w:tcPr>
            <w:tcW w:type="dxa" w:w="2608"/>
          </w:tcPr>
          <w:p>
            <w:pPr>
              <w:spacing w:line="240" w:lineRule="auto"/>
              <w:ind w:firstLine="0"/>
              <w:jc w:val="center"/>
            </w:pPr>
            <w:r/>
            <w:r>
              <w:rPr>
                <w:rFonts w:ascii="Times New Roman" w:hAnsi="Times New Roman"/>
                <w:b w:val="0"/>
                <w:sz w:val="22"/>
              </w:rPr>
              <w:t>+0,005</w:t>
            </w:r>
          </w:p>
        </w:tc>
        <w:tc>
          <w:tcPr>
            <w:tcW w:type="dxa" w:w="2381"/>
          </w:tcPr>
          <w:p>
            <w:pPr>
              <w:spacing w:line="240" w:lineRule="auto"/>
              <w:ind w:firstLine="0"/>
              <w:jc w:val="center"/>
            </w:pPr>
            <w:r/>
            <w:r>
              <w:rPr>
                <w:rFonts w:ascii="Times New Roman" w:hAnsi="Times New Roman"/>
                <w:b w:val="0"/>
                <w:sz w:val="22"/>
              </w:rPr>
              <w:t>0,288</w:t>
            </w:r>
          </w:p>
        </w:tc>
        <w:tc>
          <w:tcPr>
            <w:tcW w:type="dxa" w:w="2608"/>
          </w:tcPr>
          <w:p>
            <w:pPr>
              <w:spacing w:line="240" w:lineRule="auto"/>
              <w:ind w:firstLine="0"/>
              <w:jc w:val="center"/>
            </w:pPr>
            <w:r/>
            <w:r>
              <w:rPr>
                <w:rFonts w:ascii="Times New Roman" w:hAnsi="Times New Roman"/>
                <w:b w:val="0"/>
                <w:sz w:val="22"/>
              </w:rPr>
              <w:t>−0,496</w:t>
            </w:r>
          </w:p>
        </w:tc>
      </w:tr>
    </w:tbl>
    <w:p>
      <w:pPr>
        <w:ind w:firstLine="560"/>
      </w:pPr>
      <w:r>
        <w:rPr>
          <w:b w:val="0"/>
          <w:i w:val="0"/>
        </w:rPr>
        <w:t>Với round-half-up, sai số trung bình mỗi tầng xấp xỉ 0,005–0,019 LSB, tức gần bằng không; độ lệch chuẩn 0,29 trùng với giá trị lý thuyết của nhiễu lượng tử phân bố đều trên một LSB. Sai số vì thế là nhiễu ngẫu nhiên không thiên lệch và không cộng dồn qua các tầng.</w:t>
      </w:r>
    </w:p>
    <w:p>
      <w:pPr>
        <w:ind w:firstLine="560"/>
      </w:pPr>
      <w:r>
        <w:rPr>
          <w:b w:val="0"/>
          <w:i w:val="0"/>
        </w:rPr>
        <w:t>Với phép cắt bỏ, sai số trung bình mỗi tầng là −0,5 LSB, lệch hẳn một phía và lặp lại ở cả bốn tầng. Hệ quả đo được ở đầu vào khối GAP: giá trị trung bình giảm từ 15,44 xuống 14,97, tức toàn bộ bản đồ đặc trưng bị co lại khoảng 3,1 phần trăm trước khi vào tầng phân lớp. Đây là cơ chế vật lý giải thích chênh lệch độ chính xác 0,38 phần trăm điểm giữa hai phép làm tròn.</w:t>
      </w:r>
    </w:p>
    <w:p>
      <w:pPr>
        <w:ind w:firstLine="560"/>
      </w:pPr>
      <w:r>
        <w:rPr>
          <w:b w:val="0"/>
          <w:i w:val="0"/>
        </w:rPr>
        <w:t>Kết luận: hai ràng buộc bổ sung của đề tài làm tăng biên độ nhiễu lượng tử nhưng không làm nhiễu lệch hướng, nên không gây sai số tích luỹ. Yếu tố thực sự gây tích luỹ là phép cắt bỏ khi tái tỉ lệ, và đó chính là yếu tố đề tài đã loại bỏ.</w:t>
      </w:r>
    </w:p>
    <w:p>
      <w:pPr>
        <w:pStyle w:val="Heading3"/>
      </w:pPr>
      <w:r>
        <w:rPr>
          <w:rFonts w:ascii="Times New Roman" w:hAnsi="Times New Roman"/>
          <w:color w:val="000000"/>
        </w:rPr>
        <w:t>4.5. Điểm đề tài chặt hơn đặc tả</w:t>
      </w:r>
    </w:p>
    <w:p>
      <w:pPr>
        <w:ind w:firstLine="560"/>
      </w:pPr>
      <w:r>
        <w:rPr>
          <w:b w:val="0"/>
          <w:i w:val="0"/>
        </w:rPr>
        <w:t>Đặc tả TensorFlow Lite quy định công thức ánh xạ và các ràng buộc về dải, zero_point và kiểu dữ liệu, nhưng không quy định phép làm tròn nào phải dùng khi tái tỉ lệ. Đây là một khoảng trống trong đặc tả. Thiết kế dịch bit trước đây, điển hình là Liu [16], lấp khoảng trống này bằng phép dịch phải số học, tương đương làm tròn xuống. Đề tài lấp bằng round-half-up, với chi phí phần cứng bằng không do số hạng cộng thêm 2^(nb−1) là hằng số và đã được gộp vào bias trong hiện thực RTL.</w:t>
      </w:r>
    </w:p>
    <w:p>
      <w:pPr>
        <w:pStyle w:val="Heading2"/>
      </w:pPr>
      <w:r>
        <w:rPr>
          <w:rFonts w:ascii="Times New Roman" w:hAnsi="Times New Roman"/>
          <w:color w:val="000000"/>
        </w:rPr>
        <w:t>5. Kết luận đối chiếu</w:t>
      </w:r>
    </w:p>
    <w:p>
      <w:pPr>
        <w:ind w:firstLine="560"/>
      </w:pPr>
      <w:r>
        <w:rPr>
          <w:b w:val="0"/>
          <w:i w:val="0"/>
        </w:rPr>
        <w:t>TensorFlow Lite và PyTorch dùng chung một mô hình toán học: ánh xạ affine với hai tham số là hệ số tỉ lệ và điểm không. Khác biệt giữa hai khung nằm ở mức độ ràng buộc, không ở bản chất — TensorFlow Lite quy định bắt buộc để bảo đảm tính khả chuyển của tệp mô hình, còn PyTorch để mở cho người dùng chọn và chỉ đưa ra khuyến nghị. Về bias, TensorFlow Lite quy định thẳng INT32 với thang bằng tích hai thang đầu vào, còn PyTorch giữ bias ở dấu chấm động trong lúc huấn luyện nên quy tắc thang phải do người thiết kế bảo đảm.</w:t>
      </w:r>
    </w:p>
    <w:p>
      <w:pPr>
        <w:ind w:firstLine="560"/>
      </w:pPr>
      <w:r>
        <w:rPr>
          <w:b w:val="0"/>
          <w:i w:val="0"/>
        </w:rPr>
        <w:t>Phương pháp lượng tử hoá của đề tài tuân thủ toàn bộ các ràng buộc cốt lõi mà cả hai khung thống nhất: trọng số đối xứng với zero_point bằng 0 trên dải [−127, 127], bias lưu INT32 với thang bằng tích thang đầu vào và thang trọng số. Ba điểm khác biệt là ràng buộc chặt hơn có chủ đích nhằm giảm chi phí phần cứng, trong đó ràng buộc luỹ thừa của hai đã được lượng hoá: 0,28 phần trăm điểm độ chính xác, nhỏ hơn độ lệch chuẩn giữa các lần chia tập, đổi lấy việc loại bỏ bốn khối DSP khỏi đường tái tỉ lệ. Các khác biệt này không gây sai số tích luỹ, như đã chứng minh bằng đo lường ở Mục 4.4.</w:t>
      </w:r>
    </w:p>
    <w:p>
      <w:pPr>
        <w:ind w:firstLine="560"/>
      </w:pPr>
      <w:r>
        <w:rPr>
          <w:b w:val="0"/>
          <w:i w:val="0"/>
        </w:rPr>
        <w:t>Cần nêu thêm một điểm mà cả hai khung đều bỏ ngỏ: không khung nào quy định phép làm tròn phải dùng khi tái tỉ lệ. Đề tài lấp khoảng trống này bằng round-half-up, và đây là điểm đề tài chặt hơn cả hai khung tham chiếu.</w:t>
      </w:r>
    </w:p>
    <w:p>
      <w:pPr>
        <w:pStyle w:val="Heading3"/>
      </w:pPr>
      <w:r>
        <w:rPr>
          <w:rFonts w:ascii="Times New Roman" w:hAnsi="Times New Roman"/>
          <w:color w:val="000000"/>
        </w:rPr>
        <w:t>Hạn chế của phần đối chiếu</w:t>
      </w:r>
    </w:p>
    <w:p>
      <w:pPr>
        <w:ind w:firstLine="560"/>
      </w:pPr>
      <w:r>
        <w:rPr>
          <w:b w:val="0"/>
          <w:i w:val="0"/>
        </w:rPr>
        <w:t>Hai điểm khác biệt còn lại chưa được lượng hoá bằng thực nghiệm đối chứng về độ chính xác. Với việc ép zero_point của activation về 0, mới chỉ đo được phần dải biểu diễn bị bỏ trống: 3,9 phần trăm ở Conv1 và 50 phần trăm ở đầu ra Conv4 sau ReLU, tương đương mất tối đa một bit hiệu dụng — trùng với mức lợi ích mà đặc tả nêu cho lượng tử hoá bất đối xứng. Với lựa chọn per-tensor, mới chỉ đo được độ phân tán biên độ giữa các kênh, lớn nhất ở Conv3 với tỉ lệ 5,1 lần. Việc bổ sung hai thực nghiệm đối chứng này thuộc hướng phát triển.</w:t>
      </w:r>
    </w:p>
    <w:p>
      <w:pPr>
        <w:pStyle w:val="Heading2"/>
      </w:pPr>
      <w:r>
        <w:rPr>
          <w:rFonts w:ascii="Times New Roman" w:hAnsi="Times New Roman"/>
          <w:color w:val="000000"/>
        </w:rPr>
        <w:t>Tài liệu tham khảo của phụ lục</w:t>
      </w:r>
    </w:p>
    <w:p>
      <w:pPr>
        <w:spacing w:after="120"/>
        <w:ind w:firstLine="0"/>
      </w:pPr>
      <w:r>
        <w:rPr>
          <w:b w:val="0"/>
          <w:i w:val="0"/>
        </w:rPr>
        <w:t>[TF]  TensorFlow, “LiteRT 8-bit quantization specification”, tệp tensorflow/lite/g3doc/performance/quantization_spec.md, kho mã nguồn GitHub. Địa chỉ: https://github.com/tensorflow/tensorflow/blob/master/tensorflow/lite/g3doc/performance/quantization_spec.md. Bản trang web: https://ai.google.dev/edge/litert/performance/quantization_spec. Truy cập ngày 10/08/2026.</w:t>
      </w:r>
    </w:p>
    <w:p>
      <w:pPr>
        <w:spacing w:after="120"/>
        <w:ind w:firstLine="0"/>
      </w:pPr>
      <w:r>
        <w:rPr>
          <w:b w:val="0"/>
          <w:i w:val="0"/>
        </w:rPr>
        <w:t>[PT1] PyTorch, “Quantization — PyTorch documentation”. Địa chỉ: https://docs.pytorch.org/docs/stable/quantization.html. Truy cập ngày 10/08/2026.</w:t>
      </w:r>
    </w:p>
    <w:p>
      <w:pPr>
        <w:spacing w:after="120"/>
        <w:ind w:firstLine="0"/>
      </w:pPr>
      <w:r>
        <w:rPr>
          <w:b w:val="0"/>
          <w:i w:val="0"/>
        </w:rPr>
        <w:t>[PT2] S. Pt., “Practical Quantization in PyTorch”, PyTorch Blog, 2022. Địa chỉ: https://pytorch.org/blog/quantization-in-practice/. Truy cập ngày 10/08/2026.</w:t>
      </w:r>
    </w:p>
    <w:p>
      <w:pPr>
        <w:spacing w:after="120"/>
        <w:ind w:firstLine="0"/>
      </w:pPr>
      <w:r>
        <w:rPr>
          <w:b w:val="0"/>
          <w:i w:val="0"/>
        </w:rPr>
        <w:t>[PT3] PyTorch, mã nguồn bộ quan sát lượng tử hoá, tệp torch/ao/quantization/observer.py, kho mã nguồn GitHub. Địa chỉ: https://github.com/pytorch/pytorch/blob/main/torch/ao/quantization/observer.py. Truy cập ngày 10/08/2026.</w:t>
      </w:r>
    </w:p>
    <w:sectPr w:rsidR="00FC693F" w:rsidRPr="0006063C" w:rsidSect="00034616">
      <w:pgSz w:w="11907" w:h="16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