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ĐỐI CHIẾU PHƯƠNG PHÁP LƯỢNG TỬ HOÁ CỦA ĐỀ TÀI VỚI ĐẶC TẢ TENSORFLOW LITE</w:t>
      </w:r>
    </w:p>
    <w:p>
      <w:pPr>
        <w:ind w:firstLine="560"/>
      </w:pPr>
      <w:r>
        <w:rPr>
          <w:b w:val="0"/>
          <w:i w:val="0"/>
        </w:rPr>
        <w:t>Tài liệu này trình bày ba nội dung: (i) phương pháp lượng tử hoá INT8 theo đặc tả chính thức của TensorFlow Lite/LiteRT dùng làm hệ quy chiếu; (ii) phương pháp lượng tử hoá được hiện thực trong đề tài; (iii) đối chiếu hai phương pháp, chỉ rõ những điểm tuân thủ, những điểm khác biệt có chủ đích, và chi phí đo được của từng khác biệt.</w:t>
      </w:r>
    </w:p>
    <w:p>
      <w:pPr>
        <w:pStyle w:val="Heading2"/>
      </w:pPr>
      <w:r>
        <w:rPr>
          <w:rFonts w:ascii="Times New Roman" w:hAnsi="Times New Roman"/>
          <w:color w:val="000000"/>
        </w:rPr>
        <w:t>1. Phương pháp lượng tử hoá tham chiếu theo TensorFlow Lite</w:t>
      </w:r>
    </w:p>
    <w:p>
      <w:pPr>
        <w:pStyle w:val="Heading3"/>
      </w:pPr>
      <w:r>
        <w:rPr>
          <w:rFonts w:ascii="Times New Roman" w:hAnsi="Times New Roman"/>
          <w:color w:val="000000"/>
        </w:rPr>
        <w:t>1.1. Ánh xạ affine</w:t>
      </w:r>
    </w:p>
    <w:p>
      <w:pPr>
        <w:ind w:firstLine="560"/>
      </w:pPr>
      <w:r>
        <w:rPr>
          <w:b w:val="0"/>
          <w:i w:val="0"/>
        </w:rPr>
        <w:t>TensorFlow Lite (nay là LiteRT) định nghĩa lượng tử hoá 8 bit bằng ánh xạ affine giữa giá trị thực và giá trị nguyên [TF]:</w:t>
      </w:r>
    </w:p>
    <w:p>
      <w:pPr>
        <w:tabs>
          <w:tab w:pos="4677" w:val="left"/>
          <w:tab w:pos="9074" w:val="left"/>
        </w:tabs>
        <w:spacing w:before="120" w:after="120"/>
        <w:ind w:firstLine="0"/>
      </w:pPr>
      <w:r>
        <w:rPr>
          <w:i/>
        </w:rPr>
        <w:tab/>
        <w:t>real_value = (q − zero_point) × scale</w:t>
        <w:tab/>
        <w:t>(A.1)</w:t>
      </w:r>
    </w:p>
    <w:p>
      <w:pPr>
        <w:ind w:firstLine="560"/>
      </w:pPr>
      <w:r>
        <w:rPr>
          <w:b w:val="0"/>
          <w:i w:val="0"/>
        </w:rPr>
        <w:t>trong đó q là số nguyên 8 bit được lưu, scale là hệ số tỉ lệ số thực dương, và zero_point là số nguyên xác định giá trị nguyên nào tương ứng với số thực 0. Nguyên văn đặc tả: “8-bit quantization approximates floating point values using the following formula: real_value = (int8_value − zero_point) × scale”.</w:t>
      </w:r>
    </w:p>
    <w:p>
      <w:pPr>
        <w:pStyle w:val="Heading3"/>
      </w:pPr>
      <w:r>
        <w:rPr>
          <w:rFonts w:ascii="Times New Roman" w:hAnsi="Times New Roman"/>
          <w:color w:val="000000"/>
        </w:rPr>
        <w:t>1.2. Ràng buộc theo từng loại tensor</w:t>
      </w:r>
    </w:p>
    <w:p>
      <w:pPr>
        <w:ind w:firstLine="560"/>
      </w:pPr>
      <w:r>
        <w:rPr>
          <w:b w:val="0"/>
          <w:i w:val="0"/>
        </w:rPr>
        <w:t>Đặc tả quy định ràng buộc khác nhau cho trọng số và cho activation. Bảng A.1 tóm tắt các ràng buộc đối với hai toán tử CONV_2D và FULLY_CONNECTED.</w:t>
      </w:r>
    </w:p>
    <w:p>
      <w:pPr>
        <w:spacing w:before="120" w:after="80"/>
        <w:ind w:firstLine="0"/>
        <w:jc w:val="center"/>
      </w:pPr>
      <w:r>
        <w:rPr>
          <w:i/>
          <w:sz w:val="24"/>
        </w:rPr>
        <w:t>Bảng A.1. Ràng buộc lượng tử hoá INT8 theo đặc tả TensorFlow Lite.</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041"/>
          </w:tcPr>
          <w:p>
            <w:pPr>
              <w:spacing w:line="240" w:lineRule="auto"/>
              <w:ind w:firstLine="0"/>
              <w:jc w:val="center"/>
            </w:pPr>
            <w:r/>
            <w:r>
              <w:rPr>
                <w:rFonts w:ascii="Times New Roman" w:hAnsi="Times New Roman"/>
                <w:b/>
                <w:sz w:val="22"/>
              </w:rPr>
              <w:t>Tensor</w:t>
            </w:r>
          </w:p>
        </w:tc>
        <w:tc>
          <w:tcPr>
            <w:tcW w:type="dxa" w:w="850"/>
          </w:tcPr>
          <w:p>
            <w:pPr>
              <w:spacing w:line="240" w:lineRule="auto"/>
              <w:ind w:firstLine="0"/>
              <w:jc w:val="center"/>
            </w:pPr>
            <w:r/>
            <w:r>
              <w:rPr>
                <w:rFonts w:ascii="Times New Roman" w:hAnsi="Times New Roman"/>
                <w:b/>
                <w:sz w:val="22"/>
              </w:rPr>
              <w:t>Kiểu</w:t>
            </w:r>
          </w:p>
        </w:tc>
        <w:tc>
          <w:tcPr>
            <w:tcW w:type="dxa" w:w="1474"/>
          </w:tcPr>
          <w:p>
            <w:pPr>
              <w:spacing w:line="240" w:lineRule="auto"/>
              <w:ind w:firstLine="0"/>
              <w:jc w:val="center"/>
            </w:pPr>
            <w:r/>
            <w:r>
              <w:rPr>
                <w:rFonts w:ascii="Times New Roman" w:hAnsi="Times New Roman"/>
                <w:b/>
                <w:sz w:val="22"/>
              </w:rPr>
              <w:t>Dải giá trị</w:t>
            </w:r>
          </w:p>
        </w:tc>
        <w:tc>
          <w:tcPr>
            <w:tcW w:type="dxa" w:w="2041"/>
          </w:tcPr>
          <w:p>
            <w:pPr>
              <w:spacing w:line="240" w:lineRule="auto"/>
              <w:ind w:firstLine="0"/>
              <w:jc w:val="center"/>
            </w:pPr>
            <w:r/>
            <w:r>
              <w:rPr>
                <w:rFonts w:ascii="Times New Roman" w:hAnsi="Times New Roman"/>
                <w:b/>
                <w:sz w:val="22"/>
              </w:rPr>
              <w:t>zero_point</w:t>
            </w:r>
          </w:p>
        </w:tc>
        <w:tc>
          <w:tcPr>
            <w:tcW w:type="dxa" w:w="2381"/>
          </w:tcPr>
          <w:p>
            <w:pPr>
              <w:spacing w:line="240" w:lineRule="auto"/>
              <w:ind w:firstLine="0"/>
              <w:jc w:val="center"/>
            </w:pPr>
            <w:r/>
            <w:r>
              <w:rPr>
                <w:rFonts w:ascii="Times New Roman" w:hAnsi="Times New Roman"/>
                <w:b/>
                <w:sz w:val="22"/>
              </w:rPr>
              <w:t>Mức áp dụng</w:t>
            </w:r>
          </w:p>
        </w:tc>
      </w:tr>
      <w:tr>
        <w:tc>
          <w:tcPr>
            <w:tcW w:type="dxa" w:w="2041"/>
          </w:tcPr>
          <w:p>
            <w:pPr>
              <w:spacing w:line="240" w:lineRule="auto"/>
              <w:ind w:firstLine="0"/>
              <w:jc w:val="left"/>
            </w:pPr>
            <w:r/>
            <w:r>
              <w:rPr>
                <w:rFonts w:ascii="Times New Roman" w:hAnsi="Times New Roman"/>
                <w:b w:val="0"/>
                <w:sz w:val="22"/>
              </w:rPr>
              <w:t>Activation vào/ra</w:t>
            </w:r>
          </w:p>
        </w:tc>
        <w:tc>
          <w:tcPr>
            <w:tcW w:type="dxa" w:w="850"/>
          </w:tcPr>
          <w:p>
            <w:pPr>
              <w:spacing w:line="240" w:lineRule="auto"/>
              <w:ind w:firstLine="0"/>
              <w:jc w:val="center"/>
            </w:pPr>
            <w:r/>
            <w:r>
              <w:rPr>
                <w:rFonts w:ascii="Times New Roman" w:hAnsi="Times New Roman"/>
                <w:b w:val="0"/>
                <w:sz w:val="22"/>
              </w:rPr>
              <w:t>int8</w:t>
            </w:r>
          </w:p>
        </w:tc>
        <w:tc>
          <w:tcPr>
            <w:tcW w:type="dxa" w:w="1474"/>
          </w:tcPr>
          <w:p>
            <w:pPr>
              <w:spacing w:line="240" w:lineRule="auto"/>
              <w:ind w:firstLine="0"/>
              <w:jc w:val="center"/>
            </w:pPr>
            <w:r/>
            <w:r>
              <w:rPr>
                <w:rFonts w:ascii="Times New Roman" w:hAnsi="Times New Roman"/>
                <w:b w:val="0"/>
                <w:sz w:val="22"/>
              </w:rPr>
              <w:t>[−128, 127]</w:t>
            </w:r>
          </w:p>
        </w:tc>
        <w:tc>
          <w:tcPr>
            <w:tcW w:type="dxa" w:w="2041"/>
          </w:tcPr>
          <w:p>
            <w:pPr>
              <w:spacing w:line="240" w:lineRule="auto"/>
              <w:ind w:firstLine="0"/>
              <w:jc w:val="center"/>
            </w:pPr>
            <w:r/>
            <w:r>
              <w:rPr>
                <w:rFonts w:ascii="Times New Roman" w:hAnsi="Times New Roman"/>
                <w:b w:val="0"/>
                <w:sz w:val="22"/>
              </w:rPr>
              <w:t>tự do (bất đối xứng)</w:t>
            </w:r>
          </w:p>
        </w:tc>
        <w:tc>
          <w:tcPr>
            <w:tcW w:type="dxa" w:w="2381"/>
          </w:tcPr>
          <w:p>
            <w:pPr>
              <w:spacing w:line="240" w:lineRule="auto"/>
              <w:ind w:firstLine="0"/>
              <w:jc w:val="center"/>
            </w:pPr>
            <w:r/>
            <w:r>
              <w:rPr>
                <w:rFonts w:ascii="Times New Roman" w:hAnsi="Times New Roman"/>
                <w:b w:val="0"/>
                <w:sz w:val="22"/>
              </w:rPr>
              <w:t>per-tensor</w:t>
            </w:r>
          </w:p>
        </w:tc>
      </w:tr>
      <w:tr>
        <w:tc>
          <w:tcPr>
            <w:tcW w:type="dxa" w:w="2041"/>
          </w:tcPr>
          <w:p>
            <w:pPr>
              <w:spacing w:line="240" w:lineRule="auto"/>
              <w:ind w:firstLine="0"/>
              <w:jc w:val="left"/>
            </w:pPr>
            <w:r/>
            <w:r>
              <w:rPr>
                <w:rFonts w:ascii="Times New Roman" w:hAnsi="Times New Roman"/>
                <w:b w:val="0"/>
                <w:sz w:val="22"/>
              </w:rPr>
              <w:t>Trọng số</w:t>
            </w:r>
          </w:p>
        </w:tc>
        <w:tc>
          <w:tcPr>
            <w:tcW w:type="dxa" w:w="850"/>
          </w:tcPr>
          <w:p>
            <w:pPr>
              <w:spacing w:line="240" w:lineRule="auto"/>
              <w:ind w:firstLine="0"/>
              <w:jc w:val="center"/>
            </w:pPr>
            <w:r/>
            <w:r>
              <w:rPr>
                <w:rFonts w:ascii="Times New Roman" w:hAnsi="Times New Roman"/>
                <w:b w:val="0"/>
                <w:sz w:val="22"/>
              </w:rPr>
              <w:t>int8</w:t>
            </w:r>
          </w:p>
        </w:tc>
        <w:tc>
          <w:tcPr>
            <w:tcW w:type="dxa" w:w="1474"/>
          </w:tcPr>
          <w:p>
            <w:pPr>
              <w:spacing w:line="240" w:lineRule="auto"/>
              <w:ind w:firstLine="0"/>
              <w:jc w:val="center"/>
            </w:pPr>
            <w:r/>
            <w:r>
              <w:rPr>
                <w:rFonts w:ascii="Times New Roman" w:hAnsi="Times New Roman"/>
                <w:b w:val="0"/>
                <w:sz w:val="22"/>
              </w:rPr>
              <w:t>[−127, 127]</w:t>
            </w:r>
          </w:p>
        </w:tc>
        <w:tc>
          <w:tcPr>
            <w:tcW w:type="dxa" w:w="2041"/>
          </w:tcPr>
          <w:p>
            <w:pPr>
              <w:spacing w:line="240" w:lineRule="auto"/>
              <w:ind w:firstLine="0"/>
              <w:jc w:val="center"/>
            </w:pPr>
            <w:r/>
            <w:r>
              <w:rPr>
                <w:rFonts w:ascii="Times New Roman" w:hAnsi="Times New Roman"/>
                <w:b w:val="0"/>
                <w:sz w:val="22"/>
              </w:rPr>
              <w:t>= 0 (bắt buộc)</w:t>
            </w:r>
          </w:p>
        </w:tc>
        <w:tc>
          <w:tcPr>
            <w:tcW w:type="dxa" w:w="2381"/>
          </w:tcPr>
          <w:p>
            <w:pPr>
              <w:spacing w:line="240" w:lineRule="auto"/>
              <w:ind w:firstLine="0"/>
              <w:jc w:val="center"/>
            </w:pPr>
            <w:r/>
            <w:r>
              <w:rPr>
                <w:rFonts w:ascii="Times New Roman" w:hAnsi="Times New Roman"/>
                <w:b w:val="0"/>
                <w:sz w:val="22"/>
              </w:rPr>
              <w:t>per-axis (dim 0) hoặc per-tensor</w:t>
            </w:r>
          </w:p>
        </w:tc>
      </w:tr>
      <w:tr>
        <w:tc>
          <w:tcPr>
            <w:tcW w:type="dxa" w:w="2041"/>
          </w:tcPr>
          <w:p>
            <w:pPr>
              <w:spacing w:line="240" w:lineRule="auto"/>
              <w:ind w:firstLine="0"/>
              <w:jc w:val="left"/>
            </w:pPr>
            <w:r/>
            <w:r>
              <w:rPr>
                <w:rFonts w:ascii="Times New Roman" w:hAnsi="Times New Roman"/>
                <w:b w:val="0"/>
                <w:sz w:val="22"/>
              </w:rPr>
              <w:t>Bias</w:t>
            </w:r>
          </w:p>
        </w:tc>
        <w:tc>
          <w:tcPr>
            <w:tcW w:type="dxa" w:w="850"/>
          </w:tcPr>
          <w:p>
            <w:pPr>
              <w:spacing w:line="240" w:lineRule="auto"/>
              <w:ind w:firstLine="0"/>
              <w:jc w:val="center"/>
            </w:pPr>
            <w:r/>
            <w:r>
              <w:rPr>
                <w:rFonts w:ascii="Times New Roman" w:hAnsi="Times New Roman"/>
                <w:b w:val="0"/>
                <w:sz w:val="22"/>
              </w:rPr>
              <w:t>int32</w:t>
            </w:r>
          </w:p>
        </w:tc>
        <w:tc>
          <w:tcPr>
            <w:tcW w:type="dxa" w:w="1474"/>
          </w:tcPr>
          <w:p>
            <w:pPr>
              <w:spacing w:line="240" w:lineRule="auto"/>
              <w:ind w:firstLine="0"/>
              <w:jc w:val="center"/>
            </w:pPr>
            <w:r/>
            <w:r>
              <w:rPr>
                <w:rFonts w:ascii="Times New Roman" w:hAnsi="Times New Roman"/>
                <w:b w:val="0"/>
                <w:sz w:val="22"/>
              </w:rPr>
              <w:t>dải int32</w:t>
            </w:r>
          </w:p>
        </w:tc>
        <w:tc>
          <w:tcPr>
            <w:tcW w:type="dxa" w:w="2041"/>
          </w:tcPr>
          <w:p>
            <w:pPr>
              <w:spacing w:line="240" w:lineRule="auto"/>
              <w:ind w:firstLine="0"/>
              <w:jc w:val="center"/>
            </w:pPr>
            <w:r/>
            <w:r>
              <w:rPr>
                <w:rFonts w:ascii="Times New Roman" w:hAnsi="Times New Roman"/>
                <w:b w:val="0"/>
                <w:sz w:val="22"/>
              </w:rPr>
              <w:t>= 0</w:t>
            </w:r>
          </w:p>
        </w:tc>
        <w:tc>
          <w:tcPr>
            <w:tcW w:type="dxa" w:w="2381"/>
          </w:tcPr>
          <w:p>
            <w:pPr>
              <w:spacing w:line="240" w:lineRule="auto"/>
              <w:ind w:firstLine="0"/>
              <w:jc w:val="center"/>
            </w:pPr>
            <w:r/>
            <w:r>
              <w:rPr>
                <w:rFonts w:ascii="Times New Roman" w:hAnsi="Times New Roman"/>
                <w:b w:val="0"/>
                <w:sz w:val="22"/>
              </w:rPr>
              <w:t>scale = scale_in × scale_w</w:t>
            </w:r>
          </w:p>
        </w:tc>
      </w:tr>
    </w:tbl>
    <w:p>
      <w:pPr>
        <w:ind w:firstLine="560"/>
      </w:pPr>
      <w:r>
        <w:rPr>
          <w:b w:val="0"/>
          <w:i w:val="0"/>
        </w:rPr>
        <w:t>Lý do trọng số bị ép đối xứng được nêu trực tiếp trong đặc tả: “Weight values are multiplied by dynamic input and activation values. This means that there is an unavoidable runtime cost of multiplying the zero-point of the weight with the activation value. By enforcing that zero-point is 0 we can avoid this cost.” Nói cách khác, nếu zero_point của trọng số khác 0 thì phép tích chập sinh thêm một số hạng chéo phải tính trong thời gian chạy.</w:t>
      </w:r>
    </w:p>
    <w:p>
      <w:pPr>
        <w:ind w:firstLine="560"/>
      </w:pPr>
      <w:r>
        <w:rPr>
          <w:b w:val="0"/>
          <w:i w:val="0"/>
        </w:rPr>
        <w:t>Ngược lại, activation được phép bất đối xứng. Đặc tả giải thích: “Many activations are asymmetric in nature and a zero-point is an relatively inexpensive way to effectively get up to an extra binary bit of precision.” Đây là điểm cần lưu ý khi đối chiếu, vì đề tài không áp dụng lựa chọn này.</w:t>
      </w:r>
    </w:p>
    <w:p>
      <w:pPr>
        <w:pStyle w:val="Heading3"/>
      </w:pPr>
      <w:r>
        <w:rPr>
          <w:rFonts w:ascii="Times New Roman" w:hAnsi="Times New Roman"/>
          <w:color w:val="000000"/>
        </w:rPr>
        <w:t>1.3. Quy tắc đối với bias</w:t>
      </w:r>
    </w:p>
    <w:p>
      <w:pPr>
        <w:ind w:firstLine="560"/>
      </w:pPr>
      <w:r>
        <w:rPr>
          <w:b w:val="0"/>
          <w:i w:val="0"/>
        </w:rPr>
        <w:t>Đặc tả yêu cầu bias được lưu ở INT32 với hệ số tỉ lệ bằng tích hai hệ số tỉ lệ đầu vào: “(scale, zero_point) = (input0_scale × input1_scale, 0)”. Ràng buộc này bảo đảm bias cùng đơn vị với bộ tích luỹ trước khi cộng.</w:t>
      </w:r>
    </w:p>
    <w:p>
      <w:pPr>
        <w:pStyle w:val="Heading2"/>
      </w:pPr>
      <w:r>
        <w:rPr>
          <w:rFonts w:ascii="Times New Roman" w:hAnsi="Times New Roman"/>
          <w:color w:val="000000"/>
        </w:rPr>
        <w:t>2. Phương pháp lượng tử hoá thực hiện trong đề tài</w:t>
      </w:r>
    </w:p>
    <w:p>
      <w:pPr>
        <w:pStyle w:val="Heading3"/>
      </w:pPr>
      <w:r>
        <w:rPr>
          <w:rFonts w:ascii="Times New Roman" w:hAnsi="Times New Roman"/>
          <w:color w:val="000000"/>
        </w:rPr>
        <w:t>2.1. Hai ràng buộc bổ sung</w:t>
      </w:r>
    </w:p>
    <w:p>
      <w:pPr>
        <w:ind w:firstLine="560"/>
      </w:pPr>
      <w:r>
        <w:rPr>
          <w:b w:val="0"/>
          <w:i w:val="0"/>
        </w:rPr>
        <w:t>Đề tài xuất phát từ ánh xạ affine (A.1) và bổ sung hai ràng buộc, cả hai đều xuất phát từ chi phí hiện thực trên FPGA.</w:t>
      </w:r>
    </w:p>
    <w:p>
      <w:pPr>
        <w:ind w:firstLine="560"/>
      </w:pPr>
      <w:r>
        <w:rPr>
          <w:b w:val="0"/>
          <w:i w:val="0"/>
        </w:rPr>
        <w:t>Ràng buộc 1 — Đối xứng toàn cục: zero_point = 0 cho mọi tensor, kể cả activation. Nhờ đó (A.1) rút gọn còn real = q × scale, và đường tích luỹ trong khối cp_block không cần thêm nhánh cộng bù zero_point.</w:t>
      </w:r>
    </w:p>
    <w:p>
      <w:pPr>
        <w:ind w:firstLine="560"/>
      </w:pPr>
      <w:r>
        <w:rPr>
          <w:b w:val="0"/>
          <w:i w:val="0"/>
        </w:rPr>
        <w:t>Ràng buộc 2 — Thang luỹ thừa của hai: scale = 2^(−nb) với nb nguyên. Nhờ đó phép tái tỉ lệ suy biến thành một phép dịch phải, loại bỏ hoàn toàn bộ nhân khỏi đường tái tỉ lệ.</w:t>
      </w:r>
    </w:p>
    <w:p>
      <w:pPr>
        <w:ind w:firstLine="560"/>
      </w:pPr>
      <w:r>
        <w:rPr>
          <w:b w:val="0"/>
          <w:i w:val="0"/>
        </w:rPr>
        <w:t>Kết hợp hai ràng buộc, phép lượng tử hoá của đề tài là:</w:t>
      </w:r>
    </w:p>
    <w:p>
      <w:pPr>
        <w:tabs>
          <w:tab w:pos="4677" w:val="left"/>
          <w:tab w:pos="9074" w:val="left"/>
        </w:tabs>
        <w:spacing w:before="120" w:after="120"/>
        <w:ind w:firstLine="0"/>
      </w:pPr>
      <w:r>
        <w:rPr>
          <w:i/>
        </w:rPr>
        <w:tab/>
        <w:t>q = clamp( round( r × 2^s ), −127, 127 )</w:t>
        <w:tab/>
        <w:t>(A.2)</w:t>
      </w:r>
    </w:p>
    <w:p>
      <w:pPr>
        <w:ind w:firstLine="560"/>
      </w:pPr>
      <w:r>
        <w:rPr>
          <w:b w:val="0"/>
          <w:i w:val="0"/>
        </w:rPr>
        <w:t>với hệ số dịch bit chọn theo biên độ lớn nhất của tensor:</w:t>
      </w:r>
    </w:p>
    <w:p>
      <w:pPr>
        <w:tabs>
          <w:tab w:pos="4677" w:val="left"/>
          <w:tab w:pos="9074" w:val="left"/>
        </w:tabs>
        <w:spacing w:before="120" w:after="120"/>
        <w:ind w:firstLine="0"/>
      </w:pPr>
      <w:r>
        <w:rPr>
          <w:i/>
        </w:rPr>
        <w:tab/>
        <w:t>s = floor( log₂( 127 / max|T| ) )</w:t>
        <w:tab/>
        <w:t>(A.3)</w:t>
      </w:r>
    </w:p>
    <w:p>
      <w:pPr>
        <w:pStyle w:val="Heading3"/>
      </w:pPr>
      <w:r>
        <w:rPr>
          <w:rFonts w:ascii="Times New Roman" w:hAnsi="Times New Roman"/>
          <w:color w:val="000000"/>
        </w:rPr>
        <w:t>2.2. Đường ống số học</w:t>
      </w:r>
    </w:p>
    <w:p>
      <w:pPr>
        <w:ind w:firstLine="560"/>
      </w:pPr>
      <w:r>
        <w:rPr>
          <w:b w:val="0"/>
          <w:i w:val="0"/>
        </w:rPr>
        <w:t>Đường ống INT8 gồm bốn bước, hiện thực đồng nhất giữa mô hình Python và mạch RTL:</w:t>
      </w:r>
    </w:p>
    <w:p>
      <w:pPr>
        <w:tabs>
          <w:tab w:pos="4677" w:val="left"/>
          <w:tab w:pos="9074" w:val="left"/>
        </w:tabs>
        <w:spacing w:before="120" w:after="120"/>
        <w:ind w:firstLine="0"/>
      </w:pPr>
      <w:r>
        <w:rPr>
          <w:i/>
        </w:rPr>
        <w:tab/>
        <w:t>x_q = clamp( round( x × 2^s_in ), −127, 127 )</w:t>
        <w:tab/>
        <w:t>(A.4)</w:t>
      </w:r>
    </w:p>
    <w:p>
      <w:pPr>
        <w:tabs>
          <w:tab w:pos="4677" w:val="left"/>
          <w:tab w:pos="9074" w:val="left"/>
        </w:tabs>
        <w:spacing w:before="120" w:after="120"/>
        <w:ind w:firstLine="0"/>
      </w:pPr>
      <w:r>
        <w:rPr>
          <w:i/>
        </w:rPr>
        <w:tab/>
        <w:t>w_q = clamp( round( w × 2^s_w ), −127, 127 )</w:t>
        <w:tab/>
        <w:t>(A.5)</w:t>
      </w:r>
    </w:p>
    <w:p>
      <w:pPr>
        <w:tabs>
          <w:tab w:pos="4677" w:val="left"/>
          <w:tab w:pos="9074" w:val="left"/>
        </w:tabs>
        <w:spacing w:before="120" w:after="120"/>
        <w:ind w:firstLine="0"/>
      </w:pPr>
      <w:r>
        <w:rPr>
          <w:i/>
        </w:rPr>
        <w:tab/>
        <w:t>a = Σ w_q · x_q + b_q ,  với  b_q = round( b × 2^nb )</w:t>
        <w:tab/>
        <w:t>(A.6)</w:t>
      </w:r>
    </w:p>
    <w:p>
      <w:pPr>
        <w:tabs>
          <w:tab w:pos="4677" w:val="left"/>
          <w:tab w:pos="9074" w:val="left"/>
        </w:tabs>
        <w:spacing w:before="120" w:after="120"/>
        <w:ind w:firstLine="0"/>
      </w:pPr>
      <w:r>
        <w:rPr>
          <w:i/>
        </w:rPr>
        <w:tab/>
        <w:t>y = clamp( ( a + 2^(nb−1) ) &gt;&gt; nb , −127, 127 )</w:t>
        <w:tab/>
        <w:t>(A.7)</w:t>
      </w:r>
    </w:p>
    <w:p>
      <w:pPr>
        <w:ind w:firstLine="560"/>
      </w:pPr>
      <w:r>
        <w:rPr>
          <w:b w:val="0"/>
          <w:i w:val="0"/>
        </w:rPr>
        <w:t>Trong đó nb = s_in + s_w, tức thang của bộ tích luỹ bằng tích thang đầu vào và thang trọng số. Công thức (A.7) là phép làm tròn tới số nguyên gần nhất (round-half-up), không phải cắt bỏ phần thập phân.</w:t>
      </w:r>
    </w:p>
    <w:p>
      <w:pPr>
        <w:spacing w:before="120" w:after="80"/>
        <w:ind w:firstLine="0"/>
        <w:jc w:val="center"/>
      </w:pPr>
      <w:r>
        <w:rPr>
          <w:i/>
          <w:sz w:val="24"/>
        </w:rPr>
        <w:t>Bảng A.2. Tham số lượng tử hoá theo từng tầng (bản hiện hành).</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3402"/>
          </w:tcPr>
          <w:p>
            <w:pPr>
              <w:spacing w:line="240" w:lineRule="auto"/>
              <w:ind w:firstLine="0"/>
              <w:jc w:val="center"/>
            </w:pPr>
            <w:r/>
            <w:r>
              <w:rPr>
                <w:rFonts w:ascii="Times New Roman" w:hAnsi="Times New Roman"/>
                <w:b/>
                <w:sz w:val="22"/>
              </w:rPr>
              <w:t>Tham số</w:t>
            </w:r>
          </w:p>
        </w:tc>
        <w:tc>
          <w:tcPr>
            <w:tcW w:type="dxa" w:w="1077"/>
          </w:tcPr>
          <w:p>
            <w:pPr>
              <w:spacing w:line="240" w:lineRule="auto"/>
              <w:ind w:firstLine="0"/>
              <w:jc w:val="center"/>
            </w:pPr>
            <w:r/>
            <w:r>
              <w:rPr>
                <w:rFonts w:ascii="Times New Roman" w:hAnsi="Times New Roman"/>
                <w:b/>
                <w:sz w:val="22"/>
              </w:rPr>
              <w:t>Conv1</w:t>
            </w:r>
          </w:p>
        </w:tc>
        <w:tc>
          <w:tcPr>
            <w:tcW w:type="dxa" w:w="1077"/>
          </w:tcPr>
          <w:p>
            <w:pPr>
              <w:spacing w:line="240" w:lineRule="auto"/>
              <w:ind w:firstLine="0"/>
              <w:jc w:val="center"/>
            </w:pPr>
            <w:r/>
            <w:r>
              <w:rPr>
                <w:rFonts w:ascii="Times New Roman" w:hAnsi="Times New Roman"/>
                <w:b/>
                <w:sz w:val="22"/>
              </w:rPr>
              <w:t>Conv2</w:t>
            </w:r>
          </w:p>
        </w:tc>
        <w:tc>
          <w:tcPr>
            <w:tcW w:type="dxa" w:w="1077"/>
          </w:tcPr>
          <w:p>
            <w:pPr>
              <w:spacing w:line="240" w:lineRule="auto"/>
              <w:ind w:firstLine="0"/>
              <w:jc w:val="center"/>
            </w:pPr>
            <w:r/>
            <w:r>
              <w:rPr>
                <w:rFonts w:ascii="Times New Roman" w:hAnsi="Times New Roman"/>
                <w:b/>
                <w:sz w:val="22"/>
              </w:rPr>
              <w:t>Conv3</w:t>
            </w:r>
          </w:p>
        </w:tc>
        <w:tc>
          <w:tcPr>
            <w:tcW w:type="dxa" w:w="1077"/>
          </w:tcPr>
          <w:p>
            <w:pPr>
              <w:spacing w:line="240" w:lineRule="auto"/>
              <w:ind w:firstLine="0"/>
              <w:jc w:val="center"/>
            </w:pPr>
            <w:r/>
            <w:r>
              <w:rPr>
                <w:rFonts w:ascii="Times New Roman" w:hAnsi="Times New Roman"/>
                <w:b/>
                <w:sz w:val="22"/>
              </w:rPr>
              <w:t>Conv4</w:t>
            </w:r>
          </w:p>
        </w:tc>
        <w:tc>
          <w:tcPr>
            <w:tcW w:type="dxa" w:w="1077"/>
          </w:tcPr>
          <w:p>
            <w:pPr>
              <w:spacing w:line="240" w:lineRule="auto"/>
              <w:ind w:firstLine="0"/>
              <w:jc w:val="center"/>
            </w:pPr>
            <w:r/>
            <w:r>
              <w:rPr>
                <w:rFonts w:ascii="Times New Roman" w:hAnsi="Times New Roman"/>
                <w:b/>
                <w:sz w:val="22"/>
              </w:rPr>
              <w:t>FC</w:t>
            </w:r>
          </w:p>
        </w:tc>
      </w:tr>
      <w:tr>
        <w:tc>
          <w:tcPr>
            <w:tcW w:type="dxa" w:w="3402"/>
          </w:tcPr>
          <w:p>
            <w:pPr>
              <w:spacing w:line="240" w:lineRule="auto"/>
              <w:ind w:firstLine="0"/>
              <w:jc w:val="left"/>
            </w:pPr>
            <w:r/>
            <w:r>
              <w:rPr>
                <w:rFonts w:ascii="Times New Roman" w:hAnsi="Times New Roman"/>
                <w:b w:val="0"/>
                <w:sz w:val="22"/>
              </w:rPr>
              <w:t>Hệ số dịch trọng số s_w</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7</w:t>
            </w:r>
          </w:p>
        </w:tc>
      </w:tr>
      <w:tr>
        <w:tc>
          <w:tcPr>
            <w:tcW w:type="dxa" w:w="3402"/>
          </w:tcPr>
          <w:p>
            <w:pPr>
              <w:spacing w:line="240" w:lineRule="auto"/>
              <w:ind w:firstLine="0"/>
              <w:jc w:val="left"/>
            </w:pPr>
            <w:r/>
            <w:r>
              <w:rPr>
                <w:rFonts w:ascii="Times New Roman" w:hAnsi="Times New Roman"/>
                <w:b w:val="0"/>
                <w:sz w:val="22"/>
              </w:rPr>
              <w:t>Hệ số dịch tái tỉ lệ nb</w:t>
            </w:r>
          </w:p>
        </w:tc>
        <w:tc>
          <w:tcPr>
            <w:tcW w:type="dxa" w:w="1077"/>
          </w:tcPr>
          <w:p>
            <w:pPr>
              <w:spacing w:line="240" w:lineRule="auto"/>
              <w:ind w:firstLine="0"/>
              <w:jc w:val="center"/>
            </w:pPr>
            <w:r/>
            <w:r>
              <w:rPr>
                <w:rFonts w:ascii="Times New Roman" w:hAnsi="Times New Roman"/>
                <w:b w:val="0"/>
                <w:sz w:val="22"/>
              </w:rPr>
              <w:t>8</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0</w:t>
            </w:r>
          </w:p>
        </w:tc>
      </w:tr>
    </w:tbl>
    <w:p>
      <w:pPr>
        <w:ind w:firstLine="560"/>
      </w:pPr>
      <w:r>
        <w:rPr>
          <w:b w:val="0"/>
          <w:i w:val="0"/>
        </w:rPr>
        <w:t>Hệ số dịch đầu vào s_in = 2. Giá trị nb trong bảng khớp với tham số được nạp cứng trong khối điều khiển cnn_controller của bản RTL nộp kèm.</w:t>
      </w:r>
    </w:p>
    <w:p>
      <w:pPr>
        <w:pStyle w:val="Heading2"/>
      </w:pPr>
      <w:r>
        <w:rPr>
          <w:rFonts w:ascii="Times New Roman" w:hAnsi="Times New Roman"/>
          <w:color w:val="000000"/>
        </w:rPr>
        <w:t>3. Đối chiếu hai phương pháp</w:t>
      </w:r>
    </w:p>
    <w:p>
      <w:pPr>
        <w:pStyle w:val="Heading3"/>
      </w:pPr>
      <w:r>
        <w:rPr>
          <w:rFonts w:ascii="Times New Roman" w:hAnsi="Times New Roman"/>
          <w:color w:val="000000"/>
        </w:rPr>
        <w:t>3.1. Những điểm tuân thủ đặc tả</w:t>
      </w:r>
    </w:p>
    <w:p>
      <w:pPr>
        <w:ind w:firstLine="560"/>
      </w:pPr>
      <w:r>
        <w:rPr>
          <w:b w:val="0"/>
          <w:i w:val="0"/>
        </w:rPr>
        <w:t>Bốn ràng buộc cốt lõi của đặc tả đều được đề tài tuân thủ, trình bày ở Bảng A.3.</w:t>
      </w:r>
    </w:p>
    <w:p>
      <w:pPr>
        <w:spacing w:before="120" w:after="80"/>
        <w:ind w:firstLine="0"/>
        <w:jc w:val="center"/>
      </w:pPr>
      <w:r>
        <w:rPr>
          <w:i/>
          <w:sz w:val="24"/>
        </w:rPr>
        <w:t>Bảng A.3. Các điểm tuân thủ đặc tả TensorFlow Lite.</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81"/>
          </w:tcPr>
          <w:p>
            <w:pPr>
              <w:spacing w:line="240" w:lineRule="auto"/>
              <w:ind w:firstLine="0"/>
              <w:jc w:val="center"/>
            </w:pPr>
            <w:r/>
            <w:r>
              <w:rPr>
                <w:rFonts w:ascii="Times New Roman" w:hAnsi="Times New Roman"/>
                <w:b/>
                <w:sz w:val="22"/>
              </w:rPr>
              <w:t>Hạng mục</w:t>
            </w:r>
          </w:p>
        </w:tc>
        <w:tc>
          <w:tcPr>
            <w:tcW w:type="dxa" w:w="2494"/>
          </w:tcPr>
          <w:p>
            <w:pPr>
              <w:spacing w:line="240" w:lineRule="auto"/>
              <w:ind w:firstLine="0"/>
              <w:jc w:val="center"/>
            </w:pPr>
            <w:r/>
            <w:r>
              <w:rPr>
                <w:rFonts w:ascii="Times New Roman" w:hAnsi="Times New Roman"/>
                <w:b/>
                <w:sz w:val="22"/>
              </w:rPr>
              <w:t>Đặc tả TensorFlow Lite</w:t>
            </w:r>
          </w:p>
        </w:tc>
        <w:tc>
          <w:tcPr>
            <w:tcW w:type="dxa" w:w="1871"/>
          </w:tcPr>
          <w:p>
            <w:pPr>
              <w:spacing w:line="240" w:lineRule="auto"/>
              <w:ind w:firstLine="0"/>
              <w:jc w:val="center"/>
            </w:pPr>
            <w:r/>
            <w:r>
              <w:rPr>
                <w:rFonts w:ascii="Times New Roman" w:hAnsi="Times New Roman"/>
                <w:b/>
                <w:sz w:val="22"/>
              </w:rPr>
              <w:t>Đề tài</w:t>
            </w:r>
          </w:p>
        </w:tc>
        <w:tc>
          <w:tcPr>
            <w:tcW w:type="dxa" w:w="1701"/>
          </w:tcPr>
          <w:p>
            <w:pPr>
              <w:spacing w:line="240" w:lineRule="auto"/>
              <w:ind w:firstLine="0"/>
              <w:jc w:val="center"/>
            </w:pPr>
            <w:r/>
            <w:r>
              <w:rPr>
                <w:rFonts w:ascii="Times New Roman" w:hAnsi="Times New Roman"/>
                <w:b/>
                <w:sz w:val="22"/>
              </w:rPr>
              <w:t>Kết luận</w:t>
            </w:r>
          </w:p>
        </w:tc>
      </w:tr>
      <w:tr>
        <w:tc>
          <w:tcPr>
            <w:tcW w:type="dxa" w:w="2381"/>
          </w:tcPr>
          <w:p>
            <w:pPr>
              <w:spacing w:line="240" w:lineRule="auto"/>
              <w:ind w:firstLine="0"/>
              <w:jc w:val="left"/>
            </w:pPr>
            <w:r/>
            <w:r>
              <w:rPr>
                <w:rFonts w:ascii="Times New Roman" w:hAnsi="Times New Roman"/>
                <w:b w:val="0"/>
                <w:sz w:val="22"/>
              </w:rPr>
              <w:t>zero_point của trọng số</w:t>
            </w:r>
          </w:p>
        </w:tc>
        <w:tc>
          <w:tcPr>
            <w:tcW w:type="dxa" w:w="2494"/>
          </w:tcPr>
          <w:p>
            <w:pPr>
              <w:spacing w:line="240" w:lineRule="auto"/>
              <w:ind w:firstLine="0"/>
              <w:jc w:val="center"/>
            </w:pPr>
            <w:r/>
            <w:r>
              <w:rPr>
                <w:rFonts w:ascii="Times New Roman" w:hAnsi="Times New Roman"/>
                <w:b w:val="0"/>
                <w:sz w:val="22"/>
              </w:rPr>
              <w:t>= 0 (bắt buộc)</w:t>
            </w:r>
          </w:p>
        </w:tc>
        <w:tc>
          <w:tcPr>
            <w:tcW w:type="dxa" w:w="1871"/>
          </w:tcPr>
          <w:p>
            <w:pPr>
              <w:spacing w:line="240" w:lineRule="auto"/>
              <w:ind w:firstLine="0"/>
              <w:jc w:val="center"/>
            </w:pPr>
            <w:r/>
            <w:r>
              <w:rPr>
                <w:rFonts w:ascii="Times New Roman" w:hAnsi="Times New Roman"/>
                <w:b w:val="0"/>
                <w:sz w:val="22"/>
              </w:rPr>
              <w:t>= 0</w:t>
            </w:r>
          </w:p>
        </w:tc>
        <w:tc>
          <w:tcPr>
            <w:tcW w:type="dxa" w:w="1701"/>
          </w:tcPr>
          <w:p>
            <w:pPr>
              <w:spacing w:line="240" w:lineRule="auto"/>
              <w:ind w:firstLine="0"/>
              <w:jc w:val="center"/>
            </w:pPr>
            <w:r/>
            <w:r>
              <w:rPr>
                <w:rFonts w:ascii="Times New Roman" w:hAnsi="Times New Roman"/>
                <w:b/>
                <w:sz w:val="22"/>
              </w:rPr>
              <w:t>Tuân thủ</w:t>
            </w:r>
          </w:p>
        </w:tc>
      </w:tr>
      <w:tr>
        <w:tc>
          <w:tcPr>
            <w:tcW w:type="dxa" w:w="2381"/>
          </w:tcPr>
          <w:p>
            <w:pPr>
              <w:spacing w:line="240" w:lineRule="auto"/>
              <w:ind w:firstLine="0"/>
              <w:jc w:val="left"/>
            </w:pPr>
            <w:r/>
            <w:r>
              <w:rPr>
                <w:rFonts w:ascii="Times New Roman" w:hAnsi="Times New Roman"/>
                <w:b w:val="0"/>
                <w:sz w:val="22"/>
              </w:rPr>
              <w:t>Dải giá trị trọng số</w:t>
            </w:r>
          </w:p>
        </w:tc>
        <w:tc>
          <w:tcPr>
            <w:tcW w:type="dxa" w:w="2494"/>
          </w:tcPr>
          <w:p>
            <w:pPr>
              <w:spacing w:line="240" w:lineRule="auto"/>
              <w:ind w:firstLine="0"/>
              <w:jc w:val="center"/>
            </w:pPr>
            <w:r/>
            <w:r>
              <w:rPr>
                <w:rFonts w:ascii="Times New Roman" w:hAnsi="Times New Roman"/>
                <w:b w:val="0"/>
                <w:sz w:val="22"/>
              </w:rPr>
              <w:t>[−127, 127]</w:t>
            </w:r>
          </w:p>
        </w:tc>
        <w:tc>
          <w:tcPr>
            <w:tcW w:type="dxa" w:w="1871"/>
          </w:tcPr>
          <w:p>
            <w:pPr>
              <w:spacing w:line="240" w:lineRule="auto"/>
              <w:ind w:firstLine="0"/>
              <w:jc w:val="center"/>
            </w:pPr>
            <w:r/>
            <w:r>
              <w:rPr>
                <w:rFonts w:ascii="Times New Roman" w:hAnsi="Times New Roman"/>
                <w:b w:val="0"/>
                <w:sz w:val="22"/>
              </w:rPr>
              <w:t>[−127, 127]</w:t>
            </w:r>
          </w:p>
        </w:tc>
        <w:tc>
          <w:tcPr>
            <w:tcW w:type="dxa" w:w="1701"/>
          </w:tcPr>
          <w:p>
            <w:pPr>
              <w:spacing w:line="240" w:lineRule="auto"/>
              <w:ind w:firstLine="0"/>
              <w:jc w:val="center"/>
            </w:pPr>
            <w:r/>
            <w:r>
              <w:rPr>
                <w:rFonts w:ascii="Times New Roman" w:hAnsi="Times New Roman"/>
                <w:b/>
                <w:sz w:val="22"/>
              </w:rPr>
              <w:t>Tuân thủ</w:t>
            </w:r>
          </w:p>
        </w:tc>
      </w:tr>
      <w:tr>
        <w:tc>
          <w:tcPr>
            <w:tcW w:type="dxa" w:w="2381"/>
          </w:tcPr>
          <w:p>
            <w:pPr>
              <w:spacing w:line="240" w:lineRule="auto"/>
              <w:ind w:firstLine="0"/>
              <w:jc w:val="left"/>
            </w:pPr>
            <w:r/>
            <w:r>
              <w:rPr>
                <w:rFonts w:ascii="Times New Roman" w:hAnsi="Times New Roman"/>
                <w:b w:val="0"/>
                <w:sz w:val="22"/>
              </w:rPr>
              <w:t>Kiểu dữ liệu bias</w:t>
            </w:r>
          </w:p>
        </w:tc>
        <w:tc>
          <w:tcPr>
            <w:tcW w:type="dxa" w:w="2494"/>
          </w:tcPr>
          <w:p>
            <w:pPr>
              <w:spacing w:line="240" w:lineRule="auto"/>
              <w:ind w:firstLine="0"/>
              <w:jc w:val="center"/>
            </w:pPr>
            <w:r/>
            <w:r>
              <w:rPr>
                <w:rFonts w:ascii="Times New Roman" w:hAnsi="Times New Roman"/>
                <w:b w:val="0"/>
                <w:sz w:val="22"/>
              </w:rPr>
              <w:t>int32</w:t>
            </w:r>
          </w:p>
        </w:tc>
        <w:tc>
          <w:tcPr>
            <w:tcW w:type="dxa" w:w="1871"/>
          </w:tcPr>
          <w:p>
            <w:pPr>
              <w:spacing w:line="240" w:lineRule="auto"/>
              <w:ind w:firstLine="0"/>
              <w:jc w:val="center"/>
            </w:pPr>
            <w:r/>
            <w:r>
              <w:rPr>
                <w:rFonts w:ascii="Times New Roman" w:hAnsi="Times New Roman"/>
                <w:b w:val="0"/>
                <w:sz w:val="22"/>
              </w:rPr>
              <w:t>int32</w:t>
            </w:r>
          </w:p>
        </w:tc>
        <w:tc>
          <w:tcPr>
            <w:tcW w:type="dxa" w:w="1701"/>
          </w:tcPr>
          <w:p>
            <w:pPr>
              <w:spacing w:line="240" w:lineRule="auto"/>
              <w:ind w:firstLine="0"/>
              <w:jc w:val="center"/>
            </w:pPr>
            <w:r/>
            <w:r>
              <w:rPr>
                <w:rFonts w:ascii="Times New Roman" w:hAnsi="Times New Roman"/>
                <w:b/>
                <w:sz w:val="22"/>
              </w:rPr>
              <w:t>Tuân thủ</w:t>
            </w:r>
          </w:p>
        </w:tc>
      </w:tr>
      <w:tr>
        <w:tc>
          <w:tcPr>
            <w:tcW w:type="dxa" w:w="2381"/>
          </w:tcPr>
          <w:p>
            <w:pPr>
              <w:spacing w:line="240" w:lineRule="auto"/>
              <w:ind w:firstLine="0"/>
              <w:jc w:val="left"/>
            </w:pPr>
            <w:r/>
            <w:r>
              <w:rPr>
                <w:rFonts w:ascii="Times New Roman" w:hAnsi="Times New Roman"/>
                <w:b w:val="0"/>
                <w:sz w:val="22"/>
              </w:rPr>
              <w:t>Thang của bias</w:t>
            </w:r>
          </w:p>
        </w:tc>
        <w:tc>
          <w:tcPr>
            <w:tcW w:type="dxa" w:w="2494"/>
          </w:tcPr>
          <w:p>
            <w:pPr>
              <w:spacing w:line="240" w:lineRule="auto"/>
              <w:ind w:firstLine="0"/>
              <w:jc w:val="center"/>
            </w:pPr>
            <w:r/>
            <w:r>
              <w:rPr>
                <w:rFonts w:ascii="Times New Roman" w:hAnsi="Times New Roman"/>
                <w:b w:val="0"/>
                <w:sz w:val="22"/>
              </w:rPr>
              <w:t>scale_in × scale_w</w:t>
            </w:r>
          </w:p>
        </w:tc>
        <w:tc>
          <w:tcPr>
            <w:tcW w:type="dxa" w:w="1871"/>
          </w:tcPr>
          <w:p>
            <w:pPr>
              <w:spacing w:line="240" w:lineRule="auto"/>
              <w:ind w:firstLine="0"/>
              <w:jc w:val="center"/>
            </w:pPr>
            <w:r/>
            <w:r>
              <w:rPr>
                <w:rFonts w:ascii="Times New Roman" w:hAnsi="Times New Roman"/>
                <w:b w:val="0"/>
                <w:sz w:val="22"/>
              </w:rPr>
              <w:t>2^(s_in + s_w)</w:t>
            </w:r>
          </w:p>
        </w:tc>
        <w:tc>
          <w:tcPr>
            <w:tcW w:type="dxa" w:w="1701"/>
          </w:tcPr>
          <w:p>
            <w:pPr>
              <w:spacing w:line="240" w:lineRule="auto"/>
              <w:ind w:firstLine="0"/>
              <w:jc w:val="center"/>
            </w:pPr>
            <w:r/>
            <w:r>
              <w:rPr>
                <w:rFonts w:ascii="Times New Roman" w:hAnsi="Times New Roman"/>
                <w:b/>
                <w:sz w:val="22"/>
              </w:rPr>
              <w:t>Tuân thủ</w:t>
            </w:r>
          </w:p>
        </w:tc>
      </w:tr>
    </w:tbl>
    <w:p>
      <w:pPr>
        <w:ind w:firstLine="560"/>
      </w:pPr>
      <w:r>
        <w:rPr>
          <w:b w:val="0"/>
          <w:i w:val="0"/>
        </w:rPr>
        <w:t>Riêng dòng cuối cần giải thích thêm vì hình thức hai công thức trông khác nhau. Đặc tả yêu cầu thang bias bằng tích hai thang đầu vào. Đề tài viết thang bias là 2^nb với nb = s_in + s_w. Hai cách viết là một, do 2^s_in × 2^s_w = 2^(s_in + s_w). Đề tài biểu diễn quy tắc này trong miền logarit thay vì miền tuyến tính, bản chất không đổi.</w:t>
      </w:r>
    </w:p>
    <w:p>
      <w:pPr>
        <w:pStyle w:val="Heading3"/>
      </w:pPr>
      <w:r>
        <w:rPr>
          <w:rFonts w:ascii="Times New Roman" w:hAnsi="Times New Roman"/>
          <w:color w:val="000000"/>
        </w:rPr>
        <w:t>3.2. Những điểm khác biệt có chủ đích</w:t>
      </w:r>
    </w:p>
    <w:p>
      <w:pPr>
        <w:ind w:firstLine="560"/>
      </w:pPr>
      <w:r>
        <w:rPr>
          <w:b w:val="0"/>
          <w:i w:val="0"/>
        </w:rPr>
        <w:t>Ba điểm khác biệt so với đặc tả, tất cả đều là ràng buộc chặt hơn nhằm giảm chi phí phần cứng, trình bày ở Bảng A.4.</w:t>
      </w:r>
    </w:p>
    <w:p>
      <w:pPr>
        <w:spacing w:before="120" w:after="80"/>
        <w:ind w:firstLine="0"/>
        <w:jc w:val="center"/>
      </w:pPr>
      <w:r>
        <w:rPr>
          <w:i/>
          <w:sz w:val="24"/>
        </w:rPr>
        <w:t>Bảng A.4. Các điểm khác biệt so với đặc tả và lý do.</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tcPr>
          <w:p>
            <w:pPr>
              <w:spacing w:line="240" w:lineRule="auto"/>
              <w:ind w:firstLine="0"/>
              <w:jc w:val="center"/>
            </w:pPr>
            <w:r/>
            <w:r>
              <w:rPr>
                <w:rFonts w:ascii="Times New Roman" w:hAnsi="Times New Roman"/>
                <w:b/>
                <w:sz w:val="22"/>
              </w:rPr>
              <w:t>Hạng mục</w:t>
            </w:r>
          </w:p>
        </w:tc>
        <w:tc>
          <w:tcPr>
            <w:tcW w:type="dxa" w:w="2381"/>
          </w:tcPr>
          <w:p>
            <w:pPr>
              <w:spacing w:line="240" w:lineRule="auto"/>
              <w:ind w:firstLine="0"/>
              <w:jc w:val="center"/>
            </w:pPr>
            <w:r/>
            <w:r>
              <w:rPr>
                <w:rFonts w:ascii="Times New Roman" w:hAnsi="Times New Roman"/>
                <w:b/>
                <w:sz w:val="22"/>
              </w:rPr>
              <w:t>Đặc tả</w:t>
            </w:r>
          </w:p>
        </w:tc>
        <w:tc>
          <w:tcPr>
            <w:tcW w:type="dxa" w:w="1928"/>
          </w:tcPr>
          <w:p>
            <w:pPr>
              <w:spacing w:line="240" w:lineRule="auto"/>
              <w:ind w:firstLine="0"/>
              <w:jc w:val="center"/>
            </w:pPr>
            <w:r/>
            <w:r>
              <w:rPr>
                <w:rFonts w:ascii="Times New Roman" w:hAnsi="Times New Roman"/>
                <w:b/>
                <w:sz w:val="22"/>
              </w:rPr>
              <w:t>Đề tài</w:t>
            </w:r>
          </w:p>
        </w:tc>
        <w:tc>
          <w:tcPr>
            <w:tcW w:type="dxa" w:w="2494"/>
          </w:tcPr>
          <w:p>
            <w:pPr>
              <w:spacing w:line="240" w:lineRule="auto"/>
              <w:ind w:firstLine="0"/>
              <w:jc w:val="center"/>
            </w:pPr>
            <w:r/>
            <w:r>
              <w:rPr>
                <w:rFonts w:ascii="Times New Roman" w:hAnsi="Times New Roman"/>
                <w:b/>
                <w:sz w:val="22"/>
              </w:rPr>
              <w:t>Lý do</w:t>
            </w:r>
          </w:p>
        </w:tc>
      </w:tr>
      <w:tr>
        <w:tc>
          <w:tcPr>
            <w:tcW w:type="dxa" w:w="2268"/>
          </w:tcPr>
          <w:p>
            <w:pPr>
              <w:spacing w:line="240" w:lineRule="auto"/>
              <w:ind w:firstLine="0"/>
              <w:jc w:val="left"/>
            </w:pPr>
            <w:r/>
            <w:r>
              <w:rPr>
                <w:rFonts w:ascii="Times New Roman" w:hAnsi="Times New Roman"/>
                <w:b w:val="0"/>
                <w:sz w:val="22"/>
              </w:rPr>
              <w:t>Hệ số tỉ lệ</w:t>
            </w:r>
          </w:p>
        </w:tc>
        <w:tc>
          <w:tcPr>
            <w:tcW w:type="dxa" w:w="2381"/>
          </w:tcPr>
          <w:p>
            <w:pPr>
              <w:spacing w:line="240" w:lineRule="auto"/>
              <w:ind w:firstLine="0"/>
              <w:jc w:val="center"/>
            </w:pPr>
            <w:r/>
            <w:r>
              <w:rPr>
                <w:rFonts w:ascii="Times New Roman" w:hAnsi="Times New Roman"/>
                <w:b w:val="0"/>
                <w:sz w:val="22"/>
              </w:rPr>
              <w:t>số thực dương bất kỳ</w:t>
            </w:r>
          </w:p>
        </w:tc>
        <w:tc>
          <w:tcPr>
            <w:tcW w:type="dxa" w:w="1928"/>
          </w:tcPr>
          <w:p>
            <w:pPr>
              <w:spacing w:line="240" w:lineRule="auto"/>
              <w:ind w:firstLine="0"/>
              <w:jc w:val="center"/>
            </w:pPr>
            <w:r/>
            <w:r>
              <w:rPr>
                <w:rFonts w:ascii="Times New Roman" w:hAnsi="Times New Roman"/>
                <w:b w:val="0"/>
                <w:sz w:val="22"/>
              </w:rPr>
              <w:t>luỹ thừa của hai</w:t>
            </w:r>
          </w:p>
        </w:tc>
        <w:tc>
          <w:tcPr>
            <w:tcW w:type="dxa" w:w="2494"/>
          </w:tcPr>
          <w:p>
            <w:pPr>
              <w:spacing w:line="240" w:lineRule="auto"/>
              <w:ind w:firstLine="0"/>
              <w:jc w:val="center"/>
            </w:pPr>
            <w:r/>
            <w:r>
              <w:rPr>
                <w:rFonts w:ascii="Times New Roman" w:hAnsi="Times New Roman"/>
                <w:b w:val="0"/>
                <w:sz w:val="22"/>
              </w:rPr>
              <w:t>Tái tỉ lệ không cần bộ nhân</w:t>
            </w:r>
          </w:p>
        </w:tc>
      </w:tr>
      <w:tr>
        <w:tc>
          <w:tcPr>
            <w:tcW w:type="dxa" w:w="2268"/>
          </w:tcPr>
          <w:p>
            <w:pPr>
              <w:spacing w:line="240" w:lineRule="auto"/>
              <w:ind w:firstLine="0"/>
              <w:jc w:val="left"/>
            </w:pPr>
            <w:r/>
            <w:r>
              <w:rPr>
                <w:rFonts w:ascii="Times New Roman" w:hAnsi="Times New Roman"/>
                <w:b w:val="0"/>
                <w:sz w:val="22"/>
              </w:rPr>
              <w:t>zero_point activation</w:t>
            </w:r>
          </w:p>
        </w:tc>
        <w:tc>
          <w:tcPr>
            <w:tcW w:type="dxa" w:w="2381"/>
          </w:tcPr>
          <w:p>
            <w:pPr>
              <w:spacing w:line="240" w:lineRule="auto"/>
              <w:ind w:firstLine="0"/>
              <w:jc w:val="center"/>
            </w:pPr>
            <w:r/>
            <w:r>
              <w:rPr>
                <w:rFonts w:ascii="Times New Roman" w:hAnsi="Times New Roman"/>
                <w:b w:val="0"/>
                <w:sz w:val="22"/>
              </w:rPr>
              <w:t>tự do (bất đối xứng)</w:t>
            </w:r>
          </w:p>
        </w:tc>
        <w:tc>
          <w:tcPr>
            <w:tcW w:type="dxa" w:w="1928"/>
          </w:tcPr>
          <w:p>
            <w:pPr>
              <w:spacing w:line="240" w:lineRule="auto"/>
              <w:ind w:firstLine="0"/>
              <w:jc w:val="center"/>
            </w:pPr>
            <w:r/>
            <w:r>
              <w:rPr>
                <w:rFonts w:ascii="Times New Roman" w:hAnsi="Times New Roman"/>
                <w:b w:val="0"/>
                <w:sz w:val="22"/>
              </w:rPr>
              <w:t>= 0 (đối xứng)</w:t>
            </w:r>
          </w:p>
        </w:tc>
        <w:tc>
          <w:tcPr>
            <w:tcW w:type="dxa" w:w="2494"/>
          </w:tcPr>
          <w:p>
            <w:pPr>
              <w:spacing w:line="240" w:lineRule="auto"/>
              <w:ind w:firstLine="0"/>
              <w:jc w:val="center"/>
            </w:pPr>
            <w:r/>
            <w:r>
              <w:rPr>
                <w:rFonts w:ascii="Times New Roman" w:hAnsi="Times New Roman"/>
                <w:b w:val="0"/>
                <w:sz w:val="22"/>
              </w:rPr>
              <w:t>Bỏ nhánh cộng bù zero_point</w:t>
            </w:r>
          </w:p>
        </w:tc>
      </w:tr>
      <w:tr>
        <w:tc>
          <w:tcPr>
            <w:tcW w:type="dxa" w:w="2268"/>
          </w:tcPr>
          <w:p>
            <w:pPr>
              <w:spacing w:line="240" w:lineRule="auto"/>
              <w:ind w:firstLine="0"/>
              <w:jc w:val="left"/>
            </w:pPr>
            <w:r/>
            <w:r>
              <w:rPr>
                <w:rFonts w:ascii="Times New Roman" w:hAnsi="Times New Roman"/>
                <w:b w:val="0"/>
                <w:sz w:val="22"/>
              </w:rPr>
              <w:t>Mức áp dụng của trọng số</w:t>
            </w:r>
          </w:p>
        </w:tc>
        <w:tc>
          <w:tcPr>
            <w:tcW w:type="dxa" w:w="2381"/>
          </w:tcPr>
          <w:p>
            <w:pPr>
              <w:spacing w:line="240" w:lineRule="auto"/>
              <w:ind w:firstLine="0"/>
              <w:jc w:val="center"/>
            </w:pPr>
            <w:r/>
            <w:r>
              <w:rPr>
                <w:rFonts w:ascii="Times New Roman" w:hAnsi="Times New Roman"/>
                <w:b w:val="0"/>
                <w:sz w:val="22"/>
              </w:rPr>
              <w:t>per-axis hoặc per-tensor</w:t>
            </w:r>
          </w:p>
        </w:tc>
        <w:tc>
          <w:tcPr>
            <w:tcW w:type="dxa" w:w="1928"/>
          </w:tcPr>
          <w:p>
            <w:pPr>
              <w:spacing w:line="240" w:lineRule="auto"/>
              <w:ind w:firstLine="0"/>
              <w:jc w:val="center"/>
            </w:pPr>
            <w:r/>
            <w:r>
              <w:rPr>
                <w:rFonts w:ascii="Times New Roman" w:hAnsi="Times New Roman"/>
                <w:b w:val="0"/>
                <w:sz w:val="22"/>
              </w:rPr>
              <w:t>per-tensor</w:t>
            </w:r>
          </w:p>
        </w:tc>
        <w:tc>
          <w:tcPr>
            <w:tcW w:type="dxa" w:w="2494"/>
          </w:tcPr>
          <w:p>
            <w:pPr>
              <w:spacing w:line="240" w:lineRule="auto"/>
              <w:ind w:firstLine="0"/>
              <w:jc w:val="center"/>
            </w:pPr>
            <w:r/>
            <w:r>
              <w:rPr>
                <w:rFonts w:ascii="Times New Roman" w:hAnsi="Times New Roman"/>
                <w:b w:val="0"/>
                <w:sz w:val="22"/>
              </w:rPr>
              <w:t>Tám PE dùng chung một bộ dịch</w:t>
            </w:r>
          </w:p>
        </w:tc>
      </w:tr>
    </w:tbl>
    <w:p>
      <w:pPr>
        <w:ind w:firstLine="560"/>
      </w:pPr>
      <w:r>
        <w:rPr>
          <w:b w:val="0"/>
          <w:i w:val="0"/>
        </w:rPr>
        <w:t>Cần lưu ý mức độ của từng khác biệt là khác nhau. Đặc tả cho phép trọng số áp dụng per-axis hoặc per-tensor — nguyên văn: “Per-axis (aka per-channel in Conv ops) or per-tensor weights are represented by int8 two’s complement values in the range [−127, 127]”. Do đó lựa chọn per-tensor của đề tài vẫn nằm trong phạm vi đặc tả cho phép, chỉ là không dùng phương án mịn hơn. Ngược lại, việc ép zero_point của activation về 0 là khác biệt thực sự so với đặc tả.</w:t>
      </w:r>
    </w:p>
    <w:p>
      <w:pPr>
        <w:pStyle w:val="Heading3"/>
      </w:pPr>
      <w:r>
        <w:rPr>
          <w:rFonts w:ascii="Times New Roman" w:hAnsi="Times New Roman"/>
          <w:color w:val="000000"/>
        </w:rPr>
        <w:t>3.3. Chi phí đo được của ràng buộc luỹ thừa của hai</w:t>
      </w:r>
    </w:p>
    <w:p>
      <w:pPr>
        <w:ind w:firstLine="560"/>
      </w:pPr>
      <w:r>
        <w:rPr>
          <w:b w:val="0"/>
          <w:i w:val="0"/>
        </w:rPr>
        <w:t>Chi phí của Ràng buộc 2 được đo bằng thực nghiệm đối chứng: giữ nguyên mọi yếu tố khác và chỉ thay thang luỹ thừa của hai bằng thang tổng quát. Kết quả ở Bảng A.5.</w:t>
      </w:r>
    </w:p>
    <w:p>
      <w:pPr>
        <w:spacing w:before="120" w:after="80"/>
        <w:ind w:firstLine="0"/>
        <w:jc w:val="center"/>
      </w:pPr>
      <w:r>
        <w:rPr>
          <w:i/>
          <w:sz w:val="24"/>
        </w:rPr>
        <w:t>Bảng A.5. Chi phí của ràng buộc luỹ thừa của hai (tập Chapman, đánh giá khớp bit).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628"/>
          </w:tcPr>
          <w:p>
            <w:pPr>
              <w:spacing w:line="240" w:lineRule="auto"/>
              <w:ind w:firstLine="0"/>
              <w:jc w:val="center"/>
            </w:pPr>
            <w:r/>
            <w:r>
              <w:rPr>
                <w:rFonts w:ascii="Times New Roman" w:hAnsi="Times New Roman"/>
                <w:b/>
                <w:sz w:val="22"/>
              </w:rPr>
              <w:t>Phương án</w:t>
            </w:r>
          </w:p>
        </w:tc>
        <w:tc>
          <w:tcPr>
            <w:tcW w:type="dxa" w:w="1928"/>
          </w:tcPr>
          <w:p>
            <w:pPr>
              <w:spacing w:line="240" w:lineRule="auto"/>
              <w:ind w:firstLine="0"/>
              <w:jc w:val="center"/>
            </w:pPr>
            <w:r/>
            <w:r>
              <w:rPr>
                <w:rFonts w:ascii="Times New Roman" w:hAnsi="Times New Roman"/>
                <w:b/>
                <w:sz w:val="22"/>
              </w:rPr>
              <w:t>Hệ số tỉ lệ</w:t>
            </w:r>
          </w:p>
        </w:tc>
        <w:tc>
          <w:tcPr>
            <w:tcW w:type="dxa" w:w="1928"/>
          </w:tcPr>
          <w:p>
            <w:pPr>
              <w:spacing w:line="240" w:lineRule="auto"/>
              <w:ind w:firstLine="0"/>
              <w:jc w:val="center"/>
            </w:pPr>
            <w:r/>
            <w:r>
              <w:rPr>
                <w:rFonts w:ascii="Times New Roman" w:hAnsi="Times New Roman"/>
                <w:b/>
                <w:sz w:val="22"/>
              </w:rPr>
              <w:t>Độ chính xác (%)</w:t>
            </w:r>
          </w:p>
        </w:tc>
        <w:tc>
          <w:tcPr>
            <w:tcW w:type="dxa" w:w="1701"/>
          </w:tcPr>
          <w:p>
            <w:pPr>
              <w:spacing w:line="240" w:lineRule="auto"/>
              <w:ind w:firstLine="0"/>
              <w:jc w:val="center"/>
            </w:pPr>
            <w:r/>
            <w:r>
              <w:rPr>
                <w:rFonts w:ascii="Times New Roman" w:hAnsi="Times New Roman"/>
                <w:b/>
                <w:sz w:val="22"/>
              </w:rPr>
              <w:t>DSP cho tái tỉ lệ</w:t>
            </w:r>
          </w:p>
        </w:tc>
      </w:tr>
      <w:tr>
        <w:tc>
          <w:tcPr>
            <w:tcW w:type="dxa" w:w="3628"/>
          </w:tcPr>
          <w:p>
            <w:pPr>
              <w:spacing w:line="240" w:lineRule="auto"/>
              <w:ind w:firstLine="0"/>
              <w:jc w:val="left"/>
            </w:pPr>
            <w:r/>
            <w:r>
              <w:rPr>
                <w:rFonts w:ascii="Times New Roman" w:hAnsi="Times New Roman"/>
                <w:b w:val="0"/>
                <w:sz w:val="22"/>
              </w:rPr>
              <w:t>Thang tổng quát (theo đặc tả)</w:t>
            </w:r>
          </w:p>
        </w:tc>
        <w:tc>
          <w:tcPr>
            <w:tcW w:type="dxa" w:w="1928"/>
          </w:tcPr>
          <w:p>
            <w:pPr>
              <w:spacing w:line="240" w:lineRule="auto"/>
              <w:ind w:firstLine="0"/>
              <w:jc w:val="center"/>
            </w:pPr>
            <w:r/>
            <w:r>
              <w:rPr>
                <w:rFonts w:ascii="Times New Roman" w:hAnsi="Times New Roman"/>
                <w:b w:val="0"/>
                <w:sz w:val="22"/>
              </w:rPr>
              <w:t>max|T| / 127</w:t>
            </w:r>
          </w:p>
        </w:tc>
        <w:tc>
          <w:tcPr>
            <w:tcW w:type="dxa" w:w="1928"/>
          </w:tcPr>
          <w:p>
            <w:pPr>
              <w:spacing w:line="240" w:lineRule="auto"/>
              <w:ind w:firstLine="0"/>
              <w:jc w:val="center"/>
            </w:pPr>
            <w:r/>
            <w:r>
              <w:rPr>
                <w:rFonts w:ascii="Times New Roman" w:hAnsi="Times New Roman"/>
                <w:b w:val="0"/>
                <w:sz w:val="22"/>
              </w:rPr>
              <w:t>94,65</w:t>
            </w:r>
          </w:p>
        </w:tc>
        <w:tc>
          <w:tcPr>
            <w:tcW w:type="dxa" w:w="1701"/>
          </w:tcPr>
          <w:p>
            <w:pPr>
              <w:spacing w:line="240" w:lineRule="auto"/>
              <w:ind w:firstLine="0"/>
              <w:jc w:val="center"/>
            </w:pPr>
            <w:r/>
            <w:r>
              <w:rPr>
                <w:rFonts w:ascii="Times New Roman" w:hAnsi="Times New Roman"/>
                <w:b w:val="0"/>
                <w:sz w:val="22"/>
              </w:rPr>
              <w:t>4</w:t>
            </w:r>
          </w:p>
        </w:tc>
      </w:tr>
      <w:tr>
        <w:tc>
          <w:tcPr>
            <w:tcW w:type="dxa" w:w="3628"/>
          </w:tcPr>
          <w:p>
            <w:pPr>
              <w:spacing w:line="240" w:lineRule="auto"/>
              <w:ind w:firstLine="0"/>
              <w:jc w:val="left"/>
            </w:pPr>
            <w:r/>
            <w:r>
              <w:rPr>
                <w:rFonts w:ascii="Times New Roman" w:hAnsi="Times New Roman"/>
                <w:b/>
                <w:sz w:val="22"/>
              </w:rPr>
              <w:t>Thang luỹ thừa của hai (đề tài)</w:t>
            </w:r>
          </w:p>
        </w:tc>
        <w:tc>
          <w:tcPr>
            <w:tcW w:type="dxa" w:w="1928"/>
          </w:tcPr>
          <w:p>
            <w:pPr>
              <w:spacing w:line="240" w:lineRule="auto"/>
              <w:ind w:firstLine="0"/>
              <w:jc w:val="center"/>
            </w:pPr>
            <w:r/>
            <w:r>
              <w:rPr>
                <w:rFonts w:ascii="Times New Roman" w:hAnsi="Times New Roman"/>
                <w:b/>
                <w:sz w:val="22"/>
              </w:rPr>
              <w:t>2^(−nb)</w:t>
            </w:r>
          </w:p>
        </w:tc>
        <w:tc>
          <w:tcPr>
            <w:tcW w:type="dxa" w:w="1928"/>
          </w:tcPr>
          <w:p>
            <w:pPr>
              <w:spacing w:line="240" w:lineRule="auto"/>
              <w:ind w:firstLine="0"/>
              <w:jc w:val="center"/>
            </w:pPr>
            <w:r/>
            <w:r>
              <w:rPr>
                <w:rFonts w:ascii="Times New Roman" w:hAnsi="Times New Roman"/>
                <w:b/>
                <w:sz w:val="22"/>
              </w:rPr>
              <w:t>94,37</w:t>
            </w:r>
          </w:p>
        </w:tc>
        <w:tc>
          <w:tcPr>
            <w:tcW w:type="dxa" w:w="1701"/>
          </w:tcPr>
          <w:p>
            <w:pPr>
              <w:spacing w:line="240" w:lineRule="auto"/>
              <w:ind w:firstLine="0"/>
              <w:jc w:val="center"/>
            </w:pPr>
            <w:r/>
            <w:r>
              <w:rPr>
                <w:rFonts w:ascii="Times New Roman" w:hAnsi="Times New Roman"/>
                <w:b/>
                <w:sz w:val="22"/>
              </w:rPr>
              <w:t>0</w:t>
            </w:r>
          </w:p>
        </w:tc>
      </w:tr>
    </w:tbl>
    <w:p>
      <w:pPr>
        <w:ind w:firstLine="560"/>
      </w:pPr>
      <w:r>
        <w:rPr>
          <w:b w:val="0"/>
          <w:i w:val="0"/>
        </w:rPr>
        <w:t>Chênh lệch độ chính xác là 0,28 phần trăm điểm. Cần đặt con số này cạnh độ lệch chuẩn giữa các lần chia tập kiểm tra, đo được trong khoảng 0,81–0,93 phần trăm điểm. Vì chênh lệch nhỏ hơn độ lệch chuẩn, không đủ cơ sở thống kê để khẳng định thang tổng quát cho độ chính xác cao hơn. Ngược lại, khác biệt về số khối DSP là xác định, đếm trực tiếp từ cấu trúc mạch chứ không phụ thuộc dữ liệu.</w:t>
      </w:r>
    </w:p>
    <w:p>
      <w:pPr>
        <w:ind w:firstLine="560"/>
      </w:pPr>
      <w:r>
        <w:rPr>
          <w:b w:val="0"/>
          <w:i w:val="0"/>
        </w:rPr>
        <w:t>Cần nêu rõ phạm vi của kết luận này: thực nghiệm chỉ thay đổi một biến là dạng hệ số tỉ lệ; cả hai phương án đều dùng zero_point = 0 và đều áp dụng per-tensor. Do đó con số 0,28 phần trăm điểm là chi phí riêng của Ràng buộc 2, không bao gồm chi phí của Ràng buộc 1 và của lựa chọn per-tensor.</w:t>
      </w:r>
    </w:p>
    <w:p>
      <w:pPr>
        <w:pStyle w:val="Heading3"/>
      </w:pPr>
      <w:r>
        <w:rPr>
          <w:rFonts w:ascii="Times New Roman" w:hAnsi="Times New Roman"/>
          <w:color w:val="000000"/>
        </w:rPr>
        <w:t>3.4. Vấn đề sai số tích luỹ</w:t>
      </w:r>
    </w:p>
    <w:p>
      <w:pPr>
        <w:ind w:firstLine="560"/>
      </w:pPr>
      <w:r>
        <w:rPr>
          <w:b w:val="0"/>
          <w:i w:val="0"/>
        </w:rPr>
        <w:t>Một câu hỏi đặt ra là các khác biệt trên có gây sai số tích luỹ qua bốn tầng tích chập hay không. Sai số tích luỹ chỉ phát sinh khi phép làm tròn thiên lệch về một phía; nhiễu không thiên lệch thì qua N tầng chỉ tăng theo căn bậc hai của N thay vì theo N. Bảng A.6 trình bày sai số tái tỉ lệ đo trên 600 mẫu kiểm tra, lấy phép chia thực không làm tròn làm mốc.</w:t>
      </w:r>
    </w:p>
    <w:p>
      <w:pPr>
        <w:spacing w:before="120" w:after="80"/>
        <w:ind w:firstLine="0"/>
        <w:jc w:val="center"/>
      </w:pPr>
      <w:r>
        <w:rPr>
          <w:i/>
          <w:sz w:val="24"/>
        </w:rPr>
        <w:t>Bảng A.6. Sai số tái tỉ lệ theo từng tầng, đơn vị LSB.</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74"/>
          </w:tcPr>
          <w:p>
            <w:pPr>
              <w:spacing w:line="240" w:lineRule="auto"/>
              <w:ind w:firstLine="0"/>
              <w:jc w:val="center"/>
            </w:pPr>
            <w:r/>
            <w:r>
              <w:rPr>
                <w:rFonts w:ascii="Times New Roman" w:hAnsi="Times New Roman"/>
                <w:b/>
                <w:sz w:val="22"/>
              </w:rPr>
              <w:t>Tầng</w:t>
            </w:r>
          </w:p>
        </w:tc>
        <w:tc>
          <w:tcPr>
            <w:tcW w:type="dxa" w:w="2608"/>
          </w:tcPr>
          <w:p>
            <w:pPr>
              <w:spacing w:line="240" w:lineRule="auto"/>
              <w:ind w:firstLine="0"/>
              <w:jc w:val="center"/>
            </w:pPr>
            <w:r/>
            <w:r>
              <w:rPr>
                <w:rFonts w:ascii="Times New Roman" w:hAnsi="Times New Roman"/>
                <w:b/>
                <w:sz w:val="22"/>
              </w:rPr>
              <w:t>Round-half-up: sai số trung bình</w:t>
            </w:r>
          </w:p>
        </w:tc>
        <w:tc>
          <w:tcPr>
            <w:tcW w:type="dxa" w:w="2381"/>
          </w:tcPr>
          <w:p>
            <w:pPr>
              <w:spacing w:line="240" w:lineRule="auto"/>
              <w:ind w:firstLine="0"/>
              <w:jc w:val="center"/>
            </w:pPr>
            <w:r/>
            <w:r>
              <w:rPr>
                <w:rFonts w:ascii="Times New Roman" w:hAnsi="Times New Roman"/>
                <w:b/>
                <w:sz w:val="22"/>
              </w:rPr>
              <w:t>Round-half-up: độ lệch chuẩn</w:t>
            </w:r>
          </w:p>
        </w:tc>
        <w:tc>
          <w:tcPr>
            <w:tcW w:type="dxa" w:w="2608"/>
          </w:tcPr>
          <w:p>
            <w:pPr>
              <w:spacing w:line="240" w:lineRule="auto"/>
              <w:ind w:firstLine="0"/>
              <w:jc w:val="center"/>
            </w:pPr>
            <w:r/>
            <w:r>
              <w:rPr>
                <w:rFonts w:ascii="Times New Roman" w:hAnsi="Times New Roman"/>
                <w:b/>
                <w:sz w:val="22"/>
              </w:rPr>
              <w:t>Cắt bỏ (floor): sai số trung bình</w:t>
            </w:r>
          </w:p>
        </w:tc>
      </w:tr>
      <w:tr>
        <w:tc>
          <w:tcPr>
            <w:tcW w:type="dxa" w:w="1474"/>
          </w:tcPr>
          <w:p>
            <w:pPr>
              <w:spacing w:line="240" w:lineRule="auto"/>
              <w:ind w:firstLine="0"/>
              <w:jc w:val="left"/>
            </w:pPr>
            <w:r/>
            <w:r>
              <w:rPr>
                <w:rFonts w:ascii="Times New Roman" w:hAnsi="Times New Roman"/>
                <w:b w:val="0"/>
                <w:sz w:val="22"/>
              </w:rPr>
              <w:t>Conv1</w:t>
            </w:r>
          </w:p>
        </w:tc>
        <w:tc>
          <w:tcPr>
            <w:tcW w:type="dxa" w:w="2608"/>
          </w:tcPr>
          <w:p>
            <w:pPr>
              <w:spacing w:line="240" w:lineRule="auto"/>
              <w:ind w:firstLine="0"/>
              <w:jc w:val="center"/>
            </w:pPr>
            <w:r/>
            <w:r>
              <w:rPr>
                <w:rFonts w:ascii="Times New Roman" w:hAnsi="Times New Roman"/>
                <w:b w:val="0"/>
                <w:sz w:val="22"/>
              </w:rPr>
              <w:t>+0,019</w:t>
            </w:r>
          </w:p>
        </w:tc>
        <w:tc>
          <w:tcPr>
            <w:tcW w:type="dxa" w:w="2381"/>
          </w:tcPr>
          <w:p>
            <w:pPr>
              <w:spacing w:line="240" w:lineRule="auto"/>
              <w:ind w:firstLine="0"/>
              <w:jc w:val="center"/>
            </w:pPr>
            <w:r/>
            <w:r>
              <w:rPr>
                <w:rFonts w:ascii="Times New Roman" w:hAnsi="Times New Roman"/>
                <w:b w:val="0"/>
                <w:sz w:val="22"/>
              </w:rPr>
              <w:t>0,292</w:t>
            </w:r>
          </w:p>
        </w:tc>
        <w:tc>
          <w:tcPr>
            <w:tcW w:type="dxa" w:w="2608"/>
          </w:tcPr>
          <w:p>
            <w:pPr>
              <w:spacing w:line="240" w:lineRule="auto"/>
              <w:ind w:firstLine="0"/>
              <w:jc w:val="center"/>
            </w:pPr>
            <w:r/>
            <w:r>
              <w:rPr>
                <w:rFonts w:ascii="Times New Roman" w:hAnsi="Times New Roman"/>
                <w:b w:val="0"/>
                <w:sz w:val="22"/>
              </w:rPr>
              <w:t>−0,501</w:t>
            </w:r>
          </w:p>
        </w:tc>
      </w:tr>
      <w:tr>
        <w:tc>
          <w:tcPr>
            <w:tcW w:type="dxa" w:w="1474"/>
          </w:tcPr>
          <w:p>
            <w:pPr>
              <w:spacing w:line="240" w:lineRule="auto"/>
              <w:ind w:firstLine="0"/>
              <w:jc w:val="left"/>
            </w:pPr>
            <w:r/>
            <w:r>
              <w:rPr>
                <w:rFonts w:ascii="Times New Roman" w:hAnsi="Times New Roman"/>
                <w:b w:val="0"/>
                <w:sz w:val="22"/>
              </w:rPr>
              <w:t>Conv2</w:t>
            </w:r>
          </w:p>
        </w:tc>
        <w:tc>
          <w:tcPr>
            <w:tcW w:type="dxa" w:w="2608"/>
          </w:tcPr>
          <w:p>
            <w:pPr>
              <w:spacing w:line="240" w:lineRule="auto"/>
              <w:ind w:firstLine="0"/>
              <w:jc w:val="center"/>
            </w:pPr>
            <w:r/>
            <w:r>
              <w:rPr>
                <w:rFonts w:ascii="Times New Roman" w:hAnsi="Times New Roman"/>
                <w:b w:val="0"/>
                <w:sz w:val="22"/>
              </w:rPr>
              <w:t>+0,005</w:t>
            </w:r>
          </w:p>
        </w:tc>
        <w:tc>
          <w:tcPr>
            <w:tcW w:type="dxa" w:w="2381"/>
          </w:tcPr>
          <w:p>
            <w:pPr>
              <w:spacing w:line="240" w:lineRule="auto"/>
              <w:ind w:firstLine="0"/>
              <w:jc w:val="center"/>
            </w:pPr>
            <w:r/>
            <w:r>
              <w:rPr>
                <w:rFonts w:ascii="Times New Roman" w:hAnsi="Times New Roman"/>
                <w:b w:val="0"/>
                <w:sz w:val="22"/>
              </w:rPr>
              <w:t>0,290</w:t>
            </w:r>
          </w:p>
        </w:tc>
        <w:tc>
          <w:tcPr>
            <w:tcW w:type="dxa" w:w="2608"/>
          </w:tcPr>
          <w:p>
            <w:pPr>
              <w:spacing w:line="240" w:lineRule="auto"/>
              <w:ind w:firstLine="0"/>
              <w:jc w:val="center"/>
            </w:pPr>
            <w:r/>
            <w:r>
              <w:rPr>
                <w:rFonts w:ascii="Times New Roman" w:hAnsi="Times New Roman"/>
                <w:b w:val="0"/>
                <w:sz w:val="22"/>
              </w:rPr>
              <w:t>−0,493</w:t>
            </w:r>
          </w:p>
        </w:tc>
      </w:tr>
      <w:tr>
        <w:tc>
          <w:tcPr>
            <w:tcW w:type="dxa" w:w="1474"/>
          </w:tcPr>
          <w:p>
            <w:pPr>
              <w:spacing w:line="240" w:lineRule="auto"/>
              <w:ind w:firstLine="0"/>
              <w:jc w:val="left"/>
            </w:pPr>
            <w:r/>
            <w:r>
              <w:rPr>
                <w:rFonts w:ascii="Times New Roman" w:hAnsi="Times New Roman"/>
                <w:b w:val="0"/>
                <w:sz w:val="22"/>
              </w:rPr>
              <w:t>Conv3</w:t>
            </w:r>
          </w:p>
        </w:tc>
        <w:tc>
          <w:tcPr>
            <w:tcW w:type="dxa" w:w="2608"/>
          </w:tcPr>
          <w:p>
            <w:pPr>
              <w:spacing w:line="240" w:lineRule="auto"/>
              <w:ind w:firstLine="0"/>
              <w:jc w:val="center"/>
            </w:pPr>
            <w:r/>
            <w:r>
              <w:rPr>
                <w:rFonts w:ascii="Times New Roman" w:hAnsi="Times New Roman"/>
                <w:b w:val="0"/>
                <w:sz w:val="22"/>
              </w:rPr>
              <w:t>+0,007</w:t>
            </w:r>
          </w:p>
        </w:tc>
        <w:tc>
          <w:tcPr>
            <w:tcW w:type="dxa" w:w="2381"/>
          </w:tcPr>
          <w:p>
            <w:pPr>
              <w:spacing w:line="240" w:lineRule="auto"/>
              <w:ind w:firstLine="0"/>
              <w:jc w:val="center"/>
            </w:pPr>
            <w:r/>
            <w:r>
              <w:rPr>
                <w:rFonts w:ascii="Times New Roman" w:hAnsi="Times New Roman"/>
                <w:b w:val="0"/>
                <w:sz w:val="22"/>
              </w:rPr>
              <w:t>0,289</w:t>
            </w:r>
          </w:p>
        </w:tc>
        <w:tc>
          <w:tcPr>
            <w:tcW w:type="dxa" w:w="2608"/>
          </w:tcPr>
          <w:p>
            <w:pPr>
              <w:spacing w:line="240" w:lineRule="auto"/>
              <w:ind w:firstLine="0"/>
              <w:jc w:val="center"/>
            </w:pPr>
            <w:r/>
            <w:r>
              <w:rPr>
                <w:rFonts w:ascii="Times New Roman" w:hAnsi="Times New Roman"/>
                <w:b w:val="0"/>
                <w:sz w:val="22"/>
              </w:rPr>
              <w:t>−0,492</w:t>
            </w:r>
          </w:p>
        </w:tc>
      </w:tr>
      <w:tr>
        <w:tc>
          <w:tcPr>
            <w:tcW w:type="dxa" w:w="1474"/>
          </w:tcPr>
          <w:p>
            <w:pPr>
              <w:spacing w:line="240" w:lineRule="auto"/>
              <w:ind w:firstLine="0"/>
              <w:jc w:val="left"/>
            </w:pPr>
            <w:r/>
            <w:r>
              <w:rPr>
                <w:rFonts w:ascii="Times New Roman" w:hAnsi="Times New Roman"/>
                <w:b w:val="0"/>
                <w:sz w:val="22"/>
              </w:rPr>
              <w:t>Conv4</w:t>
            </w:r>
          </w:p>
        </w:tc>
        <w:tc>
          <w:tcPr>
            <w:tcW w:type="dxa" w:w="2608"/>
          </w:tcPr>
          <w:p>
            <w:pPr>
              <w:spacing w:line="240" w:lineRule="auto"/>
              <w:ind w:firstLine="0"/>
              <w:jc w:val="center"/>
            </w:pPr>
            <w:r/>
            <w:r>
              <w:rPr>
                <w:rFonts w:ascii="Times New Roman" w:hAnsi="Times New Roman"/>
                <w:b w:val="0"/>
                <w:sz w:val="22"/>
              </w:rPr>
              <w:t>+0,005</w:t>
            </w:r>
          </w:p>
        </w:tc>
        <w:tc>
          <w:tcPr>
            <w:tcW w:type="dxa" w:w="2381"/>
          </w:tcPr>
          <w:p>
            <w:pPr>
              <w:spacing w:line="240" w:lineRule="auto"/>
              <w:ind w:firstLine="0"/>
              <w:jc w:val="center"/>
            </w:pPr>
            <w:r/>
            <w:r>
              <w:rPr>
                <w:rFonts w:ascii="Times New Roman" w:hAnsi="Times New Roman"/>
                <w:b w:val="0"/>
                <w:sz w:val="22"/>
              </w:rPr>
              <w:t>0,288</w:t>
            </w:r>
          </w:p>
        </w:tc>
        <w:tc>
          <w:tcPr>
            <w:tcW w:type="dxa" w:w="2608"/>
          </w:tcPr>
          <w:p>
            <w:pPr>
              <w:spacing w:line="240" w:lineRule="auto"/>
              <w:ind w:firstLine="0"/>
              <w:jc w:val="center"/>
            </w:pPr>
            <w:r/>
            <w:r>
              <w:rPr>
                <w:rFonts w:ascii="Times New Roman" w:hAnsi="Times New Roman"/>
                <w:b w:val="0"/>
                <w:sz w:val="22"/>
              </w:rPr>
              <w:t>−0,496</w:t>
            </w:r>
          </w:p>
        </w:tc>
      </w:tr>
    </w:tbl>
    <w:p>
      <w:pPr>
        <w:ind w:firstLine="560"/>
      </w:pPr>
      <w:r>
        <w:rPr>
          <w:b w:val="0"/>
          <w:i w:val="0"/>
        </w:rPr>
        <w:t>Với round-half-up, sai số trung bình mỗi tầng xấp xỉ 0,005–0,019 LSB, tức gần bằng không; độ lệch chuẩn 0,29 trùng với giá trị lý thuyết của nhiễu lượng tử phân bố đều trên một LSB. Sai số vì thế là nhiễu ngẫu nhiên không thiên lệch và không cộng dồn qua các tầng.</w:t>
      </w:r>
    </w:p>
    <w:p>
      <w:pPr>
        <w:ind w:firstLine="560"/>
      </w:pPr>
      <w:r>
        <w:rPr>
          <w:b w:val="0"/>
          <w:i w:val="0"/>
        </w:rPr>
        <w:t>Với phép cắt bỏ, sai số trung bình mỗi tầng là −0,5 LSB, lệch hẳn một phía và lặp lại ở cả bốn tầng. Hệ quả đo được ở đầu vào khối GAP: giá trị trung bình giảm từ 15,44 xuống 14,97, tức toàn bộ bản đồ đặc trưng bị co lại khoảng 3,1 phần trăm trước khi vào tầng phân lớp. Đây là cơ chế vật lý giải thích chênh lệch độ chính xác 0,38 phần trăm điểm giữa hai phép làm tròn.</w:t>
      </w:r>
    </w:p>
    <w:p>
      <w:pPr>
        <w:ind w:firstLine="560"/>
      </w:pPr>
      <w:r>
        <w:rPr>
          <w:b w:val="0"/>
          <w:i w:val="0"/>
        </w:rPr>
        <w:t>Kết luận: hai ràng buộc bổ sung của đề tài làm tăng biên độ nhiễu lượng tử nhưng không làm nhiễu lệch hướng, nên không gây sai số tích luỹ. Yếu tố thực sự gây tích luỹ là phép cắt bỏ khi tái tỉ lệ, và đó chính là yếu tố đề tài đã loại bỏ.</w:t>
      </w:r>
    </w:p>
    <w:p>
      <w:pPr>
        <w:pStyle w:val="Heading3"/>
      </w:pPr>
      <w:r>
        <w:rPr>
          <w:rFonts w:ascii="Times New Roman" w:hAnsi="Times New Roman"/>
          <w:color w:val="000000"/>
        </w:rPr>
        <w:t>3.5. Điểm đề tài chặt hơn đặc tả</w:t>
      </w:r>
    </w:p>
    <w:p>
      <w:pPr>
        <w:ind w:firstLine="560"/>
      </w:pPr>
      <w:r>
        <w:rPr>
          <w:b w:val="0"/>
          <w:i w:val="0"/>
        </w:rPr>
        <w:t>Đặc tả TensorFlow Lite quy định công thức ánh xạ và các ràng buộc về dải, zero_point và kiểu dữ liệu, nhưng không quy định phép làm tròn nào phải dùng khi tái tỉ lệ. Đây là một khoảng trống trong đặc tả. Thiết kế dịch bit trước đây, điển hình là Liu [16], lấp khoảng trống này bằng phép dịch phải số học, tương đương làm tròn xuống. Đề tài lấp bằng round-half-up, với chi phí phần cứng bằng không do số hạng cộng thêm 2^(nb−1) là hằng số và đã được gộp vào bias trong hiện thực RTL.</w:t>
      </w:r>
    </w:p>
    <w:p>
      <w:pPr>
        <w:pStyle w:val="Heading2"/>
      </w:pPr>
      <w:r>
        <w:rPr>
          <w:rFonts w:ascii="Times New Roman" w:hAnsi="Times New Roman"/>
          <w:color w:val="000000"/>
        </w:rPr>
        <w:t>4. Kết luận đối chiếu</w:t>
      </w:r>
    </w:p>
    <w:p>
      <w:pPr>
        <w:ind w:firstLine="560"/>
      </w:pPr>
      <w:r>
        <w:rPr>
          <w:b w:val="0"/>
          <w:i w:val="0"/>
        </w:rPr>
        <w:t>Phương pháp lượng tử hoá của đề tài tuân thủ toàn bộ các ràng buộc cốt lõi của đặc tả TensorFlow Lite: trọng số đối xứng với zero_point bằng 0 trên dải [−127, 127], bias lưu INT32 với thang bằng tích thang đầu vào và thang trọng số. Ba điểm khác biệt là ràng buộc chặt hơn có chủ đích nhằm giảm chi phí phần cứng, trong đó ràng buộc luỹ thừa của hai đã được lượng hoá: 0,28 phần trăm điểm độ chính xác, nhỏ hơn độ lệch chuẩn giữa các lần chia tập, đổi lấy việc loại bỏ bốn khối DSP khỏi đường tái tỉ lệ. Các khác biệt này không gây sai số tích luỹ, như đã chứng minh bằng đo lường ở Mục 3.4.</w:t>
      </w:r>
    </w:p>
    <w:p>
      <w:pPr>
        <w:pStyle w:val="Heading3"/>
      </w:pPr>
      <w:r>
        <w:rPr>
          <w:rFonts w:ascii="Times New Roman" w:hAnsi="Times New Roman"/>
          <w:color w:val="000000"/>
        </w:rPr>
        <w:t>Hạn chế của phần đối chiếu</w:t>
      </w:r>
    </w:p>
    <w:p>
      <w:pPr>
        <w:ind w:firstLine="560"/>
      </w:pPr>
      <w:r>
        <w:rPr>
          <w:b w:val="0"/>
          <w:i w:val="0"/>
        </w:rPr>
        <w:t>Hai điểm khác biệt còn lại chưa được lượng hoá bằng thực nghiệm đối chứng về độ chính xác. Với việc ép zero_point của activation về 0, mới chỉ đo được phần dải biểu diễn bị bỏ trống: 3,9 phần trăm ở Conv1 và 50 phần trăm ở đầu ra Conv4 sau ReLU, tương đương mất tối đa một bit hiệu dụng — trùng với mức lợi ích mà đặc tả nêu cho lượng tử hoá bất đối xứng. Với lựa chọn per-tensor, mới chỉ đo được độ phân tán biên độ giữa các kênh, lớn nhất ở Conv3 với tỉ lệ 5,1 lần. Việc bổ sung hai thực nghiệm đối chứng này thuộc hướng phát triển.</w:t>
      </w:r>
    </w:p>
    <w:p>
      <w:pPr>
        <w:pStyle w:val="Heading2"/>
      </w:pPr>
      <w:r>
        <w:rPr>
          <w:rFonts w:ascii="Times New Roman" w:hAnsi="Times New Roman"/>
          <w:color w:val="000000"/>
        </w:rPr>
        <w:t>Tài liệu tham khảo của phụ lục</w:t>
      </w:r>
    </w:p>
    <w:p>
      <w:pPr>
        <w:ind w:firstLine="0"/>
      </w:pPr>
      <w:r>
        <w:rPr>
          <w:b w:val="0"/>
          <w:i w:val="0"/>
        </w:rPr>
        <w:t>[TF]  TensorFlow, “LiteRT 8-bit quantization specification”, tệp tensorflow/lite/g3doc/performance/quantization_spec.md, kho mã nguồn GitHub. Địa chỉ: https://github.com/tensorflow/tensorflow/blob/master/tensorflow/lite/g3doc/performance/quantization_spec.md. Bản trang web: https://ai.google.dev/edge/litert/performance/quantization_spec. Truy cập ngày 10/08/2026.</w:t>
      </w:r>
    </w:p>
    <w:sectPr w:rsidR="00FC693F" w:rsidRPr="0006063C" w:rsidSect="00034616">
      <w:pgSz w:w="11907" w:h="16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