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8B1A1A" w:val="clear"/>
            <w:tcMar>
              <w:top w:type="dxa" w:w="500"/>
              <w:left w:type="dxa" w:w="400"/>
              <w:bottom w:type="dxa" w:w="500"/>
              <w:right w:type="dxa" w:w="400"/>
            </w:tcMar>
          </w:tcPr>
          <w:p>
            <w:pPr>
              <w:spacing w:before="80" w:after="80"/>
            </w:pPr>
            <w:r>
              <w:rPr>
                <w:rFonts w:ascii="Arial" w:cs="Arial" w:eastAsia="Arial" w:hAnsi="Arial"/>
                <w:b/>
                <w:bCs/>
                <w:color w:val="C8960C"/>
                <w:sz w:val="22"/>
                <w:szCs w:val="22"/>
              </w:rPr>
              <w:t xml:space="preserve">RDB x SUSTAINABILITY BROKER</w:t>
            </w:r>
          </w:p>
          <w:p>
            <w:pPr>
              <w:spacing w:before="60" w:after="0"/>
            </w:pPr>
            <w:r>
              <w:rPr>
                <w:rFonts w:ascii="Arial" w:cs="Arial" w:eastAsia="Arial" w:hAnsi="Arial"/>
                <w:b/>
                <w:bCs/>
                <w:color w:val="FFFFFF"/>
                <w:sz w:val="52"/>
                <w:szCs w:val="52"/>
              </w:rPr>
              <w:t xml:space="preserve">CBSL Climate Risk &amp;</w:t>
            </w:r>
          </w:p>
          <w:p>
            <w:pPr>
              <w:spacing w:before="0" w:after="160"/>
            </w:pPr>
            <w:r>
              <w:rPr>
                <w:rFonts w:ascii="Arial" w:cs="Arial" w:eastAsia="Arial" w:hAnsi="Arial"/>
                <w:b/>
                <w:bCs/>
                <w:color w:val="FFFFFF"/>
                <w:sz w:val="48"/>
                <w:szCs w:val="48"/>
              </w:rPr>
              <w:t xml:space="preserve">SLFRS S2 Compliance Advisory</w:t>
            </w:r>
          </w:p>
          <w:p>
            <w:pPr>
              <w:spacing w:before="80" w:after="80"/>
            </w:pPr>
            <w:r>
              <w:rPr>
                <w:rFonts w:ascii="Arial" w:cs="Arial" w:eastAsia="Arial" w:hAnsi="Arial"/>
                <w:b w:val="false"/>
                <w:bCs w:val="false"/>
                <w:color w:val="BBBBBB"/>
                <w:sz w:val="20"/>
                <w:szCs w:val="20"/>
              </w:rPr>
              <w:t xml:space="preserve">Five Case Studies  |  Full Business Model  |  February 2026  |  Internal Use Only</w:t>
            </w:r>
          </w:p>
        </w:tc>
      </w:tr>
    </w:tbl>
    <w:p>
      <w:pPr>
        <w:spacing w:before="120" w:after="12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DF0F0" w:val="clear"/>
            <w:tcMar>
              <w:top w:type="dxa" w:w="140"/>
              <w:left w:type="dxa" w:w="200"/>
              <w:bottom w:type="dxa" w:w="140"/>
              <w:right w:type="dxa" w:w="200"/>
            </w:tcMar>
          </w:tcPr>
          <w:p>
            <w:pPr>
              <w:spacing w:before="80" w:after="80"/>
            </w:pPr>
            <w:r>
              <w:rPr>
                <w:rFonts w:ascii="Arial" w:cs="Arial" w:eastAsia="Arial" w:hAnsi="Arial"/>
                <w:b/>
                <w:bCs/>
                <w:color w:val="8B1A1A"/>
                <w:sz w:val="22"/>
                <w:szCs w:val="22"/>
              </w:rPr>
              <w:t xml:space="preserve">The Event That Ended the Theoretical: Cyclone Ditwah, 28 November 2025</w:t>
            </w:r>
          </w:p>
          <w:p>
            <w:pPr>
              <w:spacing w:before="80" w:after="80"/>
            </w:pPr>
            <w:r>
              <w:rPr>
                <w:rFonts w:ascii="Arial" w:cs="Arial" w:eastAsia="Arial" w:hAnsi="Arial"/>
                <w:b w:val="false"/>
                <w:bCs w:val="false"/>
                <w:color w:val="333333"/>
                <w:sz w:val="20"/>
                <w:szCs w:val="20"/>
              </w:rPr>
              <w:t xml:space="preserve">Cyclone Ditwah struck Sri Lanka's eastern coast on 28 November 2025. In 72 hours it caused USD 4.1 billion in direct damage -- 4% of GDP, the worst disaster since the 2004 tsunami. Agriculture suffered USD 814 million in losses. More than 108,000 hectares of rice paddies were destroyed. More than 58,000 hectares of paddy land in Trincomalee and Batticaloa districts were flooded during the Maha season, when 775,000 farmers had freshly sown crops. Tea estates in Kandy, Nuwara Eliya and Badulla were devastated. 643 people died across all 25 districts.</w:t>
            </w:r>
          </w:p>
          <w:p>
            <w:pPr>
              <w:spacing w:before="80" w:after="80"/>
            </w:pPr>
            <w:r>
              <w:rPr>
                <w:rFonts w:ascii="Arial" w:cs="Arial" w:eastAsia="Arial" w:hAnsi="Arial"/>
                <w:b/>
                <w:bCs/>
                <w:color w:val="8B1A1A"/>
                <w:sz w:val="22"/>
                <w:szCs w:val="22"/>
              </w:rPr>
              <w:t xml:space="preserve">RDB's loan book is paddy farmers, tea estate smallholders, coastal fishermen, and rural MSMEs. The Cyclone Ditwah impact zone and the RDB borrower base are, for practical purposes, the same map.</w:t>
            </w:r>
          </w:p>
          <w:p>
            <w:pPr>
              <w:spacing w:before="0" w:after="0"/>
            </w:pPr>
            <w:r>
              <w:rPr>
                <w:rFonts w:ascii="Arial" w:cs="Arial" w:eastAsia="Arial" w:hAnsi="Arial"/>
                <w:b w:val="false"/>
                <w:bCs w:val="false"/>
                <w:color w:val="333333"/>
                <w:sz w:val="20"/>
                <w:szCs w:val="20"/>
              </w:rPr>
              <w:t xml:space="preserve">Climate risk for RDB is not a future scenario. It happened three months ago. The question for the Chairman is not whether climate risk affects the loan portfolio -- Ditwah answered that definitively. The question is whether RDB can now tell CBSL, IFC, ADB, or any external investor exactly how much of its portfolio was exposed, how much it lost, and what governance it has put in place to measure and manage that risk going forward. Today the answer is: nothing. That is the gap. That is our mandate.</w:t>
            </w:r>
          </w:p>
        </w:tc>
      </w:tr>
    </w:tbl>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FDF0F0" w:val="clear"/>
            <w:tcMar>
              <w:top w:type="dxa" w:w="120"/>
              <w:left w:type="dxa" w:w="120"/>
              <w:bottom w:type="dxa" w:w="120"/>
              <w:right w:type="dxa" w:w="120"/>
            </w:tcMar>
            <w:vAlign w:val="center"/>
          </w:tcPr>
          <w:p>
            <w:pPr>
              <w:spacing w:before="0" w:after="20"/>
              <w:jc w:val="center"/>
            </w:pPr>
            <w:r>
              <w:rPr>
                <w:rFonts w:ascii="Arial" w:cs="Arial" w:eastAsia="Arial" w:hAnsi="Arial"/>
                <w:b/>
                <w:bCs/>
                <w:color w:val="8B1A1A"/>
                <w:sz w:val="30"/>
                <w:szCs w:val="30"/>
              </w:rPr>
              <w:t xml:space="preserve">USD 4.1B</w:t>
            </w:r>
          </w:p>
          <w:p>
            <w:pPr>
              <w:spacing w:before="0" w:after="0"/>
              <w:jc w:val="center"/>
            </w:pPr>
            <w:r>
              <w:rPr>
                <w:rFonts w:ascii="Arial" w:cs="Arial" w:eastAsia="Arial" w:hAnsi="Arial"/>
                <w:b w:val="false"/>
                <w:bCs w:val="false"/>
                <w:color w:val="333333"/>
                <w:sz w:val="17"/>
                <w:szCs w:val="17"/>
              </w:rPr>
              <w:t xml:space="preserve">Total Damage (4% of GDP)</w:t>
            </w:r>
          </w:p>
        </w:tc>
        <w:tc>
          <w:tcPr>
            <w:tcW w:type="dxa" w:w="2520"/>
            <w:tcBorders>
              <w:top w:val="single" w:color="CCCCCC" w:sz="1"/>
              <w:left w:val="single" w:color="CCCCCC" w:sz="1"/>
              <w:bottom w:val="single" w:color="CCCCCC" w:sz="1"/>
              <w:right w:val="single" w:color="CCCCCC" w:sz="1"/>
            </w:tcBorders>
            <w:shd w:fill="FDF0F0" w:val="clear"/>
            <w:tcMar>
              <w:top w:type="dxa" w:w="120"/>
              <w:left w:type="dxa" w:w="120"/>
              <w:bottom w:type="dxa" w:w="120"/>
              <w:right w:type="dxa" w:w="120"/>
            </w:tcMar>
            <w:vAlign w:val="center"/>
          </w:tcPr>
          <w:p>
            <w:pPr>
              <w:spacing w:before="0" w:after="20"/>
              <w:jc w:val="center"/>
            </w:pPr>
            <w:r>
              <w:rPr>
                <w:rFonts w:ascii="Arial" w:cs="Arial" w:eastAsia="Arial" w:hAnsi="Arial"/>
                <w:b/>
                <w:bCs/>
                <w:color w:val="8B1A1A"/>
                <w:sz w:val="30"/>
                <w:szCs w:val="30"/>
              </w:rPr>
              <w:t xml:space="preserve">USD 814M</w:t>
            </w:r>
          </w:p>
          <w:p>
            <w:pPr>
              <w:spacing w:before="0" w:after="0"/>
              <w:jc w:val="center"/>
            </w:pPr>
            <w:r>
              <w:rPr>
                <w:rFonts w:ascii="Arial" w:cs="Arial" w:eastAsia="Arial" w:hAnsi="Arial"/>
                <w:b w:val="false"/>
                <w:bCs w:val="false"/>
                <w:color w:val="333333"/>
                <w:sz w:val="17"/>
                <w:szCs w:val="17"/>
              </w:rPr>
              <w:t xml:space="preserve">Agricultural Losses</w:t>
            </w:r>
          </w:p>
        </w:tc>
        <w:tc>
          <w:tcPr>
            <w:tcW w:type="dxa" w:w="2520"/>
            <w:tcBorders>
              <w:top w:val="single" w:color="CCCCCC" w:sz="1"/>
              <w:left w:val="single" w:color="CCCCCC" w:sz="1"/>
              <w:bottom w:val="single" w:color="CCCCCC" w:sz="1"/>
              <w:right w:val="single" w:color="CCCCCC" w:sz="1"/>
            </w:tcBorders>
            <w:shd w:fill="FDF4E8" w:val="clear"/>
            <w:tcMar>
              <w:top w:type="dxa" w:w="120"/>
              <w:left w:type="dxa" w:w="120"/>
              <w:bottom w:type="dxa" w:w="120"/>
              <w:right w:type="dxa" w:w="120"/>
            </w:tcMar>
            <w:vAlign w:val="center"/>
          </w:tcPr>
          <w:p>
            <w:pPr>
              <w:spacing w:before="0" w:after="20"/>
              <w:jc w:val="center"/>
            </w:pPr>
            <w:r>
              <w:rPr>
                <w:rFonts w:ascii="Arial" w:cs="Arial" w:eastAsia="Arial" w:hAnsi="Arial"/>
                <w:b/>
                <w:bCs/>
                <w:color w:val="B05A00"/>
                <w:sz w:val="30"/>
                <w:szCs w:val="30"/>
              </w:rPr>
              <w:t xml:space="preserve">108,000 ha</w:t>
            </w:r>
          </w:p>
          <w:p>
            <w:pPr>
              <w:spacing w:before="0" w:after="0"/>
              <w:jc w:val="center"/>
            </w:pPr>
            <w:r>
              <w:rPr>
                <w:rFonts w:ascii="Arial" w:cs="Arial" w:eastAsia="Arial" w:hAnsi="Arial"/>
                <w:b w:val="false"/>
                <w:bCs w:val="false"/>
                <w:color w:val="333333"/>
                <w:sz w:val="17"/>
                <w:szCs w:val="17"/>
              </w:rPr>
              <w:t xml:space="preserve">Rice Paddy Destroyed</w:t>
            </w:r>
          </w:p>
        </w:tc>
        <w:tc>
          <w:tcPr>
            <w:tcW w:type="dxa" w:w="2520"/>
            <w:tcBorders>
              <w:top w:val="single" w:color="CCCCCC" w:sz="1"/>
              <w:left w:val="single" w:color="CCCCCC" w:sz="1"/>
              <w:bottom w:val="single" w:color="CCCCCC" w:sz="1"/>
              <w:right w:val="single" w:color="CCCCCC" w:sz="1"/>
            </w:tcBorders>
            <w:shd w:fill="FDF4E8" w:val="clear"/>
            <w:tcMar>
              <w:top w:type="dxa" w:w="120"/>
              <w:left w:type="dxa" w:w="120"/>
              <w:bottom w:type="dxa" w:w="120"/>
              <w:right w:type="dxa" w:w="120"/>
            </w:tcMar>
            <w:vAlign w:val="center"/>
          </w:tcPr>
          <w:p>
            <w:pPr>
              <w:spacing w:before="0" w:after="20"/>
              <w:jc w:val="center"/>
            </w:pPr>
            <w:r>
              <w:rPr>
                <w:rFonts w:ascii="Arial" w:cs="Arial" w:eastAsia="Arial" w:hAnsi="Arial"/>
                <w:b/>
                <w:bCs/>
                <w:color w:val="B05A00"/>
                <w:sz w:val="30"/>
                <w:szCs w:val="30"/>
              </w:rPr>
              <w:t xml:space="preserve">25/25</w:t>
            </w:r>
          </w:p>
          <w:p>
            <w:pPr>
              <w:spacing w:before="0" w:after="0"/>
              <w:jc w:val="center"/>
            </w:pPr>
            <w:r>
              <w:rPr>
                <w:rFonts w:ascii="Arial" w:cs="Arial" w:eastAsia="Arial" w:hAnsi="Arial"/>
                <w:b w:val="false"/>
                <w:bCs w:val="false"/>
                <w:color w:val="333333"/>
                <w:sz w:val="17"/>
                <w:szCs w:val="17"/>
              </w:rPr>
              <w:t xml:space="preserve">Districts Affected</w:t>
            </w:r>
          </w:p>
        </w:tc>
      </w:tr>
    </w:tbl>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MANDATE 1: SLFRS S2</w:t>
            </w:r>
          </w:p>
        </w:tc>
        <w:tc>
          <w:tcPr>
            <w:tcW w:type="dxa" w:w="3360"/>
            <w:tcBorders>
              <w:top w:val="single" w:color="CCCCCC" w:sz="1"/>
              <w:left w:val="single" w:color="CCCCCC" w:sz="1"/>
              <w:bottom w:val="single" w:color="CCCCCC" w:sz="1"/>
              <w:right w:val="single" w:color="CCCCCC" w:sz="1"/>
            </w:tcBorders>
            <w:shd w:fill="B05A00"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MANDATE 2: CBSL ROADMAP 2.0</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MANDATE 3: DFI ACCESS</w:t>
            </w:r>
          </w:p>
        </w:tc>
      </w:tr>
      <w:tr>
        <w:tc>
          <w:tcPr>
            <w:tcW w:type="dxa" w:w="336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Mandatory from January 2025 for top 100 CSE-listed entities. Expanding to all listed by 2026 and to unlisted entities with LKR 10B+ turnover by 2028. Separate CBSL Direction to licensed banks applies regardless of listing status. SLFRS S2 requires governance, strategy (physical and transition risk), risk management, and metrics disclosures -- all four of which RDB currently cannot produce.</w:t>
            </w:r>
          </w:p>
        </w:tc>
        <w:tc>
          <w:tcPr>
            <w:tcW w:type="dxa" w:w="3360"/>
            <w:tcBorders>
              <w:top w:val="single" w:color="CCCCCC" w:sz="1"/>
              <w:left w:val="single" w:color="CCCCCC" w:sz="1"/>
              <w:bottom w:val="single" w:color="CCCCCC" w:sz="1"/>
              <w:right w:val="single" w:color="CCCCCC" w:sz="1"/>
            </w:tcBorders>
            <w:shd w:fill="FDF4E8"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Launched May 2025, co-developed with IFC. CBSL Governor called climate risk assessment a critical step for all licensed banks. Explicitly prioritises climate and business risk analysis, value chain evaluation, and financed emissions reporting. CBSL has already issued a Direction to licensed banks on sustainable finance reporting. RDB is a CBSL-licensed specialised bank and is directly in scope.</w:t>
            </w:r>
          </w:p>
        </w:tc>
        <w:tc>
          <w:tcPr>
            <w:tcW w:type="dxa" w:w="336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IFC Performance Standards require any partner bank to demonstrate adequate Environmental and Social Risk Management before accessing credit lines. GCF accreditation (DFCC precedent) required a documented climate risk framework. Without SLFRS S2 compliance and a published climate risk assessment, RDB cannot access the concessional DFI capital that makes the Green Bond strategy transformative.</w:t>
            </w:r>
          </w:p>
        </w:tc>
      </w:tr>
    </w:tbl>
    <w:p>
      <w:pPr>
        <w:spacing w:before="120" w:after="120"/>
      </w:pPr>
      <w:r>
        <w:rPr>
          <w:rFonts w:ascii="Arial" w:cs="Arial" w:eastAsia="Arial" w:hAnsi="Arial"/>
          <w:b w:val="false"/>
          <w:bCs w:val="false"/>
          <w:color w:val="333333"/>
          <w:sz w:val="20"/>
          <w:szCs w:val="20"/>
        </w:rPr>
        <w:t xml:space="preserve"> </w:t>
      </w:r>
    </w:p>
    <w:p>
      <w:pPr>
        <w:pBdr>
          <w:bottom w:val="single" w:color="8B1A1A" w:sz="4" w:space="1"/>
        </w:pBdr>
        <w:spacing w:before="140" w:after="140"/>
      </w:pPr>
      <w:r>
        <w:rPr>
          <w:rFonts w:ascii="Arial" w:cs="Arial" w:eastAsia="Arial" w:hAnsi="Arial"/>
          <w:b w:val="false"/>
          <w:bCs w:val="false"/>
          <w:color w:val="333333"/>
          <w:sz w:val="20"/>
          <w:szCs w:val="20"/>
        </w:rPr>
        <w:t xml:space="preserve"/>
      </w:r>
    </w:p>
    <w:p>
      <w:pPr>
        <w:pStyle w:val="Heading1"/>
        <w:spacing w:before="280" w:after="120"/>
      </w:pPr>
      <w:r>
        <w:rPr>
          <w:rFonts w:ascii="Arial" w:cs="Arial" w:eastAsia="Arial" w:hAnsi="Arial"/>
          <w:b/>
          <w:bCs/>
          <w:color w:val="1B3A5C"/>
          <w:sz w:val="38"/>
          <w:szCs w:val="38"/>
        </w:rPr>
        <w:t xml:space="preserve">PART 1 -- FIVE CASE STUDIES</w:t>
      </w:r>
    </w:p>
    <w:p>
      <w:pPr>
        <w:spacing w:before="80" w:after="80"/>
      </w:pPr>
      <w:r>
        <w:rPr>
          <w:rFonts w:ascii="Arial" w:cs="Arial" w:eastAsia="Arial" w:hAnsi="Arial"/>
          <w:b w:val="false"/>
          <w:bCs w:val="false"/>
          <w:color w:val="333333"/>
          <w:sz w:val="20"/>
          <w:szCs w:val="20"/>
        </w:rPr>
        <w:t xml:space="preserve">Four case studies come from comparable institutions globally. The fifth is not from another country -- it is Cyclone Ditwah mapped against RDB's own loan book. That one is the most important.</w:t>
      </w:r>
    </w:p>
    <w:p>
      <w:pPr>
        <w:spacing w:before="60" w:after="6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B3A5C" w:val="clear"/>
            <w:tcMar>
              <w:top w:type="dxa" w:w="140"/>
              <w:left w:type="dxa" w:w="200"/>
              <w:bottom w:type="dxa" w:w="140"/>
              <w:right w:type="dxa" w:w="200"/>
            </w:tcMar>
          </w:tcPr>
          <w:p>
            <w:pPr>
              <w:spacing w:before="80" w:after="80"/>
            </w:pPr>
            <w:r>
              <w:rPr>
                <w:rFonts w:ascii="Arial" w:cs="Arial" w:eastAsia="Arial" w:hAnsi="Arial"/>
                <w:b/>
                <w:bCs/>
                <w:color w:val="C8960C"/>
                <w:sz w:val="18"/>
                <w:szCs w:val="18"/>
              </w:rPr>
              <w:t xml:space="preserve">CASE STUDY 1</w:t>
            </w:r>
          </w:p>
          <w:p>
            <w:pPr>
              <w:spacing w:before="80" w:after="80"/>
            </w:pPr>
            <w:r>
              <w:rPr>
                <w:rFonts w:ascii="Arial" w:cs="Arial" w:eastAsia="Arial" w:hAnsi="Arial"/>
                <w:b/>
                <w:bCs/>
                <w:color w:val="FFFFFF"/>
                <w:sz w:val="28"/>
                <w:szCs w:val="28"/>
              </w:rPr>
              <w:t xml:space="preserve">Banco do Brasil -- Climate Risk Framework for the World's Largest Agricultural Loan Book</w:t>
            </w:r>
          </w:p>
          <w:p>
            <w:pPr>
              <w:spacing w:before="0" w:after="0"/>
            </w:pPr>
            <w:r>
              <w:rPr>
                <w:rFonts w:ascii="Arial" w:cs="Arial" w:eastAsia="Arial" w:hAnsi="Arial"/>
                <w:b w:val="false"/>
                <w:bCs w:val="false"/>
                <w:color w:val="BBBBBB"/>
                <w:sz w:val="18"/>
                <w:szCs w:val="18"/>
              </w:rPr>
              <w:t xml:space="preserve">Brazil  ·  State-owned agri bank  |  TCFD Alignment  |  Physical Risk by Crop and Region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Who</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Banco do Brasil (BB) -- Brazil's largest state-owned bank and the world's largest agricultural lender. Government-owned, agricultural development mandate, smallholder and agribusiness lending across all of Brazil's states. Its purpose and ownership structure is directly analogous to RDB.</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Problem They Faced</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Brazil experienced catastrophic drought cycles in 2012, 2021, and 2022 that severely impaired BB's agricultural loan portfolio. Crop failure rates spiked. Non-performing loans in agriculture rose sharply. BB's board and government regulators asked a question the bank could not answer: how much of our portfolio is at risk from the next drought event? The answer was: we do not know. We do not have the data. We do not have the model.</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 They Built</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BB developed a sector-by-sector, region-by-region climate physical risk mapping of its entire agricultural loan book. They categorised loans by crop type (sugarcane, soy, rice, cattle -- each with different drought and flood sensitivity), by geographic region (each mapped to climate risk zones from Brazil's National Institute for Spatial Research), and by loan tenor and collateral type. They then ran NGFS-based scenarios to project expected NPL increases under 1.5C, 2C, and 4C warming pathways over 5-year and 20-year horizons.</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TCFD Output</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BB produced a full TCFD-aligned Climate Risk Report covering: (1) Governance -- board-level Climate Risk Committee with quarterly reporting; (2) Strategy -- scenario analysis showing portfolio resilience under climate pathways; (3) Risk Management -- integration of climate risk scores into new loan origination decisions; (4) Metrics -- financed emissions by sector, NPL sensitivity by scenario. Published in their annual Sustainability Report from 2021.</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 It Unlocked</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TCFD report directly supported BB's access to IFC and World Bank green lending facilities. It enabled BB to build a preferential loan rate product for low-carbon-intensity farming practices -- because they could now measure and price the climate risk differential between a regenerative agriculture borrower and a high-deforestation borrower. The framework also gave BB's board the ability to demonstrate institutional competence on climate risk to regulators and international investors simultaneously.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40"/>
              <w:left w:type="dxa" w:w="200"/>
              <w:bottom w:type="dxa" w:w="140"/>
              <w:right w:type="dxa" w:w="200"/>
            </w:tcMar>
          </w:tcPr>
          <w:p>
            <w:pPr>
              <w:spacing w:before="80" w:after="80"/>
            </w:pPr>
            <w:r>
              <w:rPr>
                <w:rFonts w:ascii="Arial" w:cs="Arial" w:eastAsia="Arial" w:hAnsi="Arial"/>
                <w:b/>
                <w:bCs/>
                <w:color w:val="1A7A4A"/>
                <w:sz w:val="18"/>
                <w:szCs w:val="18"/>
              </w:rPr>
              <w:t xml:space="preserve">WHAT THIS MEANS FOR THE RDB PLAY</w:t>
            </w:r>
          </w:p>
          <w:p>
            <w:pPr>
              <w:spacing w:before="40" w:after="40"/>
            </w:pPr>
            <w:r>
              <w:rPr>
                <w:rFonts w:ascii="Arial" w:cs="Arial" w:eastAsia="Arial" w:hAnsi="Arial"/>
                <w:b w:val="false"/>
                <w:bCs w:val="false"/>
                <w:color w:val="333333"/>
                <w:sz w:val="20"/>
                <w:szCs w:val="20"/>
              </w:rPr>
              <w:t xml:space="preserve">→  BB's problem in 2021 is RDB's problem right now, post-Ditwah. 'How much of your portfolio is exposed to climate risk?' can no longer be answered with silence.</w:t>
            </w:r>
          </w:p>
          <w:p>
            <w:pPr>
              <w:spacing w:before="40" w:after="40"/>
            </w:pPr>
            <w:r>
              <w:rPr>
                <w:rFonts w:ascii="Arial" w:cs="Arial" w:eastAsia="Arial" w:hAnsi="Arial"/>
                <w:b w:val="false"/>
                <w:bCs w:val="false"/>
                <w:color w:val="333333"/>
                <w:sz w:val="20"/>
                <w:szCs w:val="20"/>
              </w:rPr>
              <w:t xml:space="preserve">→  The crop-by-crop, district-by-district mapping approach is exactly the methodology we apply to RDB. Rice in Eastern Province. Tea in Kandy and Nuwara Eliya. Vegetables in Badulla. Each sector has a different flood, drought, and landslide risk profile.</w:t>
            </w:r>
          </w:p>
          <w:p>
            <w:pPr>
              <w:spacing w:before="40" w:after="40"/>
            </w:pPr>
            <w:r>
              <w:rPr>
                <w:rFonts w:ascii="Arial" w:cs="Arial" w:eastAsia="Arial" w:hAnsi="Arial"/>
                <w:b w:val="false"/>
                <w:bCs w:val="false"/>
                <w:color w:val="333333"/>
                <w:sz w:val="20"/>
                <w:szCs w:val="20"/>
              </w:rPr>
              <w:t xml:space="preserve">→  BB's TCFD report unlocked IFC access. RDB's climate disclosure will do the same -- feeding directly into the Green Bond and DFI credit line strategy.</w:t>
            </w:r>
          </w:p>
        </w:tc>
      </w:tr>
    </w:tbl>
    <w:p>
      <w:pPr>
        <w:spacing w:before="60" w:after="6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7A4A" w:val="clear"/>
            <w:tcMar>
              <w:top w:type="dxa" w:w="140"/>
              <w:left w:type="dxa" w:w="200"/>
              <w:bottom w:type="dxa" w:w="140"/>
              <w:right w:type="dxa" w:w="200"/>
            </w:tcMar>
          </w:tcPr>
          <w:p>
            <w:pPr>
              <w:spacing w:before="80" w:after="80"/>
            </w:pPr>
            <w:r>
              <w:rPr>
                <w:rFonts w:ascii="Arial" w:cs="Arial" w:eastAsia="Arial" w:hAnsi="Arial"/>
                <w:b/>
                <w:bCs/>
                <w:color w:val="C8960C"/>
                <w:sz w:val="18"/>
                <w:szCs w:val="18"/>
              </w:rPr>
              <w:t xml:space="preserve">CASE STUDY 2</w:t>
            </w:r>
          </w:p>
          <w:p>
            <w:pPr>
              <w:spacing w:before="80" w:after="80"/>
            </w:pPr>
            <w:r>
              <w:rPr>
                <w:rFonts w:ascii="Arial" w:cs="Arial" w:eastAsia="Arial" w:hAnsi="Arial"/>
                <w:b/>
                <w:bCs/>
                <w:color w:val="FFFFFF"/>
                <w:sz w:val="28"/>
                <w:szCs w:val="28"/>
              </w:rPr>
              <w:t xml:space="preserve">NABARD -- India's Agricultural Development Bank Builds a TCFD Framework</w:t>
            </w:r>
          </w:p>
          <w:p>
            <w:pPr>
              <w:spacing w:before="0" w:after="0"/>
            </w:pPr>
            <w:r>
              <w:rPr>
                <w:rFonts w:ascii="Arial" w:cs="Arial" w:eastAsia="Arial" w:hAnsi="Arial"/>
                <w:b w:val="false"/>
                <w:bCs w:val="false"/>
                <w:color w:val="BBBBBB"/>
                <w:sz w:val="18"/>
                <w:szCs w:val="18"/>
              </w:rPr>
              <w:t xml:space="preserve">India  ·  National Bank for Agriculture and Rural Development  |  State-owned  |  Direct RDB parallel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Who</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NABARD -- National Bank for Agriculture and Rural Development, India's apex development finance institution for agricultural and rural finance. 100% government-owned. Provides refinancing to rural cooperative banks, regional rural banks, and MFIs serving India's 150+ million smallholder farmers. Its mandate is structurally identical to RDB's.</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Regulatory Driver</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Reserve Bank of India issued a discussion paper on climate risk in April 2023, followed by a draft framework in July 2024. RBI guidance explicitly includes development finance institutions in scope. NABARD was required to begin assessing physical climate risk in its refinancing portfolio -- covering the entire agricultural lending chain it sits at the top of.</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 NABARD Did</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NABARD partnered with IFC and the World Bank to build its climate risk framework. Key elements: physical risk mapping with flood, drought, and heat stress scores attached to each of India's 700 agro-climatic zones, cross-referenced against NABARD's refinancing exposures by district; transition risk screening identifying agricultural borrowers dependent on high-water-use crops in water-stressed zones; climate-adjusted credit risk models embedded into new loan origination; and a TCFD-aligned annual disclosure from 2024.</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IFC Partnership</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IFC provided technical assistance for NABARD's climate risk framework development as part of its South Asia green finance programme. This is a direct template for RDB: CBSL's Sustainable Finance Roadmap 2.0 was also co-developed with IFC. IFC knows Sri Lanka, knows the agricultural development bank sector, and has ready-made technical assistance packages for exactly this type of work.</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 It Enabled</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NABARD's climate risk framework enabled: direct access to ADB climate finance credit lines; issuance of green and social bonds on international markets; a preferential Green Credit Line for agricultural borrowers with low climate-risk profiles. It also gave NABARD's board the ability to quantify -- for the first time -- their exposure to a major flood event in Eastern India and what it means for NPLs.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40"/>
              <w:left w:type="dxa" w:w="200"/>
              <w:bottom w:type="dxa" w:w="140"/>
              <w:right w:type="dxa" w:w="200"/>
            </w:tcMar>
          </w:tcPr>
          <w:p>
            <w:pPr>
              <w:spacing w:before="80" w:after="80"/>
            </w:pPr>
            <w:r>
              <w:rPr>
                <w:rFonts w:ascii="Arial" w:cs="Arial" w:eastAsia="Arial" w:hAnsi="Arial"/>
                <w:b/>
                <w:bCs/>
                <w:color w:val="1A7A4A"/>
                <w:sz w:val="18"/>
                <w:szCs w:val="18"/>
              </w:rPr>
              <w:t xml:space="preserve">WHAT THIS MEANS FOR THE RDB PLAY</w:t>
            </w:r>
          </w:p>
          <w:p>
            <w:pPr>
              <w:spacing w:before="40" w:after="40"/>
            </w:pPr>
            <w:r>
              <w:rPr>
                <w:rFonts w:ascii="Arial" w:cs="Arial" w:eastAsia="Arial" w:hAnsi="Arial"/>
                <w:b w:val="false"/>
                <w:bCs w:val="false"/>
                <w:color w:val="333333"/>
                <w:sz w:val="20"/>
                <w:szCs w:val="20"/>
              </w:rPr>
              <w:t xml:space="preserve">→  NABARD is the closest institutional analogy to RDB in all of Asia. Same government ownership, same agricultural refinancing mandate, same smallholder focus. When the Chairman asks 'has anyone done this for a bank like ours?' -- NABARD is the answer.</w:t>
            </w:r>
          </w:p>
          <w:p>
            <w:pPr>
              <w:spacing w:before="40" w:after="40"/>
            </w:pPr>
            <w:r>
              <w:rPr>
                <w:rFonts w:ascii="Arial" w:cs="Arial" w:eastAsia="Arial" w:hAnsi="Arial"/>
                <w:b w:val="false"/>
                <w:bCs w:val="false"/>
                <w:color w:val="333333"/>
                <w:sz w:val="20"/>
                <w:szCs w:val="20"/>
              </w:rPr>
              <w:t xml:space="preserve">→  IFC has the exact technical assistance package ready. CBSL's Roadmap was built with IFC. The pathway CBSL mandate to IFC technical assistance to RDB climate risk framework is already mapped. We project-manage the engagement.</w:t>
            </w:r>
          </w:p>
          <w:p>
            <w:pPr>
              <w:spacing w:before="40" w:after="40"/>
            </w:pPr>
            <w:r>
              <w:rPr>
                <w:rFonts w:ascii="Arial" w:cs="Arial" w:eastAsia="Arial" w:hAnsi="Arial"/>
                <w:b w:val="false"/>
                <w:bCs w:val="false"/>
                <w:color w:val="333333"/>
                <w:sz w:val="20"/>
                <w:szCs w:val="20"/>
              </w:rPr>
              <w:t xml:space="preserve">→  NABARD's ADB credit line access came after the framework was in place. Same sequence for RDB.</w:t>
            </w:r>
          </w:p>
        </w:tc>
      </w:tr>
    </w:tbl>
    <w:p>
      <w:pPr>
        <w:spacing w:before="60" w:after="6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D6E6E" w:val="clear"/>
            <w:tcMar>
              <w:top w:type="dxa" w:w="140"/>
              <w:left w:type="dxa" w:w="200"/>
              <w:bottom w:type="dxa" w:w="140"/>
              <w:right w:type="dxa" w:w="200"/>
            </w:tcMar>
          </w:tcPr>
          <w:p>
            <w:pPr>
              <w:spacing w:before="80" w:after="80"/>
            </w:pPr>
            <w:r>
              <w:rPr>
                <w:rFonts w:ascii="Arial" w:cs="Arial" w:eastAsia="Arial" w:hAnsi="Arial"/>
                <w:b/>
                <w:bCs/>
                <w:color w:val="C8960C"/>
                <w:sz w:val="18"/>
                <w:szCs w:val="18"/>
              </w:rPr>
              <w:t xml:space="preserve">CASE STUDY 3</w:t>
            </w:r>
          </w:p>
          <w:p>
            <w:pPr>
              <w:spacing w:before="80" w:after="80"/>
            </w:pPr>
            <w:r>
              <w:rPr>
                <w:rFonts w:ascii="Arial" w:cs="Arial" w:eastAsia="Arial" w:hAnsi="Arial"/>
                <w:b/>
                <w:bCs/>
                <w:color w:val="FFFFFF"/>
                <w:sz w:val="28"/>
                <w:szCs w:val="28"/>
              </w:rPr>
              <w:t xml:space="preserve">Bangladesh Bank -- ESRM Mandate for All Banks Including Agricultural Development Banks</w:t>
            </w:r>
          </w:p>
          <w:p>
            <w:pPr>
              <w:spacing w:before="0" w:after="0"/>
            </w:pPr>
            <w:r>
              <w:rPr>
                <w:rFonts w:ascii="Arial" w:cs="Arial" w:eastAsia="Arial" w:hAnsi="Arial"/>
                <w:b w:val="false"/>
                <w:bCs w:val="false"/>
                <w:color w:val="BBBBBB"/>
                <w:sz w:val="18"/>
                <w:szCs w:val="18"/>
              </w:rPr>
              <w:t xml:space="preserve">Bangladesh  ·  Comparable South Asian regulatory context  |  Covers Krishi Bank (agri DFI)  |  CBSL mirror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Who</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Bangladesh Bank -- the central bank of Bangladesh. In 2011 it issued Environmental and Social Risk Management (ESRM) guidelines as mandatory requirements for all scheduled banks, explicitly including Bangladesh Krishi Bank -- the state-owned agricultural development bank and the Bangladesh equivalent of RDB.</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Mandate</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Bangladesh Bank's guidelines required all banks to: establish an environment and climate risk unit; integrate environmental and climate risk into credit appraisal for all loans above a threshold size; report green financing and climate risk exposure to Bangladesh Bank quarterly; publish an annual green banking report. By 2016, guidelines evolved into mandatory Green Finance targets -- 5% of total disbursements to direct green projects.</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Why This Mirrors Sri Lanka</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CBSL modelled key elements of its Sustainable Finance Roadmap on Bangladesh Bank's framework. Both are IFC-supported SBFN (Sustainable Banking and Finance Network) members. Sri Lanka joined SBFN in 2016. CBSL's current reporting Direction to licensed banks is structurally identical to Bangladesh Bank's quarterly green banking reporting requirement. Sri Lanka is following the same regulatory evolution, roughly 5 to 8 years behind Bangladesh.</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Krishi Bank Case</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Bangladesh Krishi Bank -- 100% government-owned agricultural development bank -- was required to comply from 2011. Despite initial resistance arguing that ESG rules were for commercial banks, not development banks, it ultimately built its green banking unit, integrated environmental risk into agricultural credit assessments, and is now considered a South Asian leader in agricultural green finance. The evolution from resistance to leadership took four years.</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Enforcement Timeline</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Bangladesh Bank's experience shows the window between 'Direction issued' and 'enforcement action begins' is typically 18 to 30 months. CBSL's Roadmap 2.0 was launched in May 2025. That puts the enforcement window beginning around November 2026 to November 2027. RDB has a narrow lead time. Cyclone Ditwah has likely shortened it.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40"/>
              <w:left w:type="dxa" w:w="200"/>
              <w:bottom w:type="dxa" w:w="140"/>
              <w:right w:type="dxa" w:w="200"/>
            </w:tcMar>
          </w:tcPr>
          <w:p>
            <w:pPr>
              <w:spacing w:before="80" w:after="80"/>
            </w:pPr>
            <w:r>
              <w:rPr>
                <w:rFonts w:ascii="Arial" w:cs="Arial" w:eastAsia="Arial" w:hAnsi="Arial"/>
                <w:b/>
                <w:bCs/>
                <w:color w:val="1A7A4A"/>
                <w:sz w:val="18"/>
                <w:szCs w:val="18"/>
              </w:rPr>
              <w:t xml:space="preserve">WHAT THIS MEANS FOR THE RDB PLAY</w:t>
            </w:r>
          </w:p>
          <w:p>
            <w:pPr>
              <w:spacing w:before="40" w:after="40"/>
            </w:pPr>
            <w:r>
              <w:rPr>
                <w:rFonts w:ascii="Arial" w:cs="Arial" w:eastAsia="Arial" w:hAnsi="Arial"/>
                <w:b w:val="false"/>
                <w:bCs w:val="false"/>
                <w:color w:val="333333"/>
                <w:sz w:val="20"/>
                <w:szCs w:val="20"/>
              </w:rPr>
              <w:t xml:space="preserve">→  Bangladesh Bank's trajectory tells RDB: the CBSL Direction is not advisory -- it will become enforceable. Krishi Bank tried to argue the development bank exemption. It lost. We start building now, not under regulatory pressure.</w:t>
            </w:r>
          </w:p>
          <w:p>
            <w:pPr>
              <w:spacing w:before="40" w:after="40"/>
            </w:pPr>
            <w:r>
              <w:rPr>
                <w:rFonts w:ascii="Arial" w:cs="Arial" w:eastAsia="Arial" w:hAnsi="Arial"/>
                <w:b w:val="false"/>
                <w:bCs w:val="false"/>
                <w:color w:val="333333"/>
                <w:sz w:val="20"/>
                <w:szCs w:val="20"/>
              </w:rPr>
              <w:t xml:space="preserve">→  The 18 to 30 month enforcement window is the business case for acting immediately. First-movers set the standard. Laggards get the supervisory letter.</w:t>
            </w:r>
          </w:p>
          <w:p>
            <w:pPr>
              <w:spacing w:before="40" w:after="40"/>
            </w:pPr>
            <w:r>
              <w:rPr>
                <w:rFonts w:ascii="Arial" w:cs="Arial" w:eastAsia="Arial" w:hAnsi="Arial"/>
                <w:b w:val="false"/>
                <w:bCs w:val="false"/>
                <w:color w:val="333333"/>
                <w:sz w:val="20"/>
                <w:szCs w:val="20"/>
              </w:rPr>
              <w:t xml:space="preserve">→  The quarterly reporting requirement Bangladesh imposed -- and which CBSL is moving toward -- is the annual retainer opportunity. Once we build the framework, RDB needs it maintained every year.</w:t>
            </w:r>
          </w:p>
        </w:tc>
      </w:tr>
    </w:tbl>
    <w:p>
      <w:pPr>
        <w:spacing w:before="60" w:after="6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4A1A6E" w:val="clear"/>
            <w:tcMar>
              <w:top w:type="dxa" w:w="140"/>
              <w:left w:type="dxa" w:w="200"/>
              <w:bottom w:type="dxa" w:w="140"/>
              <w:right w:type="dxa" w:w="200"/>
            </w:tcMar>
          </w:tcPr>
          <w:p>
            <w:pPr>
              <w:spacing w:before="80" w:after="80"/>
            </w:pPr>
            <w:r>
              <w:rPr>
                <w:rFonts w:ascii="Arial" w:cs="Arial" w:eastAsia="Arial" w:hAnsi="Arial"/>
                <w:b/>
                <w:bCs/>
                <w:color w:val="C8960C"/>
                <w:sz w:val="18"/>
                <w:szCs w:val="18"/>
              </w:rPr>
              <w:t xml:space="preserve">CASE STUDY 4</w:t>
            </w:r>
          </w:p>
          <w:p>
            <w:pPr>
              <w:spacing w:before="80" w:after="80"/>
            </w:pPr>
            <w:r>
              <w:rPr>
                <w:rFonts w:ascii="Arial" w:cs="Arial" w:eastAsia="Arial" w:hAnsi="Arial"/>
                <w:b/>
                <w:bCs/>
                <w:color w:val="FFFFFF"/>
                <w:sz w:val="28"/>
                <w:szCs w:val="28"/>
              </w:rPr>
              <w:t xml:space="preserve">ECB Climate Stress Test 2022 -- How Physical Risk Destroys Agricultural Bank Portfolios</w:t>
            </w:r>
          </w:p>
          <w:p>
            <w:pPr>
              <w:spacing w:before="0" w:after="0"/>
            </w:pPr>
            <w:r>
              <w:rPr>
                <w:rFonts w:ascii="Arial" w:cs="Arial" w:eastAsia="Arial" w:hAnsi="Arial"/>
                <w:b w:val="false"/>
                <w:bCs w:val="false"/>
                <w:color w:val="BBBBBB"/>
                <w:sz w:val="18"/>
                <w:szCs w:val="18"/>
              </w:rPr>
              <w:t xml:space="preserve">European Union  ·  ECB and EBA  |  Flood and Drought Scenarios  |  Agriculture Most Exposed  |  CBSL direction of travel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 It Was</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In 2022, the European Central Bank ran a system-wide climate stress test covering 104 banks with EUR 24 trillion in assets. It was the most comprehensive quantitative climate risk assessment ever run on an entire banking sector. Published results showed how much NPL increases banks faced under 1.5C, 2C, and 4C warming scenarios, specifically for flood risk and drought risk by sector and geography.</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Agriculture Finding</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ECB stress test found that agriculture and construction were the two hardest-hit sectors under physical climate scenarios. Under the flood scenario, agricultural loan NPLs increased by 15 to 35 percent depending on region and crop type. Under drought, the increase was 10 to 25 percent. The common factor: banks with concentrated agricultural portfolios in high-risk geographic zones faced disproportionate losses versus diversified commercial banks. This is precisely RDB's risk profile.</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Methodology Applicable to RDB</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ECB used three scenario types: acute physical risk (flood and drought stress tests showing 1-year NPL impact); chronic physical risk (30-year heat stress and rainfall change affecting land values and crop yields); and transition risk (carbon pricing affecting fossil fuel-dependent industries). For each scenario, banks mapped their loan book to geographic climate risk data using district-level flood and drought hazard maps. The methodology is directly transferable to Sri Lanka using publicly available Sri Lanka DMC and Geological Survey data.</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CBSL Connection</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CBSL's Sustainable Finance Roadmap 2.0 references global standards including Basel Committee principles and NGFS climate scenarios. The NGFS scenarios used by the ECB are the same NGFS scenarios CBSL is directing Sri Lankan banks to use for their own climate risk assessments. We adapt the ECB's proven methodology for Sri Lanka's hazard data -- no new framework required, just local calibration.</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Pillar 2 Warning</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ECB found that banks which had done no prior climate risk work faced the largest supervisory gap between their stated resilience and their actual modelled exposure -- not because they had more risk, but because they had less data. The regulatory response was a Pillar 2 capital add-on. CBSL's Roadmap 2.0 signals the same direction. Banks with inadequate climate risk frameworks will face supervisory scrutiny. RDB's concentrated agricultural portfolio in the districts most damaged by Ditwah makes it the bank with the highest latent gap between stated resilience and actual climate exposure.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40"/>
              <w:left w:type="dxa" w:w="200"/>
              <w:bottom w:type="dxa" w:w="140"/>
              <w:right w:type="dxa" w:w="200"/>
            </w:tcMar>
          </w:tcPr>
          <w:p>
            <w:pPr>
              <w:spacing w:before="80" w:after="80"/>
            </w:pPr>
            <w:r>
              <w:rPr>
                <w:rFonts w:ascii="Arial" w:cs="Arial" w:eastAsia="Arial" w:hAnsi="Arial"/>
                <w:b/>
                <w:bCs/>
                <w:color w:val="1A7A4A"/>
                <w:sz w:val="18"/>
                <w:szCs w:val="18"/>
              </w:rPr>
              <w:t xml:space="preserve">WHAT THIS MEANS FOR THE RDB PLAY</w:t>
            </w:r>
          </w:p>
          <w:p>
            <w:pPr>
              <w:spacing w:before="40" w:after="40"/>
            </w:pPr>
            <w:r>
              <w:rPr>
                <w:rFonts w:ascii="Arial" w:cs="Arial" w:eastAsia="Arial" w:hAnsi="Arial"/>
                <w:b w:val="false"/>
                <w:bCs w:val="false"/>
                <w:color w:val="333333"/>
                <w:sz w:val="20"/>
                <w:szCs w:val="20"/>
              </w:rPr>
              <w:t xml:space="preserve">→  The ECB methodology -- flood stress test plus drought stress test plus transition risk screen, mapped to geographic loan book data -- is exactly what we apply to RDB. The data inputs change (Sri Lanka DMC flood maps versus EU climate data), but the framework is identical.</w:t>
            </w:r>
          </w:p>
          <w:p>
            <w:pPr>
              <w:spacing w:before="40" w:after="40"/>
            </w:pPr>
            <w:r>
              <w:rPr>
                <w:rFonts w:ascii="Arial" w:cs="Arial" w:eastAsia="Arial" w:hAnsi="Arial"/>
                <w:b w:val="false"/>
                <w:bCs w:val="false"/>
                <w:color w:val="333333"/>
                <w:sz w:val="20"/>
                <w:szCs w:val="20"/>
              </w:rPr>
              <w:t xml:space="preserve">→  The Pillar 2 capital add-on threat is coming to Sri Lanka. CBSL Roadmap 2.0 is signalling it. Banks that invest in proper climate risk frameworks now avoid regulatory capital surcharges later. We pitch this as cost avoidance, not just compliance.</w:t>
            </w:r>
          </w:p>
          <w:p>
            <w:pPr>
              <w:spacing w:before="40" w:after="40"/>
            </w:pPr>
            <w:r>
              <w:rPr>
                <w:rFonts w:ascii="Arial" w:cs="Arial" w:eastAsia="Arial" w:hAnsi="Arial"/>
                <w:b w:val="false"/>
                <w:bCs w:val="false"/>
                <w:color w:val="333333"/>
                <w:sz w:val="20"/>
                <w:szCs w:val="20"/>
              </w:rPr>
              <w:t xml:space="preserve">→  Agriculture as the hardest-hit sector is not a European finding. Cyclone Ditwah confirmed it in Sri Lanka in November 2025. The ECB modelled it theoretically; Ditwah proved it empirically.</w:t>
            </w:r>
          </w:p>
        </w:tc>
      </w:tr>
    </w:tbl>
    <w:p>
      <w:pPr>
        <w:spacing w:before="60" w:after="60"/>
      </w:pPr>
      <w:r>
        <w:rPr>
          <w:rFonts w:ascii="Arial" w:cs="Arial" w:eastAsia="Arial" w:hAnsi="Arial"/>
          <w:b w:val="false"/>
          <w:bCs w:val="false"/>
          <w:color w:val="333333"/>
          <w:sz w:val="20"/>
          <w:szCs w:val="20"/>
        </w:rPr>
        <w:t xml:space="preserve"> </w:t>
      </w:r>
    </w:p>
    <w:p>
      <w:pPr>
        <w:pStyle w:val="Heading2"/>
        <w:spacing w:before="220" w:after="100"/>
      </w:pPr>
      <w:r>
        <w:rPr>
          <w:rFonts w:ascii="Arial" w:cs="Arial" w:eastAsia="Arial" w:hAnsi="Arial"/>
          <w:b/>
          <w:bCs/>
          <w:color w:val="8B1A1A"/>
          <w:sz w:val="28"/>
          <w:szCs w:val="28"/>
        </w:rPr>
        <w:t xml:space="preserve">CASE STUDY 5 -- NOT A FOREIGN CASE STUDY. THIS IS RDB'S OWN PORTFOLIO.</w:t>
      </w:r>
    </w:p>
    <w:p>
      <w:pPr>
        <w:spacing w:before="80" w:after="80"/>
      </w:pPr>
      <w:r>
        <w:rPr>
          <w:rFonts w:ascii="Arial" w:cs="Arial" w:eastAsia="Arial" w:hAnsi="Arial"/>
          <w:b w:val="false"/>
          <w:bCs w:val="false"/>
          <w:color w:val="333333"/>
          <w:sz w:val="20"/>
          <w:szCs w:val="20"/>
        </w:rPr>
        <w:t xml:space="preserve">Cyclone Ditwah has already stress-tested RDB's loan book. We do not need to model a hypothetical scenario. We need to quantify what just happened and build the capacity to answer the question the next time.</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8B1A1A" w:val="clear"/>
            <w:tcMar>
              <w:top w:type="dxa" w:w="140"/>
              <w:left w:type="dxa" w:w="200"/>
              <w:bottom w:type="dxa" w:w="140"/>
              <w:right w:type="dxa" w:w="200"/>
            </w:tcMar>
          </w:tcPr>
          <w:p>
            <w:pPr>
              <w:spacing w:before="80" w:after="80"/>
            </w:pPr>
            <w:r>
              <w:rPr>
                <w:rFonts w:ascii="Arial" w:cs="Arial" w:eastAsia="Arial" w:hAnsi="Arial"/>
                <w:b/>
                <w:bCs/>
                <w:color w:val="C8960C"/>
                <w:sz w:val="26"/>
                <w:szCs w:val="26"/>
              </w:rPr>
              <w:t xml:space="preserve">Cyclone Ditwah -- November 28, 2025</w:t>
            </w:r>
          </w:p>
          <w:p>
            <w:pPr>
              <w:spacing w:before="0" w:after="0"/>
            </w:pPr>
            <w:r>
              <w:rPr>
                <w:rFonts w:ascii="Arial" w:cs="Arial" w:eastAsia="Arial" w:hAnsi="Arial"/>
                <w:b/>
                <w:bCs/>
                <w:color w:val="FFFFFF"/>
                <w:sz w:val="20"/>
                <w:szCs w:val="20"/>
              </w:rPr>
              <w:t xml:space="preserve">USD 4.1 Billion in Direct Damage  |  4% of GDP  |  643 Deaths  |  All 25 Districts</w:t>
            </w:r>
          </w:p>
        </w:tc>
      </w:tr>
    </w:tbl>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400"/>
        <w:gridCol w:w="2400"/>
      </w:tblGrid>
      <w:tr>
        <w:tc>
          <w:tcPr>
            <w:tcW w:type="dxa" w:w="2400"/>
            <w:tcBorders>
              <w:top w:val="single" w:color="CCCCCC" w:sz="1"/>
              <w:left w:val="single" w:color="CCCCCC" w:sz="1"/>
              <w:bottom w:val="single" w:color="CCCCCC" w:sz="1"/>
              <w:right w:val="single" w:color="CCCCCC" w:sz="1"/>
            </w:tcBorders>
            <w:shd w:fill="3A4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RDB Loan Category</w:t>
            </w:r>
          </w:p>
        </w:tc>
        <w:tc>
          <w:tcPr>
            <w:tcW w:type="dxa" w:w="288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Cyclone Ditwah Impact</w:t>
            </w:r>
          </w:p>
        </w:tc>
        <w:tc>
          <w:tcPr>
            <w:tcW w:type="dxa" w:w="2400"/>
            <w:tcBorders>
              <w:top w:val="single" w:color="CCCCCC" w:sz="1"/>
              <w:left w:val="single" w:color="CCCCCC" w:sz="1"/>
              <w:bottom w:val="single" w:color="CCCCCC" w:sz="1"/>
              <w:right w:val="single" w:color="CCCCCC" w:sz="1"/>
            </w:tcBorders>
            <w:shd w:fill="3A4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Hardest-Hit Districts</w:t>
            </w:r>
          </w:p>
        </w:tc>
        <w:tc>
          <w:tcPr>
            <w:tcW w:type="dxa" w:w="2400"/>
            <w:tcBorders>
              <w:top w:val="single" w:color="CCCCCC" w:sz="1"/>
              <w:left w:val="single" w:color="CCCCCC" w:sz="1"/>
              <w:bottom w:val="single" w:color="CCCCCC" w:sz="1"/>
              <w:right w:val="single" w:color="CCCCCC" w:sz="1"/>
            </w:tcBorders>
            <w:shd w:fill="3A4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RDB Exposure</w:t>
            </w:r>
          </w:p>
        </w:tc>
      </w:tr>
      <w:tr>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Rice and Paddy Farmers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108,000 ha paddy completely destroyed. 58,000 ha Eastern Province flooded during Maha season when 775,000 farmers had freshly sown crops. Most severe agricultural damage in modern Sri Lanka.</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A4A5C"/>
                <w:sz w:val="18"/>
                <w:szCs w:val="18"/>
              </w:rPr>
              <w:t xml:space="preserve">Trincomalee, Batticaloa, Polonnaruwa, Ampara</w:t>
            </w:r>
          </w:p>
        </w:tc>
        <w:tc>
          <w:tcPr>
            <w:tcW w:type="dxa" w:w="24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bCs/>
                <w:color w:val="8B1A1A"/>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Tea Estate Smallholders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Production disruption in Nuwara Eliya, Badulla, Kandy. Landslides destroyed line rooms and access roads. Export revenue of USD 1.29B threatened for H1 2026.</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A4A5C"/>
                <w:sz w:val="18"/>
                <w:szCs w:val="18"/>
              </w:rPr>
              <w:t xml:space="preserve">Kandy, Nuwara Eliya, Badulla</w:t>
            </w:r>
          </w:p>
        </w:tc>
        <w:tc>
          <w:tcPr>
            <w:tcW w:type="dxa" w:w="2400"/>
            <w:tcBorders>
              <w:top w:val="single" w:color="CCCCCC" w:sz="1"/>
              <w:left w:val="single" w:color="CCCCCC" w:sz="1"/>
              <w:bottom w:val="single" w:color="CCCCCC" w:sz="1"/>
              <w:right w:val="single" w:color="CCCCCC" w:sz="1"/>
            </w:tcBorders>
            <w:shd w:fill="FDF4E8"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HIGH</w:t>
            </w:r>
          </w:p>
        </w:tc>
      </w:tr>
      <w:tr>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Vegetable and Maize Farmers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6,143 ha vegetables and 6,600 ha maize destroyed. Food security crisis in hill-country districts. Price inflation across agricultural supply chain.</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A4A5C"/>
                <w:sz w:val="18"/>
                <w:szCs w:val="18"/>
              </w:rPr>
              <w:t xml:space="preserve">Nuwara Eliya, Badulla, Matale, Kegalle</w:t>
            </w:r>
          </w:p>
        </w:tc>
        <w:tc>
          <w:tcPr>
            <w:tcW w:type="dxa" w:w="2400"/>
            <w:tcBorders>
              <w:top w:val="single" w:color="CCCCCC" w:sz="1"/>
              <w:left w:val="single" w:color="CCCCCC" w:sz="1"/>
              <w:bottom w:val="single" w:color="CCCCCC" w:sz="1"/>
              <w:right w:val="single" w:color="CCCCCC" w:sz="1"/>
            </w:tcBorders>
            <w:shd w:fill="FDF4E8" w:val="clear"/>
            <w:tcMar>
              <w:top w:type="dxa" w:w="100"/>
              <w:left w:type="dxa" w:w="140"/>
              <w:bottom w:type="dxa" w:w="100"/>
              <w:right w:type="dxa" w:w="140"/>
            </w:tcMar>
            <w:vAlign w:val="top"/>
          </w:tcPr>
          <w:p>
            <w:pPr>
              <w:spacing w:before="80" w:after="80"/>
            </w:pPr>
            <w:r>
              <w:rPr>
                <w:rFonts w:ascii="Arial" w:cs="Arial" w:eastAsia="Arial" w:hAnsi="Arial"/>
                <w:b/>
                <w:bCs/>
                <w:color w:val="B05A00"/>
                <w:sz w:val="18"/>
                <w:szCs w:val="18"/>
              </w:rPr>
              <w:t xml:space="preserve">HIGH</w:t>
            </w:r>
          </w:p>
        </w:tc>
      </w:tr>
      <w:tr>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Livestock Farmers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Cattle, poultry, and small ruminant losses across all 25 districts. Grazing land submerged. Feed stock destroyed. Compounding losses for mixed-farming households.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A4A5C"/>
                <w:sz w:val="18"/>
                <w:szCs w:val="18"/>
              </w:rPr>
              <w:t xml:space="preserve">Kurunegala, Puttalam, Anuradhapura</w:t>
            </w:r>
          </w:p>
        </w:tc>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MODERATE-HIGH</w:t>
            </w:r>
          </w:p>
        </w:tc>
      </w:tr>
      <w:tr>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Coastal Fisheries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Storm surge and flood damage to fishing vessels, nets, and harbour infrastructure in Eastern coast communities. Livelihoods disrupted for weeks post-landfall.</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A4A5C"/>
                <w:sz w:val="18"/>
                <w:szCs w:val="18"/>
              </w:rPr>
              <w:t xml:space="preserve">Trincomalee, Batticaloa, Ampara, Jaffna</w:t>
            </w:r>
          </w:p>
        </w:tc>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MODERATE</w:t>
            </w:r>
          </w:p>
        </w:tc>
      </w:tr>
      <w:tr>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Rural MSMEs and Traders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8"/>
                <w:szCs w:val="18"/>
              </w:rPr>
              <w:t xml:space="preserve">247km of major roads and 35 bridges damaged. Rural businesses isolated from supply chains. Agri-input dealers, transport operators, village kiosks all disrupted across all 25 districts.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A4A5C"/>
                <w:sz w:val="18"/>
                <w:szCs w:val="18"/>
              </w:rPr>
              <w:t xml:space="preserve">All 25 districts</w:t>
            </w:r>
          </w:p>
        </w:tc>
        <w:tc>
          <w:tcPr>
            <w:tcW w:type="dxa" w:w="24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vAlign w:val="top"/>
          </w:tcPr>
          <w:p>
            <w:pPr>
              <w:spacing w:before="80" w:after="80"/>
            </w:pPr>
            <w:r>
              <w:rPr>
                <w:rFonts w:ascii="Arial" w:cs="Arial" w:eastAsia="Arial" w:hAnsi="Arial"/>
                <w:b/>
                <w:bCs/>
                <w:color w:val="1B3A5C"/>
                <w:sz w:val="18"/>
                <w:szCs w:val="18"/>
              </w:rPr>
              <w:t xml:space="preserve">MODERATE</w:t>
            </w:r>
          </w:p>
        </w:tc>
      </w:tr>
    </w:tbl>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DF0F0" w:val="clear"/>
            <w:tcMar>
              <w:top w:type="dxa" w:w="140"/>
              <w:left w:type="dxa" w:w="200"/>
              <w:bottom w:type="dxa" w:w="140"/>
              <w:right w:type="dxa" w:w="200"/>
            </w:tcMar>
          </w:tcPr>
          <w:p>
            <w:pPr>
              <w:spacing w:before="80" w:after="80"/>
            </w:pPr>
            <w:r>
              <w:rPr>
                <w:rFonts w:ascii="Arial" w:cs="Arial" w:eastAsia="Arial" w:hAnsi="Arial"/>
                <w:b/>
                <w:bCs/>
                <w:color w:val="8B1A1A"/>
                <w:sz w:val="20"/>
                <w:szCs w:val="20"/>
              </w:rPr>
              <w:t xml:space="preserve">Five Questions RDB Cannot Answer -- But CBSL, IFC, and ADB Will Ask</w:t>
            </w:r>
          </w:p>
          <w:p>
            <w:pPr>
              <w:spacing w:before="40" w:after="20"/>
            </w:pPr>
            <w:r>
              <w:rPr>
                <w:rFonts w:ascii="Arial" w:cs="Arial" w:eastAsia="Arial" w:hAnsi="Arial"/>
                <w:b w:val="false"/>
                <w:bCs w:val="false"/>
                <w:color w:val="333333"/>
                <w:sz w:val="19"/>
                <w:szCs w:val="19"/>
              </w:rPr>
              <w:t xml:space="preserve">1.  What percentage of RDB's loan book (by value) is in Ditwah-affected districts?</w:t>
            </w:r>
          </w:p>
          <w:p>
            <w:pPr>
              <w:spacing w:before="0" w:after="20"/>
            </w:pPr>
            <w:r>
              <w:rPr>
                <w:rFonts w:ascii="Arial" w:cs="Arial" w:eastAsia="Arial" w:hAnsi="Arial"/>
                <w:b w:val="false"/>
                <w:bCs w:val="false"/>
                <w:color w:val="333333"/>
                <w:sz w:val="19"/>
                <w:szCs w:val="19"/>
              </w:rPr>
              <w:t xml:space="preserve">2.  What is the estimated NPL increase from Ditwah across the agricultural portfolio?</w:t>
            </w:r>
          </w:p>
          <w:p>
            <w:pPr>
              <w:spacing w:before="0" w:after="20"/>
            </w:pPr>
            <w:r>
              <w:rPr>
                <w:rFonts w:ascii="Arial" w:cs="Arial" w:eastAsia="Arial" w:hAnsi="Arial"/>
                <w:b w:val="false"/>
                <w:bCs w:val="false"/>
                <w:color w:val="333333"/>
                <w:sz w:val="19"/>
                <w:szCs w:val="19"/>
              </w:rPr>
              <w:t xml:space="preserve">3.  What was RDB's total modelled exposure to a 1-in-30-year flood event -- Ditwah's return period per World Weather Attribution's analysis?</w:t>
            </w:r>
          </w:p>
          <w:p>
            <w:pPr>
              <w:spacing w:before="0" w:after="20"/>
            </w:pPr>
            <w:r>
              <w:rPr>
                <w:rFonts w:ascii="Arial" w:cs="Arial" w:eastAsia="Arial" w:hAnsi="Arial"/>
                <w:b w:val="false"/>
                <w:bCs w:val="false"/>
                <w:color w:val="333333"/>
                <w:sz w:val="19"/>
                <w:szCs w:val="19"/>
              </w:rPr>
              <w:t xml:space="preserve">4.  Does RDB have a board-level Climate Risk Committee, a climate risk policy, or any climate scenario analysis on file?</w:t>
            </w:r>
          </w:p>
          <w:p>
            <w:pPr>
              <w:spacing w:before="0" w:after="40"/>
            </w:pPr>
            <w:r>
              <w:rPr>
                <w:rFonts w:ascii="Arial" w:cs="Arial" w:eastAsia="Arial" w:hAnsi="Arial"/>
                <w:b w:val="false"/>
                <w:bCs w:val="false"/>
                <w:color w:val="333333"/>
                <w:sz w:val="19"/>
                <w:szCs w:val="19"/>
              </w:rPr>
              <w:t xml:space="preserve">5.  How does RDB price physical climate risk (flood, drought, landslide) into its agricultural loan origination and pricing decisions?</w:t>
            </w:r>
          </w:p>
          <w:p>
            <w:pPr>
              <w:spacing w:before="0" w:after="0"/>
            </w:pPr>
            <w:r>
              <w:rPr>
                <w:rFonts w:ascii="Arial" w:cs="Arial" w:eastAsia="Arial" w:hAnsi="Arial"/>
                <w:b/>
                <w:bCs/>
                <w:color w:val="8B1A1A"/>
                <w:sz w:val="20"/>
                <w:szCs w:val="20"/>
              </w:rPr>
              <w:t xml:space="preserve">The answer to every one of these questions is: we do not have this data. We cannot produce this answer. That is the gap. That is our mandate.</w:t>
            </w:r>
          </w:p>
        </w:tc>
      </w:tr>
    </w:tbl>
    <w:p>
      <w:pPr>
        <w:spacing w:before="120" w:after="120"/>
      </w:pPr>
      <w:r>
        <w:rPr>
          <w:rFonts w:ascii="Arial" w:cs="Arial" w:eastAsia="Arial" w:hAnsi="Arial"/>
          <w:b w:val="false"/>
          <w:bCs w:val="false"/>
          <w:color w:val="333333"/>
          <w:sz w:val="20"/>
          <w:szCs w:val="20"/>
        </w:rPr>
        <w:t xml:space="preserve"> </w:t>
      </w:r>
    </w:p>
    <w:p>
      <w:pPr>
        <w:pBdr>
          <w:bottom w:val="single" w:color="8B1A1A" w:sz="4" w:space="1"/>
        </w:pBdr>
        <w:spacing w:before="140" w:after="140"/>
      </w:pPr>
      <w:r>
        <w:rPr>
          <w:rFonts w:ascii="Arial" w:cs="Arial" w:eastAsia="Arial" w:hAnsi="Arial"/>
          <w:b w:val="false"/>
          <w:bCs w:val="false"/>
          <w:color w:val="333333"/>
          <w:sz w:val="20"/>
          <w:szCs w:val="20"/>
        </w:rPr>
        <w:t xml:space="preserve"/>
      </w:r>
    </w:p>
    <w:p>
      <w:r>
        <w:br w:type="page"/>
      </w:r>
    </w:p>
    <w:p>
      <w:pPr>
        <w:pStyle w:val="Heading1"/>
        <w:spacing w:before="280" w:after="120"/>
      </w:pPr>
      <w:r>
        <w:rPr>
          <w:rFonts w:ascii="Arial" w:cs="Arial" w:eastAsia="Arial" w:hAnsi="Arial"/>
          <w:b/>
          <w:bCs/>
          <w:color w:val="1B3A5C"/>
          <w:sz w:val="38"/>
          <w:szCs w:val="38"/>
        </w:rPr>
        <w:t xml:space="preserve">PART 2 -- THE BUSINESS MODEL</w:t>
      </w:r>
    </w:p>
    <w:p>
      <w:pPr>
        <w:spacing w:before="80" w:after="80"/>
      </w:pPr>
      <w:r>
        <w:rPr>
          <w:rFonts w:ascii="Arial" w:cs="Arial" w:eastAsia="Arial" w:hAnsi="Arial"/>
          <w:b w:val="false"/>
          <w:bCs w:val="false"/>
          <w:color w:val="333333"/>
          <w:sz w:val="20"/>
          <w:szCs w:val="20"/>
        </w:rPr>
        <w:t xml:space="preserve">We are the climate risk advisory layer that RDB does not have and cannot build internally in the near term. We design the framework, conduct the assessment, produce the compliant disclosure, and manage the ongoing reporting obligation. RDB pays us. We coordinate every specialist partner.</w:t>
      </w:r>
    </w:p>
    <w:p>
      <w:pPr>
        <w:spacing w:before="60" w:after="60"/>
      </w:pPr>
      <w:r>
        <w:rPr>
          <w:rFonts w:ascii="Arial" w:cs="Arial" w:eastAsia="Arial" w:hAnsi="Arial"/>
          <w:b w:val="false"/>
          <w:bCs w:val="false"/>
          <w:color w:val="333333"/>
          <w:sz w:val="20"/>
          <w:szCs w:val="20"/>
        </w:rPr>
        <w:t xml:space="preserve"> </w:t>
      </w:r>
    </w:p>
    <w:p>
      <w:pPr>
        <w:pBdr>
          <w:bottom w:val="single" w:color="8B1A1A" w:sz="4" w:space="1"/>
        </w:pBdr>
        <w:spacing w:before="140" w:after="140"/>
      </w:pPr>
      <w:r>
        <w:rPr>
          <w:rFonts w:ascii="Arial" w:cs="Arial" w:eastAsia="Arial" w:hAnsi="Arial"/>
          <w:b w:val="false"/>
          <w:bCs w:val="false"/>
          <w:color w:val="333333"/>
          <w:sz w:val="20"/>
          <w:szCs w:val="20"/>
        </w:rPr>
        <w:t xml:space="preserve"/>
      </w:r>
    </w:p>
    <w:p>
      <w:pPr>
        <w:spacing w:before="60" w:after="60"/>
      </w:pPr>
      <w:r>
        <w:rPr>
          <w:rFonts w:ascii="Arial" w:cs="Arial" w:eastAsia="Arial" w:hAnsi="Arial"/>
          <w:b w:val="false"/>
          <w:bCs w:val="false"/>
          <w:color w:val="333333"/>
          <w:sz w:val="20"/>
          <w:szCs w:val="20"/>
        </w:rPr>
        <w:t xml:space="preserve"> </w:t>
      </w:r>
    </w:p>
    <w:p>
      <w:pPr>
        <w:pStyle w:val="Heading2"/>
        <w:spacing w:before="220" w:after="100"/>
      </w:pPr>
      <w:r>
        <w:rPr>
          <w:rFonts w:ascii="Arial" w:cs="Arial" w:eastAsia="Arial" w:hAnsi="Arial"/>
          <w:b/>
          <w:bCs/>
          <w:color w:val="8B1A1A"/>
          <w:sz w:val="28"/>
          <w:szCs w:val="28"/>
        </w:rPr>
        <w:t xml:space="preserve">1.  What SLFRS S2 Actually Requires of a Bank -- and RDB's Current Capacity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c>
          <w:tcPr>
            <w:tcW w:type="dxa" w:w="1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SLFRS S2 Pillar</w:t>
            </w:r>
          </w:p>
        </w:tc>
        <w:tc>
          <w:tcPr>
            <w:tcW w:type="dxa" w:w="42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What RDB Must Disclose</w:t>
            </w:r>
          </w:p>
        </w:tc>
        <w:tc>
          <w:tcPr>
            <w:tcW w:type="dxa" w:w="4200"/>
            <w:tcBorders>
              <w:top w:val="single" w:color="CCCCCC" w:sz="1"/>
              <w:left w:val="single" w:color="CCCCCC" w:sz="1"/>
              <w:bottom w:val="single" w:color="CCCCCC" w:sz="1"/>
              <w:right w:val="single" w:color="CCCCCC" w:sz="1"/>
            </w:tcBorders>
            <w:shd w:fill="3A4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RDB's Current Capacity</w:t>
            </w:r>
          </w:p>
        </w:tc>
      </w:tr>
      <w:tr>
        <w:tc>
          <w:tcPr>
            <w:tcW w:type="dxa" w:w="1680"/>
            <w:tcBorders>
              <w:top w:val="single" w:color="CCCCCC" w:sz="1"/>
              <w:left w:val="single" w:color="CCCCCC" w:sz="1"/>
              <w:bottom w:val="single" w:color="CCCCCC" w:sz="1"/>
              <w:right w:val="single" w:color="CCCCCC" w:sz="1"/>
            </w:tcBorders>
            <w:shd w:fill="FDF4E8" w:val="clear"/>
            <w:tcMar>
              <w:top w:type="dxa" w:w="100"/>
              <w:left w:type="dxa" w:w="140"/>
              <w:bottom w:type="dxa" w:w="100"/>
              <w:right w:type="dxa" w:w="140"/>
            </w:tcMar>
          </w:tcPr>
          <w:p>
            <w:pPr>
              <w:spacing w:before="80" w:after="80"/>
            </w:pPr>
            <w:r>
              <w:rPr>
                <w:rFonts w:ascii="Arial" w:cs="Arial" w:eastAsia="Arial" w:hAnsi="Arial"/>
                <w:b/>
                <w:bCs/>
                <w:color w:val="B05A00"/>
                <w:sz w:val="18"/>
                <w:szCs w:val="18"/>
              </w:rPr>
              <w:t xml:space="preserve">Governance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Board oversight of climate-related risks and opportunities. Roles of management-level committees. How climate risk is integrated into risk management frameworks and board reporting.</w:t>
            </w:r>
          </w:p>
        </w:tc>
        <w:tc>
          <w:tcPr>
            <w:tcW w:type="dxa" w:w="42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Zero. No board Climate Risk Committee. No climate risk policy. No climate reporting line. This section of the SLFRS S2 disclosure would currently be blank.</w:t>
            </w:r>
          </w:p>
        </w:tc>
      </w:tr>
      <w:tr>
        <w:tc>
          <w:tcPr>
            <w:tcW w:type="dxa" w:w="1680"/>
            <w:tcBorders>
              <w:top w:val="single" w:color="CCCCCC" w:sz="1"/>
              <w:left w:val="single" w:color="CCCCCC" w:sz="1"/>
              <w:bottom w:val="single" w:color="CCCCCC" w:sz="1"/>
              <w:right w:val="single" w:color="CCCCCC" w:sz="1"/>
            </w:tcBorders>
            <w:shd w:fill="FDF4E8" w:val="clear"/>
            <w:tcMar>
              <w:top w:type="dxa" w:w="100"/>
              <w:left w:type="dxa" w:w="140"/>
              <w:bottom w:type="dxa" w:w="100"/>
              <w:right w:type="dxa" w:w="140"/>
            </w:tcMar>
          </w:tcPr>
          <w:p>
            <w:pPr>
              <w:spacing w:before="80" w:after="80"/>
            </w:pPr>
            <w:r>
              <w:rPr>
                <w:rFonts w:ascii="Arial" w:cs="Arial" w:eastAsia="Arial" w:hAnsi="Arial"/>
                <w:b/>
                <w:bCs/>
                <w:color w:val="B05A00"/>
                <w:sz w:val="18"/>
                <w:szCs w:val="18"/>
              </w:rPr>
              <w:t xml:space="preserve">Strategy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Climate-related risks and opportunities over short (0-3 yr), medium (3-10 yr), and long (10+ yr) horizons. Financial impact on business model and financial planning. Scenario analysis under at least two NGFS scenarios.</w:t>
            </w:r>
          </w:p>
        </w:tc>
        <w:tc>
          <w:tcPr>
            <w:tcW w:type="dxa" w:w="42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Zero. No scenario analysis conducted. No climate risks formally identified against the loan book. No financial impact modelling. Ditwah made this a real number -- but RDB has not quantified it.</w:t>
            </w:r>
          </w:p>
        </w:tc>
      </w:tr>
      <w:tr>
        <w:tc>
          <w:tcPr>
            <w:tcW w:type="dxa" w:w="1680"/>
            <w:tcBorders>
              <w:top w:val="single" w:color="CCCCCC" w:sz="1"/>
              <w:left w:val="single" w:color="CCCCCC" w:sz="1"/>
              <w:bottom w:val="single" w:color="CCCCCC" w:sz="1"/>
              <w:right w:val="single" w:color="CCCCCC" w:sz="1"/>
            </w:tcBorders>
            <w:shd w:fill="FDF4E8" w:val="clear"/>
            <w:tcMar>
              <w:top w:type="dxa" w:w="100"/>
              <w:left w:type="dxa" w:w="140"/>
              <w:bottom w:type="dxa" w:w="100"/>
              <w:right w:type="dxa" w:w="140"/>
            </w:tcMar>
          </w:tcPr>
          <w:p>
            <w:pPr>
              <w:spacing w:before="80" w:after="80"/>
            </w:pPr>
            <w:r>
              <w:rPr>
                <w:rFonts w:ascii="Arial" w:cs="Arial" w:eastAsia="Arial" w:hAnsi="Arial"/>
                <w:b/>
                <w:bCs/>
                <w:color w:val="B05A00"/>
                <w:sz w:val="18"/>
                <w:szCs w:val="18"/>
              </w:rPr>
              <w:t xml:space="preserve">Risk Management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Process for identifying, assessing, and managing climate-related risks. How climate risk processes are integrated with overall risk management at origination and portfolio level.</w:t>
            </w:r>
          </w:p>
        </w:tc>
        <w:tc>
          <w:tcPr>
            <w:tcW w:type="dxa" w:w="42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Minimal. Credit risk processes exist but none screen for physical or transition climate risk at loan origination. No climate risk register. No geographic flood or drought risk overlay on the loan portfolio.</w:t>
            </w:r>
          </w:p>
        </w:tc>
      </w:tr>
      <w:tr>
        <w:tc>
          <w:tcPr>
            <w:tcW w:type="dxa" w:w="1680"/>
            <w:tcBorders>
              <w:top w:val="single" w:color="CCCCCC" w:sz="1"/>
              <w:left w:val="single" w:color="CCCCCC" w:sz="1"/>
              <w:bottom w:val="single" w:color="CCCCCC" w:sz="1"/>
              <w:right w:val="single" w:color="CCCCCC" w:sz="1"/>
            </w:tcBorders>
            <w:shd w:fill="FDF4E8" w:val="clear"/>
            <w:tcMar>
              <w:top w:type="dxa" w:w="100"/>
              <w:left w:type="dxa" w:w="140"/>
              <w:bottom w:type="dxa" w:w="100"/>
              <w:right w:type="dxa" w:w="140"/>
            </w:tcMar>
          </w:tcPr>
          <w:p>
            <w:pPr>
              <w:spacing w:before="80" w:after="80"/>
            </w:pPr>
            <w:r>
              <w:rPr>
                <w:rFonts w:ascii="Arial" w:cs="Arial" w:eastAsia="Arial" w:hAnsi="Arial"/>
                <w:b/>
                <w:bCs/>
                <w:color w:val="B05A00"/>
                <w:sz w:val="18"/>
                <w:szCs w:val="18"/>
              </w:rPr>
              <w:t xml:space="preserve">Metrics and Targets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Scope 1 (own operations emissions), Scope 2 (purchased electricity), and Scope 3 (financed emissions -- the GHG emissions of all borrowers funded by RDB loans). Intensity metrics by sector. Climate-related targets aligned to Sri Lanka's NDC.</w:t>
            </w:r>
          </w:p>
        </w:tc>
        <w:tc>
          <w:tcPr>
            <w:tcW w:type="dxa" w:w="42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Zero. No GHG measurement of operations. No financed emissions estimate has ever been produced. Scope 3 for an agricultural development bank financing paddy cultivation -- a significant methane emitter -- is large and unmeasured.</w:t>
            </w:r>
          </w:p>
        </w:tc>
      </w:tr>
    </w:tbl>
    <w:p>
      <w:pPr>
        <w:spacing w:before="120" w:after="120"/>
      </w:pPr>
      <w:r>
        <w:rPr>
          <w:rFonts w:ascii="Arial" w:cs="Arial" w:eastAsia="Arial" w:hAnsi="Arial"/>
          <w:b w:val="false"/>
          <w:bCs w:val="false"/>
          <w:color w:val="333333"/>
          <w:sz w:val="20"/>
          <w:szCs w:val="20"/>
        </w:rPr>
        <w:t xml:space="preserve"> </w:t>
      </w:r>
    </w:p>
    <w:p>
      <w:pPr>
        <w:pStyle w:val="Heading2"/>
        <w:spacing w:before="220" w:after="100"/>
      </w:pPr>
      <w:r>
        <w:rPr>
          <w:rFonts w:ascii="Arial" w:cs="Arial" w:eastAsia="Arial" w:hAnsi="Arial"/>
          <w:b/>
          <w:bCs/>
          <w:color w:val="8B1A1A"/>
          <w:sz w:val="28"/>
          <w:szCs w:val="28"/>
        </w:rPr>
        <w:t xml:space="preserve">2.  Five Service Lines -- What We Deliver</w:t>
      </w:r>
    </w:p>
    <w:p>
      <w:pPr>
        <w:spacing w:before="80" w:after="80"/>
      </w:pPr>
      <w:r>
        <w:rPr>
          <w:rFonts w:ascii="Arial" w:cs="Arial" w:eastAsia="Arial" w:hAnsi="Arial"/>
          <w:b w:val="false"/>
          <w:bCs w:val="false"/>
          <w:color w:val="333333"/>
          <w:sz w:val="20"/>
          <w:szCs w:val="20"/>
        </w:rPr>
        <w:t xml:space="preserve">Each service line maps to a specific SLFRS S2 pillar, a CBSL obligation, or a DFI access prerequisite. Designed to be sold sequentially but packaged together for a full engagement.</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1800"/>
        <w:gridCol w:w="180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Service Line</w:t>
            </w:r>
          </w:p>
        </w:tc>
        <w:tc>
          <w:tcPr>
            <w:tcW w:type="dxa" w:w="4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What We Deliver</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Fee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Timeline</w:t>
            </w:r>
          </w:p>
        </w:tc>
      </w:tr>
      <w:tr>
        <w:tc>
          <w:tcPr>
            <w:tcW w:type="dxa" w:w="20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bCs/>
                <w:color w:val="8B1A1A"/>
                <w:sz w:val="18"/>
                <w:szCs w:val="18"/>
              </w:rPr>
              <w:t xml:space="preserve">1. Physical Climate Risk Assessment</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Map RDB's entire loan book to Sri Lanka's physical climate hazard data (flood, drought, landslide, storm surge) at district level. Output: portfolio heat map showing concentration of climate-exposed lending by sector and geography. Quantify estimated NPL impact under NGFS 1.5C and 4C scenarios over 5-year and 20-year horizons. Cyclone Ditwah provides a real-world calibration point -- we compare modelled 1-in-30-year flood NPL impact against what actually happened in November 2025. Data sources: DMC flood hazard maps, Mahaweli Authority drought indices, Geological Survey landslide risk maps -- all public domain. Addresses SLFRS S2 Strategy pillar and CBSL Roadmap 2.0 requirements.</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1A7A4A"/>
                <w:sz w:val="18"/>
                <w:szCs w:val="18"/>
              </w:rPr>
              <w:t xml:space="preserve">LKR 8-18M</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8-12 weeks</w:t>
            </w:r>
          </w:p>
        </w:tc>
      </w:tr>
      <w:tr>
        <w:tc>
          <w:tcPr>
            <w:tcW w:type="dxa" w:w="20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bCs/>
                <w:color w:val="8B1A1A"/>
                <w:sz w:val="18"/>
                <w:szCs w:val="18"/>
              </w:rPr>
              <w:t xml:space="preserve">2. Transition Risk Screening</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Identify any RDB borrowers in sectors facing regulatory or market transition risk from decarbonisation: agri-chemical input dealers, fossil fuel equipment suppliers, any high-carbon industries in the SME portfolio. Build a Transition Risk Register -- a simple scoring tool credit officers use at origination. This addresses SLFRS S2 Strategy (transition risk component). Most of RDB's portfolio will have low transition risk given the agricultural and rural focus -- which is itself a story to tell IFC.</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1A7A4A"/>
                <w:sz w:val="18"/>
                <w:szCs w:val="18"/>
              </w:rPr>
              <w:t xml:space="preserve">LKR 3-7M</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4-6 weeks</w:t>
            </w:r>
          </w:p>
        </w:tc>
      </w:tr>
      <w:tr>
        <w:tc>
          <w:tcPr>
            <w:tcW w:type="dxa" w:w="20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bCs/>
                <w:color w:val="8B1A1A"/>
                <w:sz w:val="18"/>
                <w:szCs w:val="18"/>
              </w:rPr>
              <w:t xml:space="preserve">3. Financed Emissions Estimate (Scope 3)</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Calculate RDB's estimated Scope 3 financed emissions -- the GHG emissions attributable to the loan portfolio. For an agricultural development bank this is primarily: methane from paddy cultivation, N2O from fertiliser use, land-use change emissions from plantation districts. We use IPCC Tier 1 methodology and public Sri Lanka agricultural emissions data from the Ministry of Environment. Output: Scope 3 estimate by sector with uncertainty range. Required for SLFRS S2 Metrics pillar and is the critical input for the Green Bond impact reporting framework.</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1A7A4A"/>
                <w:sz w:val="18"/>
                <w:szCs w:val="18"/>
              </w:rPr>
              <w:t xml:space="preserve">LKR 4-9M</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6-8 weeks</w:t>
            </w:r>
          </w:p>
        </w:tc>
      </w:tr>
      <w:tr>
        <w:tc>
          <w:tcPr>
            <w:tcW w:type="dxa" w:w="20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bCs/>
                <w:color w:val="8B1A1A"/>
                <w:sz w:val="18"/>
                <w:szCs w:val="18"/>
              </w:rPr>
              <w:t xml:space="preserve">4. Full SLFRS S2 Disclosure Package</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Assemble the complete SLFRS S2 annual climate disclosure: governance narrative (we draft board committee terms of reference and climate risk policy), strategy section (from physical and transition risk assessment), risk management description (we write the climate risk process documentation for credit operations), and metrics (financed emissions and climate intensity targets). This is the actual document submitted to CBSL and published in RDB's Annual Report. Includes a Board Climate Risk Policy and Climate Risk Committee charter for adoption.</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1A7A4A"/>
                <w:sz w:val="18"/>
                <w:szCs w:val="18"/>
              </w:rPr>
              <w:t xml:space="preserve">LKR 5-12M (after services 1-3)</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4 weeks post-assessment</w:t>
            </w:r>
          </w:p>
        </w:tc>
      </w:tr>
      <w:tr>
        <w:tc>
          <w:tcPr>
            <w:tcW w:type="dxa" w:w="20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bCs/>
                <w:color w:val="8B1A1A"/>
                <w:sz w:val="18"/>
                <w:szCs w:val="18"/>
              </w:rPr>
              <w:t xml:space="preserve">5. Annual Climate Risk Retainer</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Annual update of physical risk assessment as new NGFS scenarios and hazard data become available. Update of financed emissions estimate as loan book evolves. Refreshed SLFRS S2 disclosure for the Annual Report. One Board capacity building session per year. Completion of CBSL quarterly sustainable finance reports. This is the recurring revenue stream -- once the framework is built, maintaining it is a structured annual retainer. CBSL's reporting scope will only increase through 2026-2030 as Roadmap 2.0 milestones are reached.</w:t>
            </w:r>
          </w:p>
        </w:tc>
        <w:tc>
          <w:tcPr>
            <w:tcW w:type="dxa" w:w="18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1A7A4A"/>
                <w:sz w:val="18"/>
                <w:szCs w:val="18"/>
              </w:rPr>
              <w:t xml:space="preserve">LKR 4-8M/year</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Ongoing</w:t>
            </w:r>
          </w:p>
        </w:tc>
      </w:tr>
    </w:tbl>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FDF0F0" w:val="clear"/>
            <w:tcMar>
              <w:top w:type="dxa" w:w="120"/>
              <w:left w:type="dxa" w:w="120"/>
              <w:bottom w:type="dxa" w:w="120"/>
              <w:right w:type="dxa" w:w="120"/>
            </w:tcMar>
            <w:vAlign w:val="center"/>
          </w:tcPr>
          <w:p>
            <w:pPr>
              <w:spacing w:before="0" w:after="20"/>
              <w:jc w:val="center"/>
            </w:pPr>
            <w:r>
              <w:rPr>
                <w:rFonts w:ascii="Arial" w:cs="Arial" w:eastAsia="Arial" w:hAnsi="Arial"/>
                <w:b/>
                <w:bCs/>
                <w:color w:val="8B1A1A"/>
                <w:sz w:val="30"/>
                <w:szCs w:val="30"/>
              </w:rPr>
              <w:t xml:space="preserve">LKR 20-46M</w:t>
            </w:r>
          </w:p>
          <w:p>
            <w:pPr>
              <w:spacing w:before="0" w:after="0"/>
              <w:jc w:val="center"/>
            </w:pPr>
            <w:r>
              <w:rPr>
                <w:rFonts w:ascii="Arial" w:cs="Arial" w:eastAsia="Arial" w:hAnsi="Arial"/>
                <w:b w:val="false"/>
                <w:bCs w:val="false"/>
                <w:color w:val="333333"/>
                <w:sz w:val="17"/>
                <w:szCs w:val="17"/>
              </w:rPr>
              <w:t xml:space="preserve">One-time Services 1-4</w:t>
            </w:r>
          </w:p>
        </w:tc>
        <w:tc>
          <w:tcPr>
            <w:tcW w:type="dxa" w:w="2520"/>
            <w:tcBorders>
              <w:top w:val="single" w:color="CCCCCC" w:sz="1"/>
              <w:left w:val="single" w:color="CCCCCC" w:sz="1"/>
              <w:bottom w:val="single" w:color="CCCCCC" w:sz="1"/>
              <w:right w:val="single" w:color="CCCCCC" w:sz="1"/>
            </w:tcBorders>
            <w:shd w:fill="FDF4E8" w:val="clear"/>
            <w:tcMar>
              <w:top w:type="dxa" w:w="120"/>
              <w:left w:type="dxa" w:w="120"/>
              <w:bottom w:type="dxa" w:w="120"/>
              <w:right w:type="dxa" w:w="120"/>
            </w:tcMar>
            <w:vAlign w:val="center"/>
          </w:tcPr>
          <w:p>
            <w:pPr>
              <w:spacing w:before="0" w:after="20"/>
              <w:jc w:val="center"/>
            </w:pPr>
            <w:r>
              <w:rPr>
                <w:rFonts w:ascii="Arial" w:cs="Arial" w:eastAsia="Arial" w:hAnsi="Arial"/>
                <w:b/>
                <w:bCs/>
                <w:color w:val="B05A00"/>
                <w:sz w:val="30"/>
                <w:szCs w:val="30"/>
              </w:rPr>
              <w:t xml:space="preserve">LKR 4-8M/yr</w:t>
            </w:r>
          </w:p>
          <w:p>
            <w:pPr>
              <w:spacing w:before="0" w:after="0"/>
              <w:jc w:val="center"/>
            </w:pPr>
            <w:r>
              <w:rPr>
                <w:rFonts w:ascii="Arial" w:cs="Arial" w:eastAsia="Arial" w:hAnsi="Arial"/>
                <w:b w:val="false"/>
                <w:bCs w:val="false"/>
                <w:color w:val="333333"/>
                <w:sz w:val="17"/>
                <w:szCs w:val="17"/>
              </w:rPr>
              <w:t xml:space="preserve">Annual Retainer</w:t>
            </w:r>
          </w:p>
        </w:tc>
        <w:tc>
          <w:tcPr>
            <w:tcW w:type="dxa" w:w="2520"/>
            <w:tcBorders>
              <w:top w:val="single" w:color="CCCCCC" w:sz="1"/>
              <w:left w:val="single" w:color="CCCCCC" w:sz="1"/>
              <w:bottom w:val="single" w:color="CCCCCC" w:sz="1"/>
              <w:right w:val="single" w:color="CCCCCC" w:sz="1"/>
            </w:tcBorders>
            <w:shd w:fill="FDF6E3" w:val="clear"/>
            <w:tcMar>
              <w:top w:type="dxa" w:w="120"/>
              <w:left w:type="dxa" w:w="120"/>
              <w:bottom w:type="dxa" w:w="120"/>
              <w:right w:type="dxa" w:w="120"/>
            </w:tcMar>
            <w:vAlign w:val="center"/>
          </w:tcPr>
          <w:p>
            <w:pPr>
              <w:spacing w:before="0" w:after="20"/>
              <w:jc w:val="center"/>
            </w:pPr>
            <w:r>
              <w:rPr>
                <w:rFonts w:ascii="Arial" w:cs="Arial" w:eastAsia="Arial" w:hAnsi="Arial"/>
                <w:b/>
                <w:bCs/>
                <w:color w:val="1B3A5C"/>
                <w:sz w:val="30"/>
                <w:szCs w:val="30"/>
              </w:rPr>
              <w:t xml:space="preserve">LKR 40-90M</w:t>
            </w:r>
          </w:p>
          <w:p>
            <w:pPr>
              <w:spacing w:before="0" w:after="0"/>
              <w:jc w:val="center"/>
            </w:pPr>
            <w:r>
              <w:rPr>
                <w:rFonts w:ascii="Arial" w:cs="Arial" w:eastAsia="Arial" w:hAnsi="Arial"/>
                <w:b w:val="false"/>
                <w:bCs w:val="false"/>
                <w:color w:val="333333"/>
                <w:sz w:val="17"/>
                <w:szCs w:val="17"/>
              </w:rPr>
              <w:t xml:space="preserve">Total 3-Year Revenue</w:t>
            </w:r>
          </w:p>
        </w:tc>
        <w:tc>
          <w:tcPr>
            <w:tcW w:type="dxa" w:w="2520"/>
            <w:tcBorders>
              <w:top w:val="single" w:color="CCCCCC" w:sz="1"/>
              <w:left w:val="single" w:color="CCCCCC" w:sz="1"/>
              <w:bottom w:val="single" w:color="CCCCCC" w:sz="1"/>
              <w:right w:val="single" w:color="CCCCCC" w:sz="1"/>
            </w:tcBorders>
            <w:shd w:fill="EEF2F8" w:val="clear"/>
            <w:tcMar>
              <w:top w:type="dxa" w:w="120"/>
              <w:left w:type="dxa" w:w="120"/>
              <w:bottom w:type="dxa" w:w="120"/>
              <w:right w:type="dxa" w:w="120"/>
            </w:tcMar>
            <w:vAlign w:val="center"/>
          </w:tcPr>
          <w:p>
            <w:pPr>
              <w:spacing w:before="0" w:after="20"/>
              <w:jc w:val="center"/>
            </w:pPr>
            <w:r>
              <w:rPr>
                <w:rFonts w:ascii="Arial" w:cs="Arial" w:eastAsia="Arial" w:hAnsi="Arial"/>
                <w:b/>
                <w:bCs/>
                <w:color w:val="1B3A5C"/>
                <w:sz w:val="30"/>
                <w:szCs w:val="30"/>
              </w:rPr>
              <w:t xml:space="preserve">CBSL + IFC + ADB</w:t>
            </w:r>
          </w:p>
          <w:p>
            <w:pPr>
              <w:spacing w:before="0" w:after="0"/>
              <w:jc w:val="center"/>
            </w:pPr>
            <w:r>
              <w:rPr>
                <w:rFonts w:ascii="Arial" w:cs="Arial" w:eastAsia="Arial" w:hAnsi="Arial"/>
                <w:b w:val="false"/>
                <w:bCs w:val="false"/>
                <w:color w:val="333333"/>
                <w:sz w:val="17"/>
                <w:szCs w:val="17"/>
              </w:rPr>
              <w:t xml:space="preserve">Strategic Doors Opened</w:t>
            </w:r>
          </w:p>
        </w:tc>
      </w:tr>
    </w:tbl>
    <w:p>
      <w:pPr>
        <w:spacing w:before="120" w:after="120"/>
      </w:pPr>
      <w:r>
        <w:rPr>
          <w:rFonts w:ascii="Arial" w:cs="Arial" w:eastAsia="Arial" w:hAnsi="Arial"/>
          <w:b w:val="false"/>
          <w:bCs w:val="false"/>
          <w:color w:val="333333"/>
          <w:sz w:val="20"/>
          <w:szCs w:val="20"/>
        </w:rPr>
        <w:t xml:space="preserve"> </w:t>
      </w:r>
    </w:p>
    <w:p>
      <w:pPr>
        <w:pBdr>
          <w:bottom w:val="single" w:color="8B1A1A" w:sz="4" w:space="1"/>
        </w:pBdr>
        <w:spacing w:before="140" w:after="140"/>
      </w:pPr>
      <w:r>
        <w:rPr>
          <w:rFonts w:ascii="Arial" w:cs="Arial" w:eastAsia="Arial" w:hAnsi="Arial"/>
          <w:b w:val="false"/>
          <w:bCs w:val="false"/>
          <w:color w:val="333333"/>
          <w:sz w:val="20"/>
          <w:szCs w:val="20"/>
        </w:rPr>
        <w:t xml:space="preserve"/>
      </w:r>
    </w:p>
    <w:p>
      <w:pPr>
        <w:pStyle w:val="Heading2"/>
        <w:spacing w:before="220" w:after="100"/>
      </w:pPr>
      <w:r>
        <w:rPr>
          <w:rFonts w:ascii="Arial" w:cs="Arial" w:eastAsia="Arial" w:hAnsi="Arial"/>
          <w:b/>
          <w:bCs/>
          <w:color w:val="8B1A1A"/>
          <w:sz w:val="28"/>
          <w:szCs w:val="28"/>
        </w:rPr>
        <w:t xml:space="preserve">3.  Delivery Partner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2200"/>
        <w:gridCol w:w="200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Function</w:t>
            </w:r>
          </w:p>
        </w:tc>
        <w:tc>
          <w:tcPr>
            <w:tcW w:type="dxa" w:w="3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Partner</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Access Route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Our Role</w:t>
            </w:r>
          </w:p>
        </w:tc>
      </w:tr>
      <w:tr>
        <w:tc>
          <w:tcPr>
            <w:tcW w:type="dxa" w:w="22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bCs/>
                <w:color w:val="8B1A1A"/>
                <w:sz w:val="18"/>
                <w:szCs w:val="18"/>
              </w:rPr>
              <w:t xml:space="preserve">Physical Climate Modelling</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Acclimatise or Willis Towers Watson (physical risk modelling for banks, both have Asia presence). Alternatively World Bank Climate Change Knowledge Portal for free Tier 1 hazard overlays -- sufficient for entry-level SLFRS S2 compliance.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A4A5C"/>
                <w:sz w:val="18"/>
                <w:szCs w:val="18"/>
              </w:rPr>
              <w:t xml:space="preserve">South Pole has Colombo presence. World Bank data is public and free.</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We manage engagement. Partners deliver hazard overlays; we interpret against RDB loan book.</w:t>
            </w:r>
          </w:p>
        </w:tc>
      </w:tr>
      <w:tr>
        <w:tc>
          <w:tcPr>
            <w:tcW w:type="dxa" w:w="22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bCs/>
                <w:color w:val="8B1A1A"/>
                <w:sz w:val="18"/>
                <w:szCs w:val="18"/>
              </w:rPr>
              <w:t xml:space="preserve">Sri Lanka Hazard Data</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Department of Meteorology and Climatology (DMC) flood hazard maps. Mahaweli Authority drought data. Geological Survey of Sri Lanka landslide risk maps. All public domain.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A4A5C"/>
                <w:sz w:val="18"/>
                <w:szCs w:val="18"/>
              </w:rPr>
              <w:t xml:space="preserve">Free government data. No procurement required.</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We compile and integrate into portfolio heat map.</w:t>
            </w:r>
          </w:p>
        </w:tc>
      </w:tr>
      <w:tr>
        <w:tc>
          <w:tcPr>
            <w:tcW w:type="dxa" w:w="22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bCs/>
                <w:color w:val="8B1A1A"/>
                <w:sz w:val="18"/>
                <w:szCs w:val="18"/>
              </w:rPr>
              <w:t xml:space="preserve">NGFS Scenarios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Network for Greening the Financial System public scenario data. IPCC AR6 physical risk projections. Both referenced explicitly in CBSL Roadmap 2.0.</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A4A5C"/>
                <w:sz w:val="18"/>
                <w:szCs w:val="18"/>
              </w:rPr>
              <w:t xml:space="preserve">All public. No partner required.</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We select and adapt scenarios for Sri Lanka context.</w:t>
            </w:r>
          </w:p>
        </w:tc>
      </w:tr>
      <w:tr>
        <w:tc>
          <w:tcPr>
            <w:tcW w:type="dxa" w:w="22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bCs/>
                <w:color w:val="8B1A1A"/>
                <w:sz w:val="18"/>
                <w:szCs w:val="18"/>
              </w:rPr>
              <w:t xml:space="preserve">Financed Emissions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Ministry of Environment Sri Lanka GHG inventory (agricultural sector emissions factors). IPCC Tier 1 methodology. PCAF (Partnership for Carbon Accounting Financials) methodology for financial institutions.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A4A5C"/>
                <w:sz w:val="18"/>
                <w:szCs w:val="18"/>
              </w:rPr>
              <w:t xml:space="preserve">PCAF is free and publicly available. MoE data is public.</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We apply the methodology. No specialist partner required for Tier 1 estimate.</w:t>
            </w:r>
          </w:p>
        </w:tc>
      </w:tr>
      <w:tr>
        <w:tc>
          <w:tcPr>
            <w:tcW w:type="dxa" w:w="22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bCs/>
                <w:color w:val="8B1A1A"/>
                <w:sz w:val="18"/>
                <w:szCs w:val="18"/>
              </w:rPr>
              <w:t xml:space="preserve">SLFRS S2 Compliance Review</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CA Sri Lanka Sustainability Disclosure Standards Committee for guidance. Limited assurance: KPMG or Deloitte Sri Lanka sustainability practice for credibility with CBSL and IFC.</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A4A5C"/>
                <w:sz w:val="18"/>
                <w:szCs w:val="18"/>
              </w:rPr>
              <w:t xml:space="preserve">CA Sri Lanka has published implementation guidelines. KPMG/Deloitte accessible via Colombo Consultants network.</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We draft all documents. CA Sri Lanka or Big 4 provides limited assurance on the final disclosure.</w:t>
            </w:r>
          </w:p>
        </w:tc>
      </w:tr>
      <w:tr>
        <w:tc>
          <w:tcPr>
            <w:tcW w:type="dxa" w:w="22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tcPr>
          <w:p>
            <w:pPr>
              <w:spacing w:before="80" w:after="80"/>
            </w:pPr>
            <w:r>
              <w:rPr>
                <w:rFonts w:ascii="Arial" w:cs="Arial" w:eastAsia="Arial" w:hAnsi="Arial"/>
                <w:b/>
                <w:bCs/>
                <w:color w:val="8B1A1A"/>
                <w:sz w:val="18"/>
                <w:szCs w:val="18"/>
              </w:rPr>
              <w:t xml:space="preserve">Board Capacity Building</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SLBA (Sri Lanka Banks' Association) facilitators, CA Sri Lanka training faculty, or CBSL Sustainable Finance Unit.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3A4A5C"/>
                <w:sz w:val="18"/>
                <w:szCs w:val="18"/>
              </w:rPr>
              <w:t xml:space="preserve">SLBA runs capacity building programmes. Co-branding with SLBA gives institutional credibility.</w:t>
            </w:r>
          </w:p>
        </w:tc>
        <w:tc>
          <w:tcPr>
            <w:tcW w:type="dxa" w:w="20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We design and facilitate the board session content.</w:t>
            </w:r>
          </w:p>
        </w:tc>
      </w:tr>
    </w:tbl>
    <w:p>
      <w:pPr>
        <w:spacing w:before="120" w:after="120"/>
      </w:pPr>
      <w:r>
        <w:rPr>
          <w:rFonts w:ascii="Arial" w:cs="Arial" w:eastAsia="Arial" w:hAnsi="Arial"/>
          <w:b w:val="false"/>
          <w:bCs w:val="false"/>
          <w:color w:val="333333"/>
          <w:sz w:val="20"/>
          <w:szCs w:val="20"/>
        </w:rPr>
        <w:t xml:space="preserve"> </w:t>
      </w:r>
    </w:p>
    <w:p>
      <w:pPr>
        <w:pBdr>
          <w:bottom w:val="single" w:color="8B1A1A" w:sz="4" w:space="1"/>
        </w:pBdr>
        <w:spacing w:before="140" w:after="140"/>
      </w:pPr>
      <w:r>
        <w:rPr>
          <w:rFonts w:ascii="Arial" w:cs="Arial" w:eastAsia="Arial" w:hAnsi="Arial"/>
          <w:b w:val="false"/>
          <w:bCs w:val="false"/>
          <w:color w:val="333333"/>
          <w:sz w:val="20"/>
          <w:szCs w:val="20"/>
        </w:rPr>
        <w:t xml:space="preserve"/>
      </w:r>
    </w:p>
    <w:p>
      <w:pPr>
        <w:pStyle w:val="Heading2"/>
        <w:spacing w:before="220" w:after="100"/>
      </w:pPr>
      <w:r>
        <w:rPr>
          <w:rFonts w:ascii="Arial" w:cs="Arial" w:eastAsia="Arial" w:hAnsi="Arial"/>
          <w:b/>
          <w:bCs/>
          <w:color w:val="8B1A1A"/>
          <w:sz w:val="28"/>
          <w:szCs w:val="28"/>
        </w:rPr>
        <w:t xml:space="preserve">4.  The 90-Day Action Plan</w:t>
      </w:r>
    </w:p>
    <w:p>
      <w:pPr>
        <w:spacing w:before="60" w:after="6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1-14</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8B1A1A"/>
                <w:sz w:val="20"/>
                <w:szCs w:val="20"/>
              </w:rPr>
              <w:t xml:space="preserve">Chairman Meeting -- The Ditwah Opening</w:t>
            </w:r>
          </w:p>
          <w:p>
            <w:pPr>
              <w:spacing w:before="0" w:after="0"/>
            </w:pPr>
            <w:r>
              <w:rPr>
                <w:rFonts w:ascii="Arial" w:cs="Arial" w:eastAsia="Arial" w:hAnsi="Arial"/>
                <w:b w:val="false"/>
                <w:bCs w:val="false"/>
                <w:color w:val="333333"/>
                <w:sz w:val="20"/>
                <w:szCs w:val="20"/>
              </w:rPr>
              <w:t xml:space="preserve">Open with one question: 'When CBSL or IFC asks how much of RDB's portfolio was exposed to Cyclone Ditwah, what number will you give them?' The answer is the mandate. Present the five case studies. Show the SLFRS S2 compliance gap table. Propose Service Line 1 (Physical Climate Risk Assessment) as the first engagement: LKR 8M, 50% upfront. Frame it as: we turn the Ditwah question from an embarrassment into a proof of institutional maturity.</w:t>
            </w:r>
          </w:p>
        </w:tc>
      </w:tr>
    </w:tbl>
    <w:p>
      <w:pPr>
        <w:spacing w:before="30" w:after="3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15-30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8B1A1A"/>
                <w:sz w:val="20"/>
                <w:szCs w:val="20"/>
              </w:rPr>
              <w:t xml:space="preserve">Data Collection -- RDB Loan Book Mapping</w:t>
            </w:r>
          </w:p>
          <w:p>
            <w:pPr>
              <w:spacing w:before="0" w:after="0"/>
            </w:pPr>
            <w:r>
              <w:rPr>
                <w:rFonts w:ascii="Arial" w:cs="Arial" w:eastAsia="Arial" w:hAnsi="Arial"/>
                <w:b w:val="false"/>
                <w:bCs w:val="false"/>
                <w:color w:val="333333"/>
                <w:sz w:val="20"/>
                <w:szCs w:val="20"/>
              </w:rPr>
              <w:t xml:space="preserve">Work with RDB's credit department to obtain the loan book segmentation: total portfolio by sector (agriculture, fisheries, livestock, rural SME), by district (25 districts), by loan tenor, and by collateral type. This data exists in RDB's core banking system -- we need the aggregated version. Simultaneously pull public hazard data from DMC, Mahaweli Authority, and Geological Survey.</w:t>
            </w:r>
          </w:p>
        </w:tc>
      </w:tr>
    </w:tbl>
    <w:p>
      <w:pPr>
        <w:spacing w:before="30" w:after="3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31-60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8B1A1A"/>
                <w:sz w:val="20"/>
                <w:szCs w:val="20"/>
              </w:rPr>
              <w:t xml:space="preserve">Physical Risk Assessment -- Portfolio Heat Map</w:t>
            </w:r>
          </w:p>
          <w:p>
            <w:pPr>
              <w:spacing w:before="0" w:after="0"/>
            </w:pPr>
            <w:r>
              <w:rPr>
                <w:rFonts w:ascii="Arial" w:cs="Arial" w:eastAsia="Arial" w:hAnsi="Arial"/>
                <w:b w:val="false"/>
                <w:bCs w:val="false"/>
                <w:color w:val="333333"/>
                <w:sz w:val="20"/>
                <w:szCs w:val="20"/>
              </w:rPr>
              <w:t xml:space="preserve">Overlay RDB's district-level loan exposures against flood, drought, and landslide hazard maps. Compute concentration of exposure. Apply NGFS 1.5C and 4C scenarios to project NPL sensitivity over 5-year and 20-year horizons. The Ditwah event provides a real-world calibration point: we compare our modelled 1-in-30-year flood NPL impact against actual November 2025 outcomes. This methodological advantage is unique to Sri Lanka right now -- most banks model scenarios hypothetically. RDB can calibrate against reality.</w:t>
            </w:r>
          </w:p>
        </w:tc>
      </w:tr>
    </w:tbl>
    <w:p>
      <w:pPr>
        <w:spacing w:before="30" w:after="3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61-75</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8B1A1A"/>
                <w:sz w:val="20"/>
                <w:szCs w:val="20"/>
              </w:rPr>
              <w:t xml:space="preserve">Governance Framework and Transition Risk Screen</w:t>
            </w:r>
          </w:p>
          <w:p>
            <w:pPr>
              <w:spacing w:before="0" w:after="0"/>
            </w:pPr>
            <w:r>
              <w:rPr>
                <w:rFonts w:ascii="Arial" w:cs="Arial" w:eastAsia="Arial" w:hAnsi="Arial"/>
                <w:b w:val="false"/>
                <w:bCs w:val="false"/>
                <w:color w:val="333333"/>
                <w:sz w:val="20"/>
                <w:szCs w:val="20"/>
              </w:rPr>
              <w:t xml:space="preserve">Draft the Board Climate Risk Policy and Climate Risk Committee charter. Propose terms of reference, meeting frequency, and reporting lines. These are document-creation tasks, not structural reorganisation. The transition risk screen of the SME portfolio runs in parallel: review top-50 SME borrowers for transition risk flags. Most will be clean given RDB's rural and agricultural mix -- which is itself a strength to highlight for IFC.</w:t>
            </w:r>
          </w:p>
        </w:tc>
      </w:tr>
    </w:tbl>
    <w:p>
      <w:pPr>
        <w:spacing w:before="30" w:after="3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76-90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8B1A1A"/>
                <w:sz w:val="20"/>
                <w:szCs w:val="20"/>
              </w:rPr>
              <w:t xml:space="preserve">First SLFRS S2 Disclosure and Retainer Proposal</w:t>
            </w:r>
          </w:p>
          <w:p>
            <w:pPr>
              <w:spacing w:before="0" w:after="0"/>
            </w:pPr>
            <w:r>
              <w:rPr>
                <w:rFonts w:ascii="Arial" w:cs="Arial" w:eastAsia="Arial" w:hAnsi="Arial"/>
                <w:b w:val="false"/>
                <w:bCs w:val="false"/>
                <w:color w:val="333333"/>
                <w:sz w:val="20"/>
                <w:szCs w:val="20"/>
              </w:rPr>
              <w:t xml:space="preserve">Produce RDB's first SLFRS S2-aligned climate disclosure. Even if interim and clearly labelled as a first-year baseline, this is the document that CBSL receives and that IFC reviews when RDB seeks a credit line. Invoice Service Lines 3 and 4. Present the annual retainer proposal. By Day 90, RDB has a physical risk assessment, a governance framework, an initial SLFRS S2 disclosure, and a board capacity building session on the calendar.</w:t>
            </w:r>
          </w:p>
        </w:tc>
      </w:tr>
    </w:tbl>
    <w:p>
      <w:pPr>
        <w:spacing w:before="30" w:after="30"/>
      </w:pPr>
      <w:r>
        <w:rPr>
          <w:rFonts w:ascii="Arial" w:cs="Arial" w:eastAsia="Arial" w:hAnsi="Arial"/>
          <w:b w:val="false"/>
          <w:bCs w:val="false"/>
          <w:color w:val="333333"/>
          <w:sz w:val="20"/>
          <w:szCs w:val="20"/>
        </w:rPr>
        <w:t xml:space="preserve"> </w:t>
      </w:r>
    </w:p>
    <w:p>
      <w:pPr>
        <w:spacing w:before="60" w:after="60"/>
      </w:pPr>
      <w:r>
        <w:rPr>
          <w:rFonts w:ascii="Arial" w:cs="Arial" w:eastAsia="Arial" w:hAnsi="Arial"/>
          <w:b w:val="false"/>
          <w:bCs w:val="false"/>
          <w:color w:val="333333"/>
          <w:sz w:val="20"/>
          <w:szCs w:val="20"/>
        </w:rPr>
        <w:t xml:space="preserve"> </w:t>
      </w:r>
    </w:p>
    <w:p>
      <w:pPr>
        <w:pBdr>
          <w:bottom w:val="single" w:color="8B1A1A" w:sz="4" w:space="1"/>
        </w:pBdr>
        <w:spacing w:before="140" w:after="140"/>
      </w:pPr>
      <w:r>
        <w:rPr>
          <w:rFonts w:ascii="Arial" w:cs="Arial" w:eastAsia="Arial" w:hAnsi="Arial"/>
          <w:b w:val="false"/>
          <w:bCs w:val="false"/>
          <w:color w:val="333333"/>
          <w:sz w:val="20"/>
          <w:szCs w:val="20"/>
        </w:rPr>
        <w:t xml:space="preserve"/>
      </w:r>
    </w:p>
    <w:p>
      <w:pPr>
        <w:pStyle w:val="Heading2"/>
        <w:spacing w:before="220" w:after="100"/>
      </w:pPr>
      <w:r>
        <w:rPr>
          <w:rFonts w:ascii="Arial" w:cs="Arial" w:eastAsia="Arial" w:hAnsi="Arial"/>
          <w:b/>
          <w:bCs/>
          <w:color w:val="8B1A1A"/>
          <w:sz w:val="28"/>
          <w:szCs w:val="28"/>
        </w:rPr>
        <w:t xml:space="preserve">5.  Key 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Risk</w:t>
            </w:r>
          </w:p>
        </w:tc>
        <w:tc>
          <w:tcPr>
            <w:tcW w:type="dxa" w:w="384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Why It Could Happen</w:t>
            </w:r>
          </w:p>
        </w:tc>
        <w:tc>
          <w:tcPr>
            <w:tcW w:type="dxa" w:w="384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Mitigation</w:t>
            </w:r>
          </w:p>
        </w:tc>
      </w:tr>
      <w:tr>
        <w:tc>
          <w:tcPr>
            <w:tcW w:type="dxa" w:w="24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bCs/>
                <w:color w:val="8B1A1A"/>
                <w:sz w:val="18"/>
                <w:szCs w:val="18"/>
              </w:rPr>
              <w:t xml:space="preserve">'SLFRS S2 does not apply to us -- we are not CSE-listed'</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RDB may argue it is a state-owned specialised bank, not subject to CA Sri Lanka's phased mandate for CSE-listed entities.</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CBSL's separate Direction to licensed banks applies regardless of CSE listing. CBSL Roadmap 2.0 requirement covers all licensed banks. We lead with the CBSL argument. Additionally, IFC access requirements apply independently of any listing status.</w:t>
            </w:r>
          </w:p>
        </w:tc>
      </w:tr>
      <w:tr>
        <w:tc>
          <w:tcPr>
            <w:tcW w:type="dxa" w:w="24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bCs/>
                <w:color w:val="8B1A1A"/>
                <w:sz w:val="18"/>
                <w:szCs w:val="18"/>
              </w:rPr>
              <w:t xml:space="preserve">Loan book data quality is too poor to model</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RDB's records may lack district-level granularity, showing only province-level sector aggregates.</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PCAF Tier 1 financed emissions methodology explicitly accepts proxies and estimates when granular data is unavailable. Even province-level data produces a useful heat map that satisfies CBSL entry-level requirements. We document data quality constraints in the disclosure -- standard practice globally.</w:t>
            </w:r>
          </w:p>
        </w:tc>
      </w:tr>
      <w:tr>
        <w:tc>
          <w:tcPr>
            <w:tcW w:type="dxa" w:w="24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bCs/>
                <w:color w:val="8B1A1A"/>
                <w:sz w:val="18"/>
                <w:szCs w:val="18"/>
              </w:rPr>
              <w:t xml:space="preserve">CBSL enforcement timeline slips</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CBSL Roadmap 2.0 milestones may face delays similar to the original 2019 Roadmap, which moved more slowly than planned.</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Cyclone Ditwah has materially accelerated the regulatory timeline. The CBSL Governor's May 2025 statements were made before Ditwah. Post-Ditwah, the political and supervisory environment makes further delays far less likely. Regardless: the IFC and DFI access arguments do not depend on CBSL timing -- they are driven by IFC's own requirements.</w:t>
            </w:r>
          </w:p>
        </w:tc>
      </w:tr>
      <w:tr>
        <w:tc>
          <w:tcPr>
            <w:tcW w:type="dxa" w:w="24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bCs/>
                <w:color w:val="8B1A1A"/>
                <w:sz w:val="18"/>
                <w:szCs w:val="18"/>
              </w:rPr>
              <w:t xml:space="preserve">No internal champion inside RDB</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Without a designated Sustainability Manager, the assessment process may stall inside RDB's bureaucracy.</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We manage the entire process externally. We need only three internal interactions: Chairman sign-off on mandate, credit department loan book data pull, and board session attendance. No sustainability hire required. We are the sustainability function.</w:t>
            </w:r>
          </w:p>
        </w:tc>
      </w:tr>
      <w:tr>
        <w:tc>
          <w:tcPr>
            <w:tcW w:type="dxa" w:w="24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bCs/>
                <w:color w:val="8B1A1A"/>
                <w:sz w:val="18"/>
                <w:szCs w:val="18"/>
              </w:rPr>
              <w:t xml:space="preserve">KPMG or a Big 4 firm pitches first</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An international firm or competitor may approach RDB with a climate risk advisory proposal before we establish the relationship.</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Speed is the answer. First conversation with the Chairman using this document and the Ditwah argument establishes the relationship. KPMG charges LKR 40-80M for comparable work. Our entry point at LKR 8M for Service Line 1 is a deliberate mid-market wedge. Once the retainer is signed, the relationship is structural.</w:t>
            </w:r>
          </w:p>
        </w:tc>
      </w:tr>
    </w:tbl>
    <w:p>
      <w:pPr>
        <w:spacing w:before="120" w:after="120"/>
      </w:pPr>
      <w:r>
        <w:rPr>
          <w:rFonts w:ascii="Arial" w:cs="Arial" w:eastAsia="Arial" w:hAnsi="Arial"/>
          <w:b w:val="false"/>
          <w:bCs w:val="false"/>
          <w:color w:val="333333"/>
          <w:sz w:val="20"/>
          <w:szCs w:val="20"/>
        </w:rPr>
        <w:t xml:space="preserve"> </w:t>
      </w:r>
    </w:p>
    <w:p>
      <w:pPr>
        <w:pBdr>
          <w:bottom w:val="single" w:color="8B1A1A" w:sz="4" w:space="1"/>
        </w:pBdr>
        <w:spacing w:before="140" w:after="140"/>
      </w:pPr>
      <w:r>
        <w:rPr>
          <w:rFonts w:ascii="Arial" w:cs="Arial" w:eastAsia="Arial" w:hAnsi="Arial"/>
          <w:b w:val="false"/>
          <w:bCs w:val="false"/>
          <w:color w:val="333333"/>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B3A5C" w:val="clear"/>
            <w:tcMar>
              <w:top w:type="dxa" w:w="240"/>
              <w:left w:type="dxa" w:w="280"/>
              <w:bottom w:type="dxa" w:w="240"/>
              <w:right w:type="dxa" w:w="280"/>
            </w:tcMar>
          </w:tcPr>
          <w:p>
            <w:pPr>
              <w:spacing w:before="80" w:after="80"/>
            </w:pPr>
            <w:r>
              <w:rPr>
                <w:rFonts w:ascii="Arial" w:cs="Arial" w:eastAsia="Arial" w:hAnsi="Arial"/>
                <w:b/>
                <w:bCs/>
                <w:color w:val="C8960C"/>
                <w:sz w:val="26"/>
                <w:szCs w:val="26"/>
              </w:rPr>
              <w:t xml:space="preserve">HOW THIS CONNECTS TO EVERY OTHER MODULE</w:t>
            </w:r>
          </w:p>
          <w:p>
            <w:pPr>
              <w:spacing w:before="60" w:after="60"/>
            </w:pPr>
            <w:r>
              <w:rPr>
                <w:rFonts w:ascii="Arial" w:cs="Arial" w:eastAsia="Arial" w:hAnsi="Arial"/>
                <w:b w:val="false"/>
                <w:bCs w:val="false"/>
                <w:color w:val="333333"/>
                <w:sz w:val="20"/>
                <w:szCs w:val="20"/>
              </w:rPr>
              <w:t xml:space="preserve"> </w:t>
            </w:r>
          </w:p>
          <w:p>
            <w:pPr>
              <w:spacing w:before="80" w:after="80"/>
            </w:pPr>
            <w:r>
              <w:rPr>
                <w:rFonts w:ascii="Arial" w:cs="Arial" w:eastAsia="Arial" w:hAnsi="Arial"/>
                <w:b w:val="false"/>
                <w:bCs w:val="false"/>
                <w:color w:val="FFFFFF"/>
                <w:sz w:val="20"/>
                <w:szCs w:val="20"/>
              </w:rPr>
              <w:t xml:space="preserve">The climate risk and SLFRS S2 work is not a standalone engagement. It is the connective tissue that makes every other RDB opportunity possible.</w:t>
            </w:r>
          </w:p>
          <w:p>
            <w:pPr>
              <w:spacing w:before="60" w:after="60"/>
            </w:pPr>
            <w:r>
              <w:rPr>
                <w:rFonts w:ascii="Arial" w:cs="Arial" w:eastAsia="Arial" w:hAnsi="Arial"/>
                <w:b w:val="false"/>
                <w:bCs w:val="false"/>
                <w:color w:val="333333"/>
                <w:sz w:val="20"/>
                <w:szCs w:val="20"/>
              </w:rPr>
              <w:t xml:space="preserve"> </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4760"/>
              <w:gridCol w:w="4760"/>
            </w:tblGrid>
            <w:tr>
              <w:tc>
                <w:tcPr>
                  <w:tcW w:type="dxa" w:w="4760"/>
                  <w:tcBorders>
                    <w:top w:val="single" w:color="CCCCCC" w:sz="1"/>
                    <w:left w:val="single" w:color="CCCCCC" w:sz="1"/>
                    <w:bottom w:val="single" w:color="CCCCCC" w:sz="1"/>
                    <w:right w:val="single" w:color="CCCCCC" w:sz="1"/>
                  </w:tcBorders>
                  <w:shd w:fill="3A4A5C" w:val="clear"/>
                  <w:tcMar>
                    <w:top w:type="dxa" w:w="100"/>
                    <w:left w:type="dxa" w:w="140"/>
                    <w:bottom w:type="dxa" w:w="100"/>
                    <w:right w:type="dxa" w:w="140"/>
                  </w:tcMar>
                </w:tcPr>
                <w:p>
                  <w:pPr>
                    <w:spacing w:before="80" w:after="80"/>
                  </w:pPr>
                  <w:r>
                    <w:rPr>
                      <w:rFonts w:ascii="Arial" w:cs="Arial" w:eastAsia="Arial" w:hAnsi="Arial"/>
                      <w:b/>
                      <w:bCs/>
                      <w:color w:val="C8960C"/>
                      <w:sz w:val="18"/>
                      <w:szCs w:val="18"/>
                    </w:rPr>
                    <w:t xml:space="preserve">Climate Risk Framework feeds into:</w:t>
                  </w:r>
                </w:p>
                <w:p>
                  <w:pPr>
                    <w:spacing w:before="80" w:after="80"/>
                  </w:pPr>
                  <w:r>
                    <w:rPr>
                      <w:rFonts w:ascii="Arial" w:cs="Arial" w:eastAsia="Arial" w:hAnsi="Arial"/>
                      <w:b w:val="false"/>
                      <w:bCs w:val="false"/>
                      <w:color w:val="FFFFFF"/>
                      <w:sz w:val="18"/>
                      <w:szCs w:val="18"/>
                    </w:rPr>
                    <w:t xml:space="preserve">Green Bond Module: TCFD disclosure is required by IFC and ADB cornerstone investors. It is the sustainability pillar of the bond framework.</w:t>
                  </w:r>
                </w:p>
                <w:p>
                  <w:pPr>
                    <w:spacing w:before="80" w:after="80"/>
                  </w:pPr>
                  <w:r>
                    <w:rPr>
                      <w:rFonts w:ascii="Arial" w:cs="Arial" w:eastAsia="Arial" w:hAnsi="Arial"/>
                      <w:b w:val="false"/>
                      <w:bCs w:val="false"/>
                      <w:color w:val="FFFFFF"/>
                      <w:sz w:val="18"/>
                      <w:szCs w:val="18"/>
                    </w:rPr>
                    <w:t xml:space="preserve">Green Loan Product Design: Climate risk scores define which loans qualify for the Green Loan portfolio. You need the framework first.</w:t>
                  </w:r>
                </w:p>
                <w:p>
                  <w:pPr>
                    <w:spacing w:before="80" w:after="80"/>
                  </w:pPr>
                  <w:r>
                    <w:rPr>
                      <w:rFonts w:ascii="Arial" w:cs="Arial" w:eastAsia="Arial" w:hAnsi="Arial"/>
                      <w:b w:val="false"/>
                      <w:bCs w:val="false"/>
                      <w:color w:val="FFFFFF"/>
                      <w:sz w:val="18"/>
                      <w:szCs w:val="18"/>
                    </w:rPr>
                    <w:t xml:space="preserve">DFI Credit Line: IFC Performance Standards require documented climate risk management before any credit facility is approved.</w:t>
                  </w:r>
                </w:p>
                <w:p>
                  <w:pPr>
                    <w:spacing w:before="0" w:after="0"/>
                  </w:pPr>
                  <w:r>
                    <w:rPr>
                      <w:rFonts w:ascii="Arial" w:cs="Arial" w:eastAsia="Arial" w:hAnsi="Arial"/>
                      <w:b w:val="false"/>
                      <w:bCs w:val="false"/>
                      <w:color w:val="FFFFFF"/>
                      <w:sz w:val="18"/>
                      <w:szCs w:val="18"/>
                    </w:rPr>
                    <w:t xml:space="preserve">Annual Retainer: CBSL quarterly reports require climate data. The retainer pays for itself in compliance cost avoidance alone.</w:t>
                  </w:r>
                </w:p>
              </w:tc>
              <w:tc>
                <w:tcPr>
                  <w:tcW w:type="dxa" w:w="4760"/>
                  <w:tcBorders>
                    <w:top w:val="single" w:color="CCCCCC" w:sz="1"/>
                    <w:left w:val="single" w:color="CCCCCC" w:sz="1"/>
                    <w:bottom w:val="single" w:color="CCCCCC" w:sz="1"/>
                    <w:right w:val="single" w:color="CCCCCC" w:sz="1"/>
                  </w:tcBorders>
                  <w:shd w:fill="3A4A5C" w:val="clear"/>
                  <w:tcMar>
                    <w:top w:type="dxa" w:w="100"/>
                    <w:left w:type="dxa" w:w="140"/>
                    <w:bottom w:type="dxa" w:w="100"/>
                    <w:right w:type="dxa" w:w="140"/>
                  </w:tcMar>
                </w:tcPr>
                <w:p>
                  <w:pPr>
                    <w:spacing w:before="80" w:after="80"/>
                  </w:pPr>
                  <w:r>
                    <w:rPr>
                      <w:rFonts w:ascii="Arial" w:cs="Arial" w:eastAsia="Arial" w:hAnsi="Arial"/>
                      <w:b/>
                      <w:bCs/>
                      <w:color w:val="C8960C"/>
                      <w:sz w:val="18"/>
                      <w:szCs w:val="18"/>
                    </w:rPr>
                    <w:t xml:space="preserve">The Sequencing Logic:</w:t>
                  </w:r>
                </w:p>
                <w:p>
                  <w:pPr>
                    <w:spacing w:before="80" w:after="80"/>
                  </w:pPr>
                  <w:r>
                    <w:rPr>
                      <w:rFonts w:ascii="Arial" w:cs="Arial" w:eastAsia="Arial" w:hAnsi="Arial"/>
                      <w:b w:val="false"/>
                      <w:bCs w:val="false"/>
                      <w:color w:val="FFFFFF"/>
                      <w:sz w:val="18"/>
                      <w:szCs w:val="18"/>
                    </w:rPr>
                    <w:t xml:space="preserve">Months 1-3: Climate Risk Assessment. RDB can answer the Ditwah question.</w:t>
                  </w:r>
                </w:p>
                <w:p>
                  <w:pPr>
                    <w:spacing w:before="80" w:after="80"/>
                  </w:pPr>
                  <w:r>
                    <w:rPr>
                      <w:rFonts w:ascii="Arial" w:cs="Arial" w:eastAsia="Arial" w:hAnsi="Arial"/>
                      <w:b w:val="false"/>
                      <w:bCs w:val="false"/>
                      <w:color w:val="FFFFFF"/>
                      <w:sz w:val="18"/>
                      <w:szCs w:val="18"/>
                    </w:rPr>
                    <w:t xml:space="preserve">Months 2-4: Green Loan Products designed. Climate risk scores define eligibility criteria.</w:t>
                  </w:r>
                </w:p>
                <w:p>
                  <w:pPr>
                    <w:spacing w:before="80" w:after="80"/>
                  </w:pPr>
                  <w:r>
                    <w:rPr>
                      <w:rFonts w:ascii="Arial" w:cs="Arial" w:eastAsia="Arial" w:hAnsi="Arial"/>
                      <w:b w:val="false"/>
                      <w:bCs w:val="false"/>
                      <w:color w:val="FFFFFF"/>
                      <w:sz w:val="18"/>
                      <w:szCs w:val="18"/>
                    </w:rPr>
                    <w:t xml:space="preserve">Months 3-6: Green Bond structured. Climate disclosure is the TCFD pillar of the bond framework.</w:t>
                  </w:r>
                </w:p>
                <w:p>
                  <w:pPr>
                    <w:spacing w:before="0" w:after="0"/>
                  </w:pPr>
                  <w:r>
                    <w:rPr>
                      <w:rFonts w:ascii="Arial" w:cs="Arial" w:eastAsia="Arial" w:hAnsi="Arial"/>
                      <w:b w:val="false"/>
                      <w:bCs w:val="false"/>
                      <w:color w:val="FFFFFF"/>
                      <w:sz w:val="18"/>
                      <w:szCs w:val="18"/>
                    </w:rPr>
                    <w:t xml:space="preserve">Months 6-18: IFC and ADB credit line. Climate framework plus bond track record equals the full DFI credibility package.</w:t>
                  </w:r>
                </w:p>
              </w:tc>
            </w:tr>
          </w:tbl>
          <w:p>
            <w:pPr>
              <w:spacing w:before="60" w:after="60"/>
            </w:pPr>
            <w:r>
              <w:rPr>
                <w:rFonts w:ascii="Arial" w:cs="Arial" w:eastAsia="Arial" w:hAnsi="Arial"/>
                <w:b w:val="false"/>
                <w:bCs w:val="false"/>
                <w:color w:val="333333"/>
                <w:sz w:val="20"/>
                <w:szCs w:val="20"/>
              </w:rPr>
              <w:t xml:space="preserve"> </w:t>
            </w:r>
          </w:p>
          <w:p>
            <w:pPr>
              <w:spacing w:before="0" w:after="0"/>
            </w:pPr>
            <w:r>
              <w:rPr>
                <w:rFonts w:ascii="Arial" w:cs="Arial" w:eastAsia="Arial" w:hAnsi="Arial"/>
                <w:b/>
                <w:bCs/>
                <w:color w:val="C8960C"/>
                <w:sz w:val="22"/>
                <w:szCs w:val="22"/>
              </w:rPr>
              <w:t xml:space="preserve">Whoever builds RDB's climate risk framework owns the RDB relationship. The framework is used in every board meeting, every CBSL submission, every DFI conversation, and every bond prospectus for the next decade.</w:t>
            </w:r>
          </w:p>
        </w:tc>
      </w:tr>
    </w:tbl>
    <w:p>
      <w:pPr>
        <w:spacing w:before="60" w:after="60"/>
      </w:pPr>
      <w:r>
        <w:rPr>
          <w:rFonts w:ascii="Arial" w:cs="Arial" w:eastAsia="Arial" w:hAnsi="Arial"/>
          <w:b w:val="false"/>
          <w:bCs w:val="false"/>
          <w:color w:val="333333"/>
          <w:sz w:val="20"/>
          <w:szCs w:val="20"/>
        </w:rPr>
        <w:t xml:space="preserve"> </w:t>
      </w:r>
    </w:p>
    <w:p>
      <w:pPr>
        <w:spacing w:before="80" w:after="80"/>
      </w:pPr>
      <w:r>
        <w:rPr>
          <w:rFonts w:ascii="Arial" w:cs="Arial" w:eastAsia="Arial" w:hAnsi="Arial"/>
          <w:b w:val="false"/>
          <w:bCs w:val="false"/>
          <w:color w:val="888888"/>
          <w:sz w:val="18"/>
          <w:szCs w:val="18"/>
        </w:rPr>
        <w:t xml:space="preserve">Document prepared February 2026. For internal use only. Climate damage data sourced from World Bank GRADE Report (December 2025), OCHA Cyclone Ditwah Situation Reports, UN News, World Weather Attribution. Regulatory data from CBSL, CA Sri Lanka, IFRS Foundation. Comparative data from Banco do Brasil, NABARD, Bangladesh Bank, and ECB 2022 Climate Stress Test.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3A5C"/>
      <w:sz w:val="38"/>
      <w:szCs w:val="38"/>
    </w:rPr>
  </w:style>
  <w:style w:type="paragraph" w:styleId="Heading2">
    <w:name w:val="Heading 2"/>
    <w:basedOn w:val="Normal"/>
    <w:next w:val="Normal"/>
    <w:qFormat/>
    <w:pPr>
      <w:spacing w:before="220" w:after="100"/>
      <w:outlineLvl w:val="1"/>
    </w:pPr>
    <w:rPr>
      <w:rFonts w:ascii="Arial" w:cs="Arial" w:eastAsia="Arial" w:hAnsi="Arial"/>
      <w:b/>
      <w:bCs/>
      <w:color w:val="8B1A1A"/>
      <w:sz w:val="28"/>
      <w:szCs w:val="28"/>
    </w:rPr>
  </w:style>
  <w:style w:type="paragraph" w:styleId="Heading3">
    <w:name w:val="Heading 3"/>
    <w:basedOn w:val="Normal"/>
    <w:next w:val="Normal"/>
    <w:qFormat/>
    <w:pPr>
      <w:spacing w:before="160" w:after="80"/>
      <w:outlineLvl w:val="2"/>
    </w:pPr>
    <w:rPr>
      <w:rFonts w:ascii="Arial" w:cs="Arial" w:eastAsia="Arial" w:hAnsi="Arial"/>
      <w:b/>
      <w:bCs/>
      <w:color w:val="B05A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2026-02-22T17:48:09.369Z</dcterms:created>
  <dcterms:modified xsi:type="dcterms:W3CDTF">2026-02-22T17:48:09.370Z</dcterms:modified>
</cp:coreProperties>
</file>

<file path=docProps/custom.xml><?xml version="1.0" encoding="utf-8"?>
<Properties xmlns="http://schemas.openxmlformats.org/officeDocument/2006/custom-properties" xmlns:vt="http://schemas.openxmlformats.org/officeDocument/2006/docPropsVTypes"/>
</file>