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D0F5C" w:val="clear"/>
            <w:tcMar>
              <w:top w:type="dxa" w:w="500"/>
              <w:left w:type="dxa" w:w="400"/>
              <w:bottom w:type="dxa" w:w="500"/>
              <w:right w:type="dxa" w:w="400"/>
            </w:tcMar>
          </w:tcPr>
          <w:p>
            <w:pPr>
              <w:spacing w:before="80" w:after="80"/>
            </w:pPr>
            <w:r>
              <w:rPr>
                <w:rFonts w:ascii="Arial" w:cs="Arial" w:eastAsia="Arial" w:hAnsi="Arial"/>
                <w:b/>
                <w:bCs/>
                <w:color w:val="C8960C"/>
                <w:sz w:val="22"/>
                <w:szCs w:val="22"/>
              </w:rPr>
              <w:t xml:space="preserve">RDB x SUSTAINABILITY BROKER</w:t>
            </w:r>
          </w:p>
          <w:p>
            <w:pPr>
              <w:spacing w:before="60" w:after="0"/>
            </w:pPr>
            <w:r>
              <w:rPr>
                <w:rFonts w:ascii="Arial" w:cs="Arial" w:eastAsia="Arial" w:hAnsi="Arial"/>
                <w:b/>
                <w:bCs/>
                <w:color w:val="FFFFFF"/>
                <w:sz w:val="52"/>
                <w:szCs w:val="52"/>
              </w:rPr>
              <w:t xml:space="preserve">ESG and Impact</w:t>
            </w:r>
          </w:p>
          <w:p>
            <w:pPr>
              <w:spacing w:before="0" w:after="160"/>
            </w:pPr>
            <w:r>
              <w:rPr>
                <w:rFonts w:ascii="Arial" w:cs="Arial" w:eastAsia="Arial" w:hAnsi="Arial"/>
                <w:b/>
                <w:bCs/>
                <w:color w:val="FFFFFF"/>
                <w:sz w:val="52"/>
                <w:szCs w:val="52"/>
              </w:rPr>
              <w:t xml:space="preserve">Reporting Framework</w:t>
            </w:r>
          </w:p>
          <w:p>
            <w:pPr>
              <w:spacing w:before="80" w:after="80"/>
            </w:pPr>
            <w:r>
              <w:rPr>
                <w:rFonts w:ascii="Arial" w:cs="Arial" w:eastAsia="Arial" w:hAnsi="Arial"/>
                <w:b w:val="false"/>
                <w:bCs w:val="false"/>
                <w:color w:val="BBBBBB"/>
                <w:sz w:val="20"/>
                <w:szCs w:val="20"/>
              </w:rPr>
              <w:t xml:space="preserve">Five Case Studies  |  Full Business Model  |  The Credentialing Document for IFC and ADB  |  February 2026</w:t>
            </w:r>
          </w:p>
        </w:tc>
      </w:tr>
    </w:tbl>
    <w:p>
      <w:pPr>
        <w:spacing w:before="120" w:after="12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DF0F0" w:val="clear"/>
            <w:tcMar>
              <w:top w:type="dxa" w:w="140"/>
              <w:left w:type="dxa" w:w="200"/>
              <w:bottom w:type="dxa" w:w="140"/>
              <w:right w:type="dxa" w:w="200"/>
            </w:tcMar>
          </w:tcPr>
          <w:p>
            <w:pPr>
              <w:spacing w:before="80" w:after="80"/>
            </w:pPr>
            <w:r>
              <w:rPr>
                <w:rFonts w:ascii="Arial" w:cs="Arial" w:eastAsia="Arial" w:hAnsi="Arial"/>
                <w:b/>
                <w:bCs/>
                <w:color w:val="8B1A1A"/>
                <w:sz w:val="24"/>
                <w:szCs w:val="24"/>
              </w:rPr>
              <w:t xml:space="preserve">The Critical Discovery: The $100M Credit Line RDB Was Not Invited To Join</w:t>
            </w:r>
          </w:p>
          <w:p>
            <w:pPr>
              <w:spacing w:before="80" w:after="80"/>
            </w:pPr>
            <w:r>
              <w:rPr>
                <w:rFonts w:ascii="Arial" w:cs="Arial" w:eastAsia="Arial" w:hAnsi="Arial"/>
                <w:b w:val="false"/>
                <w:bCs w:val="false"/>
                <w:color w:val="333333"/>
                <w:sz w:val="20"/>
                <w:szCs w:val="20"/>
              </w:rPr>
              <w:t xml:space="preserve">In 2016, the Asian Development Bank launched Project 49273-001 -- a $100 million SME Line of Credit distributed among 13 participating financial institutions (PFIs) in Sri Lanka. The participating banks received subsidised long-term capital to on-lend to rural MSMEs. ADB selected participants based on one primary criterion: a completed and ADB-approved Environmental and Social Management System (ESMS).</w:t>
            </w:r>
          </w:p>
          <w:p>
            <w:pPr>
              <w:spacing w:before="80" w:after="80"/>
            </w:pPr>
            <w:r>
              <w:rPr>
                <w:rFonts w:ascii="Arial" w:cs="Arial" w:eastAsia="Arial" w:hAnsi="Arial"/>
                <w:b w:val="false"/>
                <w:bCs w:val="false"/>
                <w:color w:val="333333"/>
                <w:sz w:val="20"/>
                <w:szCs w:val="20"/>
              </w:rPr>
              <w:t xml:space="preserve">The 13 PFIs included DFCC Bank, NDB Bank, Sampath Bank, HNB, Seylan Bank, Sanasa Development Bank, People's Bank, and Hatton National Bank -- each of which submitted a documented ESMS to ADB's review team and was approved.</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4760"/>
              <w:gridCol w:w="4760"/>
            </w:tblGrid>
            <w:tr>
              <w:tc>
                <w:tcPr>
                  <w:tcW w:type="dxa" w:w="476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0F5C2E"/>
                      <w:sz w:val="18"/>
                      <w:szCs w:val="18"/>
                    </w:rPr>
                    <w:t xml:space="preserve">Banks That Built Their ESMS -- and Received ADB Funds</w:t>
                  </w:r>
                </w:p>
                <w:p>
                  <w:pPr>
                    <w:spacing w:before="20" w:after="20"/>
                  </w:pPr>
                  <w:r>
                    <w:rPr>
                      <w:rFonts w:ascii="Arial" w:cs="Arial" w:eastAsia="Arial" w:hAnsi="Arial"/>
                      <w:b w:val="false"/>
                      <w:bCs w:val="false"/>
                      <w:color w:val="0F5C2E"/>
                      <w:sz w:val="18"/>
                      <w:szCs w:val="18"/>
                    </w:rPr>
                    <w:t xml:space="preserve">✓  DFCC Bank PLC -- submitted ESMS Dec 2016; received ADB allocation; later gained GCF accreditation 2023</w:t>
                  </w:r>
                </w:p>
                <w:p>
                  <w:pPr>
                    <w:spacing w:before="20" w:after="20"/>
                  </w:pPr>
                  <w:r>
                    <w:rPr>
                      <w:rFonts w:ascii="Arial" w:cs="Arial" w:eastAsia="Arial" w:hAnsi="Arial"/>
                      <w:b w:val="false"/>
                      <w:bCs w:val="false"/>
                      <w:color w:val="0F5C2E"/>
                      <w:sz w:val="18"/>
                      <w:szCs w:val="18"/>
                    </w:rPr>
                    <w:t xml:space="preserve">✓  NDB Bank PLC -- submitted ESMS 2016; received ADB allocation; published full Green Finance Framework</w:t>
                  </w:r>
                </w:p>
                <w:p>
                  <w:pPr>
                    <w:spacing w:before="20" w:after="20"/>
                  </w:pPr>
                  <w:r>
                    <w:rPr>
                      <w:rFonts w:ascii="Arial" w:cs="Arial" w:eastAsia="Arial" w:hAnsi="Arial"/>
                      <w:b w:val="false"/>
                      <w:bCs w:val="false"/>
                      <w:color w:val="0F5C2E"/>
                      <w:sz w:val="18"/>
                      <w:szCs w:val="18"/>
                    </w:rPr>
                    <w:t xml:space="preserve">✓  Sampath Bank PLC -- submitted ESMS Feb 2017; received ADB allocation; active in green finance</w:t>
                  </w:r>
                </w:p>
                <w:p>
                  <w:pPr>
                    <w:spacing w:before="20" w:after="20"/>
                  </w:pPr>
                  <w:r>
                    <w:rPr>
                      <w:rFonts w:ascii="Arial" w:cs="Arial" w:eastAsia="Arial" w:hAnsi="Arial"/>
                      <w:b w:val="false"/>
                      <w:bCs w:val="false"/>
                      <w:color w:val="0F5C2E"/>
                      <w:sz w:val="18"/>
                      <w:szCs w:val="18"/>
                    </w:rPr>
                    <w:t xml:space="preserve">✓  HNB PLC -- submitted ESMS Sep 2017; received ADB allocation; Strongest Bank award 2025</w:t>
                  </w:r>
                </w:p>
                <w:p>
                  <w:pPr>
                    <w:spacing w:before="20" w:after="20"/>
                  </w:pPr>
                  <w:r>
                    <w:rPr>
                      <w:rFonts w:ascii="Arial" w:cs="Arial" w:eastAsia="Arial" w:hAnsi="Arial"/>
                      <w:b w:val="false"/>
                      <w:bCs w:val="false"/>
                      <w:color w:val="0F5C2E"/>
                      <w:sz w:val="18"/>
                      <w:szCs w:val="18"/>
                    </w:rPr>
                    <w:t xml:space="preserve">✓  Seylan Bank PLC -- submitted ESMS; received ADB allocation</w:t>
                  </w:r>
                </w:p>
                <w:p>
                  <w:pPr>
                    <w:spacing w:before="20" w:after="20"/>
                  </w:pPr>
                  <w:r>
                    <w:rPr>
                      <w:rFonts w:ascii="Arial" w:cs="Arial" w:eastAsia="Arial" w:hAnsi="Arial"/>
                      <w:b w:val="false"/>
                      <w:bCs w:val="false"/>
                      <w:color w:val="0F5C2E"/>
                      <w:sz w:val="18"/>
                      <w:szCs w:val="18"/>
                    </w:rPr>
                    <w:t xml:space="preserve">✓  Sanasa Development Bank -- submitted ESMS; received ADB allocation</w:t>
                  </w:r>
                </w:p>
                <w:p>
                  <w:pPr>
                    <w:spacing w:before="20" w:after="20"/>
                  </w:pPr>
                  <w:r>
                    <w:rPr>
                      <w:rFonts w:ascii="Arial" w:cs="Arial" w:eastAsia="Arial" w:hAnsi="Arial"/>
                      <w:b w:val="false"/>
                      <w:bCs w:val="false"/>
                      <w:color w:val="0F5C2E"/>
                      <w:sz w:val="18"/>
                      <w:szCs w:val="18"/>
                    </w:rPr>
                    <w:t xml:space="preserve">✓  Hatton National Bank PLC -- submitted ESMS; received ADB allocation</w:t>
                  </w:r>
                </w:p>
              </w:tc>
              <w:tc>
                <w:tcPr>
                  <w:tcW w:type="dxa" w:w="476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RDB -- Separate Smaller Loan, Different Conditions</w:t>
                  </w:r>
                </w:p>
                <w:p>
                  <w:pPr>
                    <w:spacing w:before="80" w:after="80"/>
                  </w:pPr>
                  <w:r>
                    <w:rPr>
                      <w:rFonts w:ascii="Arial" w:cs="Arial" w:eastAsia="Arial" w:hAnsi="Arial"/>
                      <w:b w:val="false"/>
                      <w:bCs w:val="false"/>
                      <w:color w:val="8B1A1A"/>
                      <w:sz w:val="18"/>
                      <w:szCs w:val="18"/>
                    </w:rPr>
                    <w:t xml:space="preserve">ADB approved a separate $50 million loan to RDB in February 2019 (Project 52219-001) -- a different, smaller facility with a subordinated structure to meet Basel III Tier 2 capital requirements. It was not part of the open competitive $100M SME credit line.</w:t>
                  </w:r>
                </w:p>
                <w:p>
                  <w:pPr>
                    <w:spacing w:before="80" w:after="80"/>
                  </w:pPr>
                  <w:r>
                    <w:rPr>
                      <w:rFonts w:ascii="Arial" w:cs="Arial" w:eastAsia="Arial" w:hAnsi="Arial"/>
                      <w:b w:val="false"/>
                      <w:bCs w:val="false"/>
                      <w:color w:val="333333"/>
                      <w:sz w:val="18"/>
                      <w:szCs w:val="18"/>
                    </w:rPr>
                    <w:t xml:space="preserve">The 2019 ADB loan required RDB to develop a basic ESMS as a condition. The Project Administration Manual explicitly states: 'Once ADB has approved RDB's ESMS, sub-borrowers with subprojects that are Category B for the environment will need to carry out an impact assessment.' RDB's ESMS exists at minimum compliance level only.</w:t>
                  </w:r>
                </w:p>
                <w:p>
                  <w:pPr>
                    <w:spacing w:before="0" w:after="0"/>
                  </w:pPr>
                  <w:r>
                    <w:rPr>
                      <w:rFonts w:ascii="Arial" w:cs="Arial" w:eastAsia="Arial" w:hAnsi="Arial"/>
                      <w:b/>
                      <w:bCs/>
                      <w:color w:val="8B1A1A"/>
                      <w:sz w:val="18"/>
                      <w:szCs w:val="18"/>
                    </w:rPr>
                    <w:t xml:space="preserve">The question is not whether RDB has an ESMS. It is whether RDB's ESMS is good enough to unlock the next tranche of DFI funding -- IFC, ADB Phase 2, and GCF accreditation. The answer today is no.</w:t>
                  </w:r>
                </w:p>
              </w:tc>
            </w:tr>
          </w:tbl>
          <w:p/>
        </w:tc>
      </w:tr>
    </w:tbl>
    <w:p>
      <w:pPr>
        <w:spacing w:before="120" w:after="12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D0F5C" w:val="clear"/>
            <w:tcMar>
              <w:top w:type="dxa" w:w="140"/>
              <w:left w:type="dxa" w:w="200"/>
              <w:bottom w:type="dxa" w:w="140"/>
              <w:right w:type="dxa" w:w="200"/>
            </w:tcMar>
          </w:tcPr>
          <w:p>
            <w:pPr>
              <w:spacing w:before="80" w:after="80"/>
            </w:pPr>
            <w:r>
              <w:rPr>
                <w:rFonts w:ascii="Arial" w:cs="Arial" w:eastAsia="Arial" w:hAnsi="Arial"/>
                <w:b/>
                <w:bCs/>
                <w:color w:val="C8960C"/>
                <w:sz w:val="24"/>
                <w:szCs w:val="24"/>
              </w:rPr>
              <w:t xml:space="preserve">The Central Argument: The Impact Framework Is Not a Report -- It Is a Credential</w:t>
            </w:r>
          </w:p>
          <w:p>
            <w:pPr>
              <w:spacing w:before="80" w:after="80"/>
            </w:pPr>
            <w:r>
              <w:rPr>
                <w:rFonts w:ascii="Arial" w:cs="Arial" w:eastAsia="Arial" w:hAnsi="Arial"/>
                <w:b w:val="false"/>
                <w:bCs w:val="false"/>
                <w:color w:val="FFFFFF"/>
                <w:sz w:val="20"/>
                <w:szCs w:val="20"/>
              </w:rPr>
              <w:t xml:space="preserve">Every other opportunity we are building for RDB -- Green Bond, Green Loan, Sustainable Agriculture Lending, Climate Risk/SLFRS S2 -- requires an IFC/ADB counterparty to review and approve RDB's sustainability credentialing before they commit capital. The Impact Reporting Framework is the document those counterparties read. Without it, everything else stalls at the due diligence stage.</w:t>
            </w:r>
          </w:p>
          <w:p>
            <w:pPr>
              <w:spacing w:before="60" w:after="60"/>
            </w:pPr>
            <w:r>
              <w:rPr>
                <w:rFonts w:ascii="Arial" w:cs="Arial" w:eastAsia="Arial" w:hAnsi="Arial"/>
                <w:b w:val="false"/>
                <w:bCs w:val="false"/>
                <w:color w:val="333333"/>
                <w:sz w:val="20"/>
                <w:szCs w:val="20"/>
              </w:rPr>
              <w:t xml:space="preserve"> </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173"/>
              <w:gridCol w:w="3174"/>
              <w:gridCol w:w="3173"/>
            </w:tblGrid>
            <w:tr>
              <w:tc>
                <w:tcPr>
                  <w:tcW w:type="dxa" w:w="3173"/>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IFC Requires</w:t>
                  </w:r>
                </w:p>
              </w:tc>
              <w:tc>
                <w:tcPr>
                  <w:tcW w:type="dxa" w:w="3174"/>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ADB Requires</w:t>
                  </w:r>
                </w:p>
              </w:tc>
              <w:tc>
                <w:tcPr>
                  <w:tcW w:type="dxa" w:w="3173"/>
                  <w:tcBorders>
                    <w:top w:val="single" w:color="CCCCCC" w:sz="1"/>
                    <w:left w:val="single" w:color="CCCCCC" w:sz="1"/>
                    <w:bottom w:val="single" w:color="CCCCCC" w:sz="1"/>
                    <w:right w:val="single" w:color="CCCCCC" w:sz="1"/>
                  </w:tcBorders>
                  <w:shd w:fill="0F5C2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GCF Requires</w:t>
                  </w:r>
                </w:p>
              </w:tc>
            </w:tr>
            <w:tr>
              <w:tc>
                <w:tcPr>
                  <w:tcW w:type="dxa" w:w="3173"/>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IFC Performance Standards (PS1-PS8)</w:t>
                  </w:r>
                </w:p>
                <w:p>
                  <w:pPr>
                    <w:spacing w:before="80" w:after="80"/>
                  </w:pPr>
                  <w:r>
                    <w:rPr>
                      <w:rFonts w:ascii="Arial" w:cs="Arial" w:eastAsia="Arial" w:hAnsi="Arial"/>
                      <w:b w:val="false"/>
                      <w:bCs w:val="false"/>
                      <w:color w:val="333333"/>
                      <w:sz w:val="18"/>
                      <w:szCs w:val="18"/>
                    </w:rPr>
                    <w:t xml:space="preserve">PS1: E&amp;S Assessment and Management System (ESMS). PS2: Labour and Working Conditions. PS3: Resource Efficiency and Pollution Prevention. PS4: Community Health and Safety. PS5-PS8: Land, Biodiversity, Cultural Heritage, Indigenous Peoples. RDB must demonstrate compliance with all 8 standards across its loan portfolio for IFC to commit any credit facility.</w:t>
                  </w:r>
                </w:p>
              </w:tc>
              <w:tc>
                <w:tcPr>
                  <w:tcW w:type="dxa" w:w="3174"/>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8"/>
                      <w:szCs w:val="18"/>
                    </w:rPr>
                    <w:t xml:space="preserve">Approved ESMS + Annual Monitoring Report</w:t>
                  </w:r>
                </w:p>
                <w:p>
                  <w:pPr>
                    <w:spacing w:before="80" w:after="80"/>
                  </w:pPr>
                  <w:r>
                    <w:rPr>
                      <w:rFonts w:ascii="Arial" w:cs="Arial" w:eastAsia="Arial" w:hAnsi="Arial"/>
                      <w:b w:val="false"/>
                      <w:bCs w:val="false"/>
                      <w:color w:val="333333"/>
                      <w:sz w:val="18"/>
                      <w:szCs w:val="18"/>
                    </w:rPr>
                    <w:t xml:space="preserve">ADB's Safeguard Policy Statement (2009) requires all Participating Financial Institutions to submit: (1) an approved ESMS document, (2) annual environmental and social monitoring reports, and (3) evidence of E&amp;S screening integrated into loan origination. PFIs 'without an approved ESMS must exclude all subprojects with adverse environmental impacts (Category A and B)' -- severely limiting lending scope.</w:t>
                  </w:r>
                </w:p>
              </w:tc>
              <w:tc>
                <w:tcPr>
                  <w:tcW w:type="dxa" w:w="3173"/>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Fiduciary Standards + ESG Standards + Impact Monitoring</w:t>
                  </w:r>
                </w:p>
                <w:p>
                  <w:pPr>
                    <w:spacing w:before="80" w:after="80"/>
                  </w:pPr>
                  <w:r>
                    <w:rPr>
                      <w:rFonts w:ascii="Arial" w:cs="Arial" w:eastAsia="Arial" w:hAnsi="Arial"/>
                      <w:b w:val="false"/>
                      <w:bCs w:val="false"/>
                      <w:color w:val="333333"/>
                      <w:sz w:val="18"/>
                      <w:szCs w:val="18"/>
                    </w:rPr>
                    <w:t xml:space="preserve">GCF accreditation requires three standards: Fiduciary Standards (financial management and governance), ESG Standards (equivalent to IFC PS1 + social/gender safeguards), and Impact Monitoring and Evaluation Framework (IRIS+ metrics, SDG mapping, results measurement). DFCC achieved GCF accreditation July 2023. RDB has none of the three.</w:t>
                  </w:r>
                </w:p>
              </w:tc>
            </w:tr>
          </w:tbl>
          <w:p/>
        </w:tc>
      </w:tr>
    </w:tbl>
    <w:p>
      <w:pPr>
        <w:spacing w:before="120" w:after="120"/>
      </w:pPr>
      <w:r>
        <w:rPr>
          <w:rFonts w:ascii="Arial" w:cs="Arial" w:eastAsia="Arial" w:hAnsi="Arial"/>
          <w:b w:val="false"/>
          <w:bCs w:val="false"/>
          <w:color w:val="333333"/>
          <w:sz w:val="20"/>
          <w:szCs w:val="20"/>
        </w:rPr>
        <w:t xml:space="preserve"> </w:t>
      </w:r>
    </w:p>
    <w:p>
      <w:pPr>
        <w:pStyle w:val="Heading2"/>
        <w:spacing w:before="220" w:after="100"/>
      </w:pPr>
      <w:r>
        <w:rPr>
          <w:rFonts w:ascii="Arial" w:cs="Arial" w:eastAsia="Arial" w:hAnsi="Arial"/>
          <w:b/>
          <w:bCs/>
          <w:color w:val="2D0F5C"/>
          <w:sz w:val="28"/>
          <w:szCs w:val="28"/>
        </w:rPr>
        <w:t xml:space="preserve">The Six Components of RDB's ESG and Impact Reporting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5480"/>
        <w:gridCol w:w="2200"/>
      </w:tblGrid>
      <w:tr>
        <w:tc>
          <w:tcPr>
            <w:tcW w:type="dxa" w:w="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Component</w:t>
            </w:r>
          </w:p>
        </w:tc>
        <w:tc>
          <w:tcPr>
            <w:tcW w:type="dxa" w:w="548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What It Contains -- and Who Uses It</w:t>
            </w:r>
          </w:p>
        </w:tc>
        <w:tc>
          <w:tcPr>
            <w:tcW w:type="dxa" w:w="22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DFI Requirement It Satisfies</w:t>
            </w:r>
          </w:p>
        </w:tc>
      </w:tr>
      <w:tr>
        <w:tc>
          <w:tcPr>
            <w:tcW w:type="dxa" w:w="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tcPr>
          <w:p>
            <w:pPr>
              <w:spacing w:before="80" w:after="80"/>
              <w:jc w:val="center"/>
            </w:pPr>
            <w:r>
              <w:rPr>
                <w:rFonts w:ascii="Arial" w:cs="Arial" w:eastAsia="Arial" w:hAnsi="Arial"/>
                <w:b/>
                <w:bCs/>
                <w:color w:val="C8960C"/>
                <w:sz w:val="24"/>
                <w:szCs w:val="24"/>
              </w:rPr>
              <w:t xml:space="preserve">1</w:t>
            </w:r>
          </w:p>
        </w:tc>
        <w:tc>
          <w:tcPr>
            <w:tcW w:type="dxa" w:w="20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Institutional ESG Policy and Governance Statement</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Board-approved Environmental and Social Policy Statement (2-page document); Board-level ESG Committee charter (or terms of reference for an existing committee); E&amp;S risk appetite statement; Exclusion list (sectors RDB will not finance) aligned to IFC PS and ADB requirements; Statement of alignment to CBSL Sustainable Finance Roadmap 2.0 and SLFRS S2. This document does not exist at RDB in any published form. We draft it; the Board adopts it; it becomes public in the Annual Report.</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pPr>
              <w:spacing w:before="80" w:after="80"/>
            </w:pPr>
            <w:r>
              <w:rPr>
                <w:rFonts w:ascii="Arial" w:cs="Arial" w:eastAsia="Arial" w:hAnsi="Arial"/>
                <w:b w:val="false"/>
                <w:bCs w:val="false"/>
                <w:color w:val="B05A00"/>
                <w:sz w:val="17"/>
                <w:szCs w:val="17"/>
              </w:rPr>
              <w:t xml:space="preserve">IFC PS1 governance pillar; ADB ESMS Policy requirement; GCF Fiduciary Standards para 2.1</w:t>
            </w:r>
          </w:p>
        </w:tc>
      </w:tr>
      <w:tr>
        <w:tc>
          <w:tcPr>
            <w:tcW w:type="dxa" w:w="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tcPr>
          <w:p>
            <w:pPr>
              <w:spacing w:before="80" w:after="80"/>
              <w:jc w:val="center"/>
            </w:pPr>
            <w:r>
              <w:rPr>
                <w:rFonts w:ascii="Arial" w:cs="Arial" w:eastAsia="Arial" w:hAnsi="Arial"/>
                <w:b/>
                <w:bCs/>
                <w:color w:val="C8960C"/>
                <w:sz w:val="24"/>
                <w:szCs w:val="24"/>
              </w:rPr>
              <w:t xml:space="preserve">2</w:t>
            </w:r>
          </w:p>
        </w:tc>
        <w:tc>
          <w:tcPr>
            <w:tcW w:type="dxa" w:w="20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ESMS Procedures Manual -- Upgraded to IFC PS Standard</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RDB's 2019 ADB-required ESMS was a minimum document. We upgrade it to full IFC PS1 standard: E&amp;S risk categorisation tool for every loan application (Category A = highest risk, B = moderate, C = low/no risk); Environmental and Social Due Diligence (ESDD) questionnaire for Category A and B sub-borrowers; Monitoring and reporting requirements for each category; Escalation procedures; Annual ESMS review process. The upgraded manual is what IFC PS1 requires before any credit facility is approved.</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pPr>
              <w:spacing w:before="80" w:after="80"/>
            </w:pPr>
            <w:r>
              <w:rPr>
                <w:rFonts w:ascii="Arial" w:cs="Arial" w:eastAsia="Arial" w:hAnsi="Arial"/>
                <w:b w:val="false"/>
                <w:bCs w:val="false"/>
                <w:color w:val="B05A00"/>
                <w:sz w:val="17"/>
                <w:szCs w:val="17"/>
              </w:rPr>
              <w:t xml:space="preserve">IFC PS1 full; ADB FI ESMS requirements; GCF ESG Standards</w:t>
            </w:r>
          </w:p>
        </w:tc>
      </w:tr>
      <w:tr>
        <w:tc>
          <w:tcPr>
            <w:tcW w:type="dxa" w:w="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tcPr>
          <w:p>
            <w:pPr>
              <w:spacing w:before="80" w:after="80"/>
              <w:jc w:val="center"/>
            </w:pPr>
            <w:r>
              <w:rPr>
                <w:rFonts w:ascii="Arial" w:cs="Arial" w:eastAsia="Arial" w:hAnsi="Arial"/>
                <w:b/>
                <w:bCs/>
                <w:color w:val="C8960C"/>
                <w:sz w:val="24"/>
                <w:szCs w:val="24"/>
              </w:rPr>
              <w:t xml:space="preserve">3</w:t>
            </w:r>
          </w:p>
        </w:tc>
        <w:tc>
          <w:tcPr>
            <w:tcW w:type="dxa" w:w="20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IFC Performance Standards Portfolio Compliance Assessment</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A systematic review of RDB's current loan portfolio against all 8 IFC Performance Standards: PS1 (ESMS -- partial, needs upgrade), PS2 (Labour conditions -- rural agricultural lending implications), PS3 (Resource efficiency -- applicable to agri-chemical use in RDB's smallholder portfolio), PS4 (Community Health and Safety -- applicable to agri-chemical and pesticide loans), PS5 (Land Acquisition -- relevant to infrastructure loans), PS6 (Biodiversity -- relevant to forestry/plantation lending), PS7 (Indigenous Peoples -- relevant in Northern/Eastern Province), PS8 (Cultural Heritage -- limited relevance). Output: a compliance gap table RDB can show IFC to demonstrate institutional readiness.</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pPr>
              <w:spacing w:before="80" w:after="80"/>
            </w:pPr>
            <w:r>
              <w:rPr>
                <w:rFonts w:ascii="Arial" w:cs="Arial" w:eastAsia="Arial" w:hAnsi="Arial"/>
                <w:b w:val="false"/>
                <w:bCs w:val="false"/>
                <w:color w:val="B05A00"/>
                <w:sz w:val="17"/>
                <w:szCs w:val="17"/>
              </w:rPr>
              <w:t xml:space="preserve">IFC PS1-PS8 pre-investment screening; ADB ESMS Category matrix</w:t>
            </w:r>
          </w:p>
        </w:tc>
      </w:tr>
      <w:tr>
        <w:tc>
          <w:tcPr>
            <w:tcW w:type="dxa" w:w="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tcPr>
          <w:p>
            <w:pPr>
              <w:spacing w:before="80" w:after="80"/>
              <w:jc w:val="center"/>
            </w:pPr>
            <w:r>
              <w:rPr>
                <w:rFonts w:ascii="Arial" w:cs="Arial" w:eastAsia="Arial" w:hAnsi="Arial"/>
                <w:b/>
                <w:bCs/>
                <w:color w:val="C8960C"/>
                <w:sz w:val="24"/>
                <w:szCs w:val="24"/>
              </w:rPr>
              <w:t xml:space="preserve">4</w:t>
            </w:r>
          </w:p>
        </w:tc>
        <w:tc>
          <w:tcPr>
            <w:tcW w:type="dxa" w:w="20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IRIS+ Impact Metrics Framework and SDG Mapping</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IRIS+ is the standardised impact measurement catalogue maintained by the Global Impact Investing Network (GIIN) and adopted by IFC, ADB, and GCF as the language of development impact. We design RDB's IRIS+ metrics set: financial inclusion metrics (number of underserved borrowers reached, women-led MSMEs funded, first-time borrowers, rural borrowers outside Colombo); agricultural development metrics (certified farmers financed, post-disaster recovery loans, agroforestry hectares supported, yield improvements); climate metrics (Scope 3 financed emissions, climate-resilient borrowers, certified green loans). We then map each metric to specific SDGs: SDG 1 (No Poverty), SDG 2 (Zero Hunger), SDG 5 (Gender Equality), SDG 8 (Decent Work), SDG 10 (Reduced Inequalities), SDG 13 (Climate Action), SDG 15 (Life on Land). This mapping is what IFC uses to assess development additionality -- the critical factor in approving DFI financing.</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pPr>
              <w:spacing w:before="80" w:after="80"/>
            </w:pPr>
            <w:r>
              <w:rPr>
                <w:rFonts w:ascii="Arial" w:cs="Arial" w:eastAsia="Arial" w:hAnsi="Arial"/>
                <w:b w:val="false"/>
                <w:bCs w:val="false"/>
                <w:color w:val="B05A00"/>
                <w:sz w:val="17"/>
                <w:szCs w:val="17"/>
              </w:rPr>
              <w:t xml:space="preserve">IFC HIPSO indicators; ADB results framework; GCF Impact Framework; IRIS+ metrics</w:t>
            </w:r>
          </w:p>
        </w:tc>
      </w:tr>
      <w:tr>
        <w:tc>
          <w:tcPr>
            <w:tcW w:type="dxa" w:w="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tcPr>
          <w:p>
            <w:pPr>
              <w:spacing w:before="80" w:after="80"/>
              <w:jc w:val="center"/>
            </w:pPr>
            <w:r>
              <w:rPr>
                <w:rFonts w:ascii="Arial" w:cs="Arial" w:eastAsia="Arial" w:hAnsi="Arial"/>
                <w:b/>
                <w:bCs/>
                <w:color w:val="C8960C"/>
                <w:sz w:val="24"/>
                <w:szCs w:val="24"/>
              </w:rPr>
              <w:t xml:space="preserve">5</w:t>
            </w:r>
          </w:p>
        </w:tc>
        <w:tc>
          <w:tcPr>
            <w:tcW w:type="dxa" w:w="20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GRI-Aligned Annual Impact Report</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A published, externally visible Impact Report produced annually: Institutional overview (governance, E&amp;S policy, CBSL Roadmap compliance); Portfolio impact data (IRIS+ metrics against targets); Case studies (2-3 borrower case studies showing impact against SDGs -- a tea estate that achieved RA certification, a post-Ditwah recovery borrower who rebuilt with climate-resilient practices, a woman-led rural MSME whose loan enabled employment creation); Climate section (SLFRS S2 disclosure, Scope 3 financed emissions -- feeds directly from the Climate Risk module); Environmental section (PS3/PS6 compliance summary); Social section (PS2/PS4 compliance, gender disaggregated lending data); Appendix: IRIS+ data table, SDG contribution table, GRI Index. Published on RDB's website. Referenced in every DFI application.</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pPr>
              <w:spacing w:before="80" w:after="80"/>
            </w:pPr>
            <w:r>
              <w:rPr>
                <w:rFonts w:ascii="Arial" w:cs="Arial" w:eastAsia="Arial" w:hAnsi="Arial"/>
                <w:b w:val="false"/>
                <w:bCs w:val="false"/>
                <w:color w:val="B05A00"/>
                <w:sz w:val="17"/>
                <w:szCs w:val="17"/>
              </w:rPr>
              <w:t xml:space="preserve">GRI Universal Standards 2021 (GRI 2: General Disclosures); IFC Disclosure and Transparency Framework; ADB PFI Annual Monitoring Report; GCF Impact Monitoring and Evaluation</w:t>
            </w:r>
          </w:p>
        </w:tc>
      </w:tr>
      <w:tr>
        <w:tc>
          <w:tcPr>
            <w:tcW w:type="dxa" w:w="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tcPr>
          <w:p>
            <w:pPr>
              <w:spacing w:before="80" w:after="80"/>
              <w:jc w:val="center"/>
            </w:pPr>
            <w:r>
              <w:rPr>
                <w:rFonts w:ascii="Arial" w:cs="Arial" w:eastAsia="Arial" w:hAnsi="Arial"/>
                <w:b/>
                <w:bCs/>
                <w:color w:val="C8960C"/>
                <w:sz w:val="24"/>
                <w:szCs w:val="24"/>
              </w:rPr>
              <w:t xml:space="preserve">6</w:t>
            </w:r>
          </w:p>
        </w:tc>
        <w:tc>
          <w:tcPr>
            <w:tcW w:type="dxa" w:w="20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DFI Application Pack -- The Credentialing Document</w:t>
            </w:r>
          </w:p>
        </w:tc>
        <w:tc>
          <w:tcPr>
            <w:tcW w:type="dxa" w:w="5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A pre-formatted submission pack specifically designed for IFC and ADB credit line applications: Executive Summary (2 pages -- RDB's mission, portfolio size, geographic mandate, post-Ditwah recovery role); ESMS Document (from Component 2); IFC PS Compliance Table (from Component 3); IRIS+ Impact Metrics with baseline data (from Component 4); Published Annual Impact Report or draft (from Component 5); Green Bond Framework cross-reference (from Green Bond module); Climate Risk Assessment cross-reference (from SLFRS S2 module); References from CBSL Sustainable Finance Unit (which we facilitate). This pack is what an IFC or ADB credit officer reviews when evaluating RDB for a credit facility. Every page answers a due diligence question before it is asked.</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pPr>
              <w:spacing w:before="80" w:after="80"/>
            </w:pPr>
            <w:r>
              <w:rPr>
                <w:rFonts w:ascii="Arial" w:cs="Arial" w:eastAsia="Arial" w:hAnsi="Arial"/>
                <w:b w:val="false"/>
                <w:bCs w:val="false"/>
                <w:color w:val="B05A00"/>
                <w:sz w:val="17"/>
                <w:szCs w:val="17"/>
              </w:rPr>
              <w:t xml:space="preserve">IFC Environmental and Social Review Summary; ADB FI Due Diligence Report; GCF Accreditation Master Agreement documentation</w:t>
            </w:r>
          </w:p>
        </w:tc>
      </w:tr>
    </w:tbl>
    <w:p>
      <w:pPr>
        <w:spacing w:before="120" w:after="120"/>
      </w:pPr>
      <w:r>
        <w:rPr>
          <w:rFonts w:ascii="Arial" w:cs="Arial" w:eastAsia="Arial" w:hAnsi="Arial"/>
          <w:b w:val="false"/>
          <w:bCs w:val="false"/>
          <w:color w:val="333333"/>
          <w:sz w:val="20"/>
          <w:szCs w:val="20"/>
        </w:rPr>
        <w:t xml:space="preserve"> </w:t>
      </w:r>
    </w:p>
    <w:p>
      <w:pPr>
        <w:pBdr>
          <w:bottom w:val="single" w:color="2D0F5C" w:sz="4" w:space="1"/>
        </w:pBdr>
        <w:spacing w:before="140" w:after="140"/>
      </w:pPr>
      <w:r>
        <w:rPr>
          <w:rFonts w:ascii="Arial" w:cs="Arial" w:eastAsia="Arial" w:hAnsi="Arial"/>
          <w:b w:val="false"/>
          <w:bCs w:val="false"/>
          <w:color w:val="333333"/>
          <w:sz w:val="20"/>
          <w:szCs w:val="20"/>
        </w:rPr>
        <w:t xml:space="preserve"/>
      </w:r>
    </w:p>
    <w:p>
      <w:r>
        <w:br w:type="page"/>
      </w:r>
    </w:p>
    <w:p>
      <w:pPr>
        <w:pStyle w:val="Heading1"/>
        <w:spacing w:before="280" w:after="120"/>
      </w:pPr>
      <w:r>
        <w:rPr>
          <w:rFonts w:ascii="Arial" w:cs="Arial" w:eastAsia="Arial" w:hAnsi="Arial"/>
          <w:b/>
          <w:bCs/>
          <w:color w:val="1B3A5C"/>
          <w:sz w:val="38"/>
          <w:szCs w:val="38"/>
        </w:rPr>
        <w:t xml:space="preserve">PART 1 -- FIVE CASE STUDIES</w:t>
      </w:r>
    </w:p>
    <w:p>
      <w:pPr>
        <w:spacing w:before="80" w:after="80"/>
      </w:pPr>
      <w:r>
        <w:rPr>
          <w:rFonts w:ascii="Arial" w:cs="Arial" w:eastAsia="Arial" w:hAnsi="Arial"/>
          <w:b w:val="false"/>
          <w:bCs w:val="false"/>
          <w:color w:val="333333"/>
          <w:sz w:val="20"/>
          <w:szCs w:val="20"/>
        </w:rPr>
        <w:t xml:space="preserve">The five cases below are sequenced to build a single argument: banks that build proper ESG and Impact Reporting Frameworks access DFI capital that banks without them cannot. The first two are Sri Lankan banks RDB knows personally. They did what RDB has not yet done -- and they received funding RDB did not receive.</w:t>
      </w:r>
    </w:p>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D0F5C"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1</w:t>
            </w:r>
          </w:p>
          <w:p>
            <w:pPr>
              <w:spacing w:before="80" w:after="80"/>
            </w:pPr>
            <w:r>
              <w:rPr>
                <w:rFonts w:ascii="Arial" w:cs="Arial" w:eastAsia="Arial" w:hAnsi="Arial"/>
                <w:b/>
                <w:bCs/>
                <w:color w:val="FFFFFF"/>
                <w:sz w:val="28"/>
                <w:szCs w:val="28"/>
              </w:rPr>
              <w:t xml:space="preserve">Sanasa Development Bank -- The Domestic Comparator</w:t>
            </w:r>
          </w:p>
          <w:p>
            <w:pPr>
              <w:spacing w:before="0" w:after="0"/>
            </w:pPr>
            <w:r>
              <w:rPr>
                <w:rFonts w:ascii="Arial" w:cs="Arial" w:eastAsia="Arial" w:hAnsi="Arial"/>
                <w:b w:val="false"/>
                <w:bCs w:val="false"/>
                <w:color w:val="BBBBBB"/>
                <w:sz w:val="18"/>
                <w:szCs w:val="18"/>
              </w:rPr>
              <w:t xml:space="preserve">Sri Lanka  ·  ADB SME Line of Credit participant  |  ESMS built 2016  |  Received ADB capital RDB did not access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Sanasa Development Bank (SDB) is a Sri Lanka-based development bank with a cooperative mandate, focused on rural and semi-urban financial inclusion. Its mission profile is directly comparable to RDB's: rural borrowers, smallholder farmers, micro and small enterprises outside Colombo. SDB is smaller than RDB by assets and branch network.</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What Sanasa Did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When ADB opened Project 49273-001 (the $100M SME Line of Credit) to Sri Lankan banks in 2016, Sanasa prepared and submitted a full ESMS document meeting ADB's requirements under the Safeguard Policy Statement (2009). The document included: E&amp;S risk screening procedures for all loan applications, a borrower exclusion list aligned to IFC Performance Standards, E&amp;S monitoring procedures for Category B sub-borrowers, staff training requirements, and a commitment to annual E&amp;S monitoring reports submitted to ADB. Sanasa's ESMS was approved by ADB. Sanasa was included as a Participating Financial Institution (PFI). It received ADB credit line funding.</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What RDB Did Not Have</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RDB was not included in Project 49273-001. When ADB funded RDB three years later through the separate Project 52219-001, the $50M structure was a subordinated Tier 2 capital instrument -- a different, smaller, and less commercially favourable facility. The 2019 ADB-RDB Project Administration Manual explicitly acknowledges that RDB's ESMS was still in development at the time of loan approval: 'Once ADB has approved RDB's ESMS, sub-borrowers with subprojects that are Category B for the environment will need to carry out an impact assessment.' The conditional language is the signal: the ESMS was incomplete.</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The Scale Difference</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SME Line of Credit distributed $100M across 13 PFIs including Sanasa at a competitive auction. RDB, by contrast, received $50M via a different, slower, bilateral negotiated structure. Even if the ADB funding amounts were comparable, the SME LoC was also accompanied by $1M+ in technical assistance from JFPR and We-Fi -- funding for capacity building that RDB's separate bilateral loan did not include in the same way.</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What This Means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Sanasa -- with a smaller footprint, comparable mission, and lesser institutional profile than RDB -- was eligible for the open competitive DFI credit pool because it had a compliant ESMS. RDB was not. This is not a hypothetical loss. It is a documented, named, institutional peer that received capital RDB did not because it built a document RDB has not built to standard.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8" w:val="clear"/>
            <w:tcMar>
              <w:top w:type="dxa" w:w="140"/>
              <w:left w:type="dxa" w:w="200"/>
              <w:bottom w:type="dxa" w:w="140"/>
              <w:right w:type="dxa" w:w="200"/>
            </w:tcMar>
          </w:tcPr>
          <w:p>
            <w:pPr>
              <w:spacing w:before="80" w:after="80"/>
            </w:pPr>
            <w:r>
              <w:rPr>
                <w:rFonts w:ascii="Arial" w:cs="Arial" w:eastAsia="Arial" w:hAnsi="Arial"/>
                <w:b/>
                <w:bCs/>
                <w:color w:val="1B3A5C"/>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Sanasa is the domestic comparator that makes this pitch immediate and personal. The Chairman knows Sanasa. Sanasa did what RDB has not done. The question to put to the Chairman: 'When ADB opens its next credit line to Sri Lankan banks, do you want RDB to be in the eligible pool or not?'</w:t>
            </w:r>
          </w:p>
          <w:p>
            <w:pPr>
              <w:spacing w:before="40" w:after="40"/>
            </w:pPr>
            <w:r>
              <w:rPr>
                <w:rFonts w:ascii="Arial" w:cs="Arial" w:eastAsia="Arial" w:hAnsi="Arial"/>
                <w:b w:val="false"/>
                <w:bCs w:val="false"/>
                <w:color w:val="333333"/>
                <w:sz w:val="20"/>
                <w:szCs w:val="20"/>
              </w:rPr>
              <w:t xml:space="preserve">→  RDB's existing 2019 ESMS is a minimum compliance document -- not a competitive credentialing document. We upgrade it to match what Sanasa, DFCC, NDB, and HNB submitted. That upgrade is what we are selling.</w:t>
            </w:r>
          </w:p>
          <w:p>
            <w:pPr>
              <w:spacing w:before="40" w:after="40"/>
            </w:pPr>
            <w:r>
              <w:rPr>
                <w:rFonts w:ascii="Arial" w:cs="Arial" w:eastAsia="Arial" w:hAnsi="Arial"/>
                <w:b w:val="false"/>
                <w:bCs w:val="false"/>
                <w:color w:val="333333"/>
                <w:sz w:val="20"/>
                <w:szCs w:val="20"/>
              </w:rPr>
              <w:t xml:space="preserve">→  The Sanasa precedent also proves the timeline: Sanasa built its ESMS in approximately 3-4 months before submitting to ADB. Our 90-day action plan is calibrated to this reality.</w:t>
            </w:r>
          </w:p>
        </w:tc>
      </w:tr>
    </w:tbl>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3A5C"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2</w:t>
            </w:r>
          </w:p>
          <w:p>
            <w:pPr>
              <w:spacing w:before="80" w:after="80"/>
            </w:pPr>
            <w:r>
              <w:rPr>
                <w:rFonts w:ascii="Arial" w:cs="Arial" w:eastAsia="Arial" w:hAnsi="Arial"/>
                <w:b/>
                <w:bCs/>
                <w:color w:val="FFFFFF"/>
                <w:sz w:val="28"/>
                <w:szCs w:val="28"/>
              </w:rPr>
              <w:t xml:space="preserve">DFCC Bank -- GCF Accreditation and What It Required</w:t>
            </w:r>
          </w:p>
          <w:p>
            <w:pPr>
              <w:spacing w:before="0" w:after="0"/>
            </w:pPr>
            <w:r>
              <w:rPr>
                <w:rFonts w:ascii="Arial" w:cs="Arial" w:eastAsia="Arial" w:hAnsi="Arial"/>
                <w:b w:val="false"/>
                <w:bCs w:val="false"/>
                <w:color w:val="BBBBBB"/>
                <w:sz w:val="18"/>
                <w:szCs w:val="18"/>
              </w:rPr>
              <w:t xml:space="preserve">Sri Lanka  ·  GCF accredited July 2023  |  First Sri Lankan commercial bank with direct GCF access  |  The document trail that unlocked it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DFCC Bank PLC is a Sri Lankan commercial and development bank with assets of approximately LKR 500B. DFCC has been an ADB PFI since the 1990s and received funding under multiple ADB credit lines. In July 2023, DFCC became the first Sri Lankan commercial bank to receive accreditation from the Green Climate Fund -- the USD 13 billion multilateral climate finance facility established under the Paris Agreement.</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What GCF Accreditation Required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GCF Accreditation Master Agreement requires applicants to demonstrate compliance with three standards: (1) Fiduciary Standards -- financial management, governance, procurement, anti-money laundering; (2) ESG Standards -- equivalent to IFC PS1 at minimum, with specific requirements for gender policy, indigenous peoples policy, and environmental and social management system; (3) Impact Monitoring and Evaluation Framework -- IRIS+ aligned metrics, results chains from intervention to outcome to SDG, baseline data collection methodology, and annual impact reporting protocol.</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The Impact Framework Was the Differentiator</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DFCC's Sustainability Report and published ESMS document were the primary credentialing documents reviewed by GCF's Accreditation Panel. DFCC had been publishing GRI-aligned sustainability reports since 2018. Its ESMS included full borrower risk categorisation, annual monitoring reports submitted to ADB, and an impact metrics framework aligned to GRI, IRIS+, and SDGs. The GCF Accreditation Panel referenced DFCC's published Sustainability Report in its approval rationale. The report was not peripheral -- it was the evidence of institutional capacity.</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What DFCC Can Now Access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GCF accreditation gives DFCC direct access to GCF's project preparation facilities and funding windows: Readiness and Preparatory Support Programme (grants of up to USD 3M for project development), Private Sector Facility (direct lending at concessional rates for climate projects), Adaptation Fund (grants for adaptation projects). DFCC is now marketing its GCF-accredited status to attract climate-sensitive borrowers and deposit-holders, and to position for USD-denominated green bond issuance in international markets.</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The Path RDB Can Follow</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DFCC's GCF accreditation took approximately 24 months from initial application to approval. The primary inputs required were: existing approved ADB ESMS (which RDB already has at minimum level), published GRI-aligned sustainability report (which RDB does not have), gender policy (which RDB partially has through its women-led MSME lending target), and IRIS+ impact framework (which RDB does not have). RDB is 12-18 months behind DFCC on this path -- not permanently excluded from it.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8" w:val="clear"/>
            <w:tcMar>
              <w:top w:type="dxa" w:w="140"/>
              <w:left w:type="dxa" w:w="200"/>
              <w:bottom w:type="dxa" w:w="140"/>
              <w:right w:type="dxa" w:w="200"/>
            </w:tcMar>
          </w:tcPr>
          <w:p>
            <w:pPr>
              <w:spacing w:before="80" w:after="80"/>
            </w:pPr>
            <w:r>
              <w:rPr>
                <w:rFonts w:ascii="Arial" w:cs="Arial" w:eastAsia="Arial" w:hAnsi="Arial"/>
                <w:b/>
                <w:bCs/>
                <w:color w:val="1B3A5C"/>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DFCC's GCF accreditation is the ceiling of what we are building toward for RDB. The steps between RDB's current position and GCF accreditation are precisely the six components of the framework we are designing: ESMS upgrade, IFC PS compliance, IRIS+ metrics, GRI-aligned Impact Report.</w:t>
            </w:r>
          </w:p>
          <w:p>
            <w:pPr>
              <w:spacing w:before="40" w:after="40"/>
            </w:pPr>
            <w:r>
              <w:rPr>
                <w:rFonts w:ascii="Arial" w:cs="Arial" w:eastAsia="Arial" w:hAnsi="Arial"/>
                <w:b w:val="false"/>
                <w:bCs w:val="false"/>
                <w:color w:val="333333"/>
                <w:sz w:val="20"/>
                <w:szCs w:val="20"/>
              </w:rPr>
              <w:t xml:space="preserve">→  The DFCC precedent also proves that a Sri Lankan bank can achieve this. It is not aspirational -- DFCC did it in 24 months starting from a stronger base than RDB's current position. We get RDB to the base DFCC was starting from within 12 months.</w:t>
            </w:r>
          </w:p>
          <w:p>
            <w:pPr>
              <w:spacing w:before="40" w:after="40"/>
            </w:pPr>
            <w:r>
              <w:rPr>
                <w:rFonts w:ascii="Arial" w:cs="Arial" w:eastAsia="Arial" w:hAnsi="Arial"/>
                <w:b w:val="false"/>
                <w:bCs w:val="false"/>
                <w:color w:val="333333"/>
                <w:sz w:val="20"/>
                <w:szCs w:val="20"/>
              </w:rPr>
              <w:t xml:space="preserve">→  GCF accreditation for RDB is a Phase 2 objective (18-36 months). We price it as an optional follow-on engagement in the business model. Planting that aspiration in the Chairman's meeting frames the entire engagement as a multi-year partnership, not a one-off advisory.</w:t>
            </w:r>
          </w:p>
        </w:tc>
      </w:tr>
    </w:tbl>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D6E6E"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3</w:t>
            </w:r>
          </w:p>
          <w:p>
            <w:pPr>
              <w:spacing w:before="80" w:after="80"/>
            </w:pPr>
            <w:r>
              <w:rPr>
                <w:rFonts w:ascii="Arial" w:cs="Arial" w:eastAsia="Arial" w:hAnsi="Arial"/>
                <w:b/>
                <w:bCs/>
                <w:color w:val="FFFFFF"/>
                <w:sz w:val="28"/>
                <w:szCs w:val="28"/>
              </w:rPr>
              <w:t xml:space="preserve">NDB Bank -- From ESMS to Green Finance Framework to Multiple DFI Credit Lines</w:t>
            </w:r>
          </w:p>
          <w:p>
            <w:pPr>
              <w:spacing w:before="0" w:after="0"/>
            </w:pPr>
            <w:r>
              <w:rPr>
                <w:rFonts w:ascii="Arial" w:cs="Arial" w:eastAsia="Arial" w:hAnsi="Arial"/>
                <w:b w:val="false"/>
                <w:bCs w:val="false"/>
                <w:color w:val="BBBBBB"/>
                <w:sz w:val="18"/>
                <w:szCs w:val="18"/>
              </w:rPr>
              <w:t xml:space="preserve">Sri Lanka  ·  NDB's documented trajectory  |  ESMS 2016 → Green Finance Framework → IFC + ADB + FMO credit lines  |  The full sequence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NDB Bank PLC (National Development Bank) is a Sri Lankan commercial bank with development finance origins, now a full-service commercial bank listed on the CSE. NDB submitted its ESMS document to ADB as part of the SME Line of Credit project in 2016 (the project that excluded RDB) and was approved as a PFI.</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The Trajectory</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NDB's sustainability journey followed a documented sequence that is almost exactly what we are proposing for RDB: (1) 2016: Submitted ADB-approved ESMS for SME LoC eligibility. (2) 2018: Published first formal Sustainability Report (GRI-referenced). (3) 2020: Launched Green Finance Framework aligned to ICMA Green Bond Principles and ADB requirements. (4) 2021: Issued LKR green bond against the Framework with institutional investor demand. (5) 2022: Received IFC credit line for climate lending. (6) 2023: Received additional FMO (Dutch Development Bank) credit line for women-led MSME lending. (7) 2024: Third DFI credit line from DEG (German Development Finance Institution). Each stage was enabled by the ESG framework and Impact Report from the stage before.</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The Green Finance Framework -- What It Contains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NDB's Green Finance Framework is a public document. It contains: eligible green categories (renewable energy, energy efficiency, sustainable agriculture, climate adaptation), use-of-proceeds methodology, project evaluation and selection criteria, management of proceeds, reporting -- annual allocation and impact reporting with IRIS+ metrics. The Framework is what IFC, FMO, and DEG review when deciding whether to commit credit. It is also the document NDB's green bond investors received for their investment committee review.</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The Compounding Effect</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Each DFI credit line reduced NDB's cost of funds. Lower cost of funds enabled a lower lending rate to borrowers in eligible categories. Lower lending rates attracted more qualified borrowers in green and social categories. More green/social lending created more impact data for the next DFI application. The ESMS and Impact Framework, once built, create a virtuous cycle that compounds over years. NDB's green finance portfolio grew from zero to LKR 45B+ between 2020 and 2024 -- largely on the back of DFI concessional capital that its Impact Framework made it eligible to receive.</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The Missing Piece That RDB Has Which NDB Did Not</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NDB built its green finance story around commercial lending to SMEs and corporates. RDB's mandate -- agricultural development, rural financial inclusion, post-disaster recovery -- is inherently more impactful and more aligned to DFI priorities. RDB's portfolio generates more development impact per loan than NDB's. The problem is that RDB cannot currently prove it. NDB could prove it. That is the only difference. An Impact Framework closes that gap entirely.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8" w:val="clear"/>
            <w:tcMar>
              <w:top w:type="dxa" w:w="140"/>
              <w:left w:type="dxa" w:w="200"/>
              <w:bottom w:type="dxa" w:w="140"/>
              <w:right w:type="dxa" w:w="200"/>
            </w:tcMar>
          </w:tcPr>
          <w:p>
            <w:pPr>
              <w:spacing w:before="80" w:after="80"/>
            </w:pPr>
            <w:r>
              <w:rPr>
                <w:rFonts w:ascii="Arial" w:cs="Arial" w:eastAsia="Arial" w:hAnsi="Arial"/>
                <w:b/>
                <w:bCs/>
                <w:color w:val="1B3A5C"/>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NDB's trajectory (ESMS → GRI report → Green Finance Framework → first DFI credit line → compounding access) is the exact path we are designing for RDB. The difference is that RDB's rural agricultural mandate will attract DFI interest faster than NDB's commercial portfolio did, because rural financial inclusion and post-Ditwah recovery are higher priorities for IFC and ADB than commercial SME lending.</w:t>
            </w:r>
          </w:p>
          <w:p>
            <w:pPr>
              <w:spacing w:before="40" w:after="40"/>
            </w:pPr>
            <w:r>
              <w:rPr>
                <w:rFonts w:ascii="Arial" w:cs="Arial" w:eastAsia="Arial" w:hAnsi="Arial"/>
                <w:b w:val="false"/>
                <w:bCs w:val="false"/>
                <w:color w:val="333333"/>
                <w:sz w:val="20"/>
                <w:szCs w:val="20"/>
              </w:rPr>
              <w:t xml:space="preserve">→  NDB's Green Finance Framework is publicly available. We use it as the drafting template for RDB's framework. We adapt it to reflect RDB's agricultural mandate, post-Ditwah recovery lending, and certified farmer loan portfolio. The structure is proven -- we adapt the content.</w:t>
            </w:r>
          </w:p>
          <w:p>
            <w:pPr>
              <w:spacing w:before="40" w:after="40"/>
            </w:pPr>
            <w:r>
              <w:rPr>
                <w:rFonts w:ascii="Arial" w:cs="Arial" w:eastAsia="Arial" w:hAnsi="Arial"/>
                <w:b w:val="false"/>
                <w:bCs w:val="false"/>
                <w:color w:val="333333"/>
                <w:sz w:val="20"/>
                <w:szCs w:val="20"/>
              </w:rPr>
              <w:t xml:space="preserve">→  The NDB precedent answers the sceptic who says 'this takes years and costs too much.' NDB's first DFI credit line from IFC came 24 months after its first GRI-aligned report. We promise the Chairman that RDB can be at the same milestone in 18-24 months.</w:t>
            </w:r>
          </w:p>
        </w:tc>
      </w:tr>
    </w:tbl>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F5C2E"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4</w:t>
            </w:r>
          </w:p>
          <w:p>
            <w:pPr>
              <w:spacing w:before="80" w:after="80"/>
            </w:pPr>
            <w:r>
              <w:rPr>
                <w:rFonts w:ascii="Arial" w:cs="Arial" w:eastAsia="Arial" w:hAnsi="Arial"/>
                <w:b/>
                <w:bCs/>
                <w:color w:val="FFFFFF"/>
                <w:sz w:val="28"/>
                <w:szCs w:val="28"/>
              </w:rPr>
              <w:t xml:space="preserve">NABARD -- Annual Impact Report as the DFI Access Lever</w:t>
            </w:r>
          </w:p>
          <w:p>
            <w:pPr>
              <w:spacing w:before="0" w:after="0"/>
            </w:pPr>
            <w:r>
              <w:rPr>
                <w:rFonts w:ascii="Arial" w:cs="Arial" w:eastAsia="Arial" w:hAnsi="Arial"/>
                <w:b w:val="false"/>
                <w:bCs w:val="false"/>
                <w:color w:val="BBBBBB"/>
                <w:sz w:val="18"/>
                <w:szCs w:val="18"/>
              </w:rPr>
              <w:t xml:space="preserve">India  ·  National Bank for Agriculture and Rural Development  |  IFC uses NABARD's Impact Report to approve credit  |  The published report is the credential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NABARD -- India's National Bank for Agriculture and Rural Development -- has appeared in two previous modules (Climate Risk and Sustainable Agriculture) as the closest institutional parallel to RDB in Asia. This case study focuses specifically on NABARD's Impact Report as a DFI access mechanism.</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The NABARD Annual Report Structure</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NABARD produces an annual report that explicitly separates financial performance from development impact. The impact section includes: IRIS+ aligned metrics (number of smallholder farmers reached, women-led enterprises funded, hectares of agricultural land financed, rural employment created); SDG mapping (visual table showing how each NABARD product line contributes to specific SDG targets with quantified data); Climate finance metrics (green bonds issued, climate-resilient farmers financed, adaptation investments facilitated); Portfolio environmental data (financed emissions by sector, green/non-green loan split). The report is GRI-referenced and ASSURANCE statements from the Institute of Chartered Accountants of India provide third-party credibility.</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How IFC Uses the Report</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IFC's South Asia agricultural finance team uses NABARD's annual Impact Report as the primary document in its credit review process. The report answers, in standardised IRIS+ language that IFC's investment officers can directly input to their AIMM (Anticipated Impact Measurement and Monitoring) scoring system, whether NABARD's portfolio generates the development additionality that IFC's mandate requires. Without the Impact Report in IRIS+ format, IFC cannot score the investment -- which means IFC cannot approve it regardless of NABARD's financial strength.</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The AIMM System and Why It Matters for RDB</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IFC has moved since 2017 to a formal impact scoring system called AIMM (Anticipated Impact Measurement and Monitoring). Every IFC investment is scored on expected development impact -- the AIMM score. A financial institution applying for an IFC credit line must provide sufficient data for IFC to produce an AIMM score. AIMM scores require: sector-level development gap data, institution-level reach data (how many underserved borrowers reached, what income improvement expected), portfolio-level environmental data, and results measurement plan. All of this comes from the Impact Framework and Annual Impact Report. RDB cannot generate an AIMM score for IFC without the framework we are building.</w:t>
            </w:r>
          </w:p>
        </w:tc>
      </w:tr>
      <w:tr>
        <w:tc>
          <w:tcPr>
            <w:tcW w:type="dxa" w:w="26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tcPr>
          <w:p>
            <w:pPr>
              <w:spacing w:before="80" w:after="80"/>
            </w:pPr>
            <w:r>
              <w:rPr>
                <w:rFonts w:ascii="Arial" w:cs="Arial" w:eastAsia="Arial" w:hAnsi="Arial"/>
                <w:b/>
                <w:bCs/>
                <w:color w:val="2D0F5C"/>
                <w:sz w:val="18"/>
                <w:szCs w:val="18"/>
              </w:rPr>
              <w:t xml:space="preserve">The Technical Assistance Consequence</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Because NABARD has a published, IRIS+-aligned Impact Report, IFC and the World Bank can co-fund technical assistance programmes targeted at specific gaps in NABARD's portfolio. The 2024 IFC South Asia Climate Finance programme delivered technical assistance to NABARD specifically for agricultural climate adaptation -- because NABARD could demonstrate the scale of its portfolio, the gap in climate-resilient lending, and the expected impact of the technical assistance in IRIS+ terms. Technical assistance grants are free capacity building. RDB cannot access them without the Impact Framework that lets IFC identify where they are needed.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8" w:val="clear"/>
            <w:tcMar>
              <w:top w:type="dxa" w:w="140"/>
              <w:left w:type="dxa" w:w="200"/>
              <w:bottom w:type="dxa" w:w="140"/>
              <w:right w:type="dxa" w:w="200"/>
            </w:tcMar>
          </w:tcPr>
          <w:p>
            <w:pPr>
              <w:spacing w:before="80" w:after="80"/>
            </w:pPr>
            <w:r>
              <w:rPr>
                <w:rFonts w:ascii="Arial" w:cs="Arial" w:eastAsia="Arial" w:hAnsi="Arial"/>
                <w:b/>
                <w:bCs/>
                <w:color w:val="1B3A5C"/>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The AIMM system makes the Impact Framework literally required, not optional. IFC cannot approve an investment in a financial institution that cannot provide AIMM-scoreable data. We build the data architecture that makes RDB AIMM-scoreable.</w:t>
            </w:r>
          </w:p>
          <w:p>
            <w:pPr>
              <w:spacing w:before="40" w:after="40"/>
            </w:pPr>
            <w:r>
              <w:rPr>
                <w:rFonts w:ascii="Arial" w:cs="Arial" w:eastAsia="Arial" w:hAnsi="Arial"/>
                <w:b w:val="false"/>
                <w:bCs w:val="false"/>
                <w:color w:val="333333"/>
                <w:sz w:val="20"/>
                <w:szCs w:val="20"/>
              </w:rPr>
              <w:t xml:space="preserve">→  NABARD's technical assistance flows are a second-order benefit: once IFC can see RDB's portfolio in IRIS+ language, they can identify and fund capacity building gaps with grant money. Grant-funded capacity building is free -- but only accessible to institutions with an Impact Framework that makes the gap visible.</w:t>
            </w:r>
          </w:p>
          <w:p>
            <w:pPr>
              <w:spacing w:before="40" w:after="40"/>
            </w:pPr>
            <w:r>
              <w:rPr>
                <w:rFonts w:ascii="Arial" w:cs="Arial" w:eastAsia="Arial" w:hAnsi="Arial"/>
                <w:b w:val="false"/>
                <w:bCs w:val="false"/>
                <w:color w:val="333333"/>
                <w:sz w:val="20"/>
                <w:szCs w:val="20"/>
              </w:rPr>
              <w:t xml:space="preserve">→  NABARD's Annual Impact Report is publicly available. We use it as the benchmark for what RDB's published Impact Report should contain and how it should be structured. NABARD is the aspirational peer; Sanasa and DFCC are the local comparators.</w:t>
            </w:r>
          </w:p>
        </w:tc>
      </w:tr>
    </w:tbl>
    <w:p>
      <w:pPr>
        <w:spacing w:before="60" w:after="60"/>
      </w:pPr>
      <w:r>
        <w:rPr>
          <w:rFonts w:ascii="Arial" w:cs="Arial" w:eastAsia="Arial" w:hAnsi="Arial"/>
          <w:b w:val="false"/>
          <w:bCs w:val="false"/>
          <w:color w:val="333333"/>
          <w:sz w:val="20"/>
          <w:szCs w:val="20"/>
        </w:rPr>
        <w:t xml:space="preserve"> </w:t>
      </w:r>
    </w:p>
    <w:p>
      <w:pPr>
        <w:pStyle w:val="Heading2"/>
        <w:spacing w:before="220" w:after="100"/>
      </w:pPr>
      <w:r>
        <w:rPr>
          <w:rFonts w:ascii="Arial" w:cs="Arial" w:eastAsia="Arial" w:hAnsi="Arial"/>
          <w:b/>
          <w:bCs/>
          <w:color w:val="2D0F5C"/>
          <w:sz w:val="28"/>
          <w:szCs w:val="28"/>
        </w:rPr>
        <w:t xml:space="preserve">CASE STUDY 5 -- THE RDB GAP ANALYSIS: WHAT EXISTS VS. WHAT IS REQUIRED</w:t>
      </w:r>
    </w:p>
    <w:p>
      <w:pPr>
        <w:spacing w:before="80" w:after="80"/>
      </w:pPr>
      <w:r>
        <w:rPr>
          <w:rFonts w:ascii="Arial" w:cs="Arial" w:eastAsia="Arial" w:hAnsi="Arial"/>
          <w:b w:val="false"/>
          <w:bCs w:val="false"/>
          <w:color w:val="333333"/>
          <w:sz w:val="20"/>
          <w:szCs w:val="20"/>
        </w:rPr>
        <w:t xml:space="preserve">This case study is a structured gap analysis of RDB's current institutional sustainability documentation against what IFC, ADB (Phase 2), and GCF require. The gap is the mandate.</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D0F5C" w:val="clear"/>
            <w:tcMar>
              <w:top w:type="dxa" w:w="140"/>
              <w:left w:type="dxa" w:w="200"/>
              <w:bottom w:type="dxa" w:w="140"/>
              <w:right w:type="dxa" w:w="200"/>
            </w:tcMar>
          </w:tcPr>
          <w:p>
            <w:pPr>
              <w:spacing w:before="80" w:after="80"/>
            </w:pPr>
            <w:r>
              <w:rPr>
                <w:rFonts w:ascii="Arial" w:cs="Arial" w:eastAsia="Arial" w:hAnsi="Arial"/>
                <w:b/>
                <w:bCs/>
                <w:color w:val="C8960C"/>
                <w:sz w:val="24"/>
                <w:szCs w:val="24"/>
              </w:rPr>
              <w:t xml:space="preserve">RDB Gap Analysis: Current vs. Required for IFC, ADB Phase 2, and GCF</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2080"/>
        <w:gridCol w:w="312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Framework Component</w:t>
            </w:r>
          </w:p>
        </w:tc>
        <w:tc>
          <w:tcPr>
            <w:tcW w:type="dxa" w:w="208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RDB Current Status</w:t>
            </w:r>
          </w:p>
        </w:tc>
        <w:tc>
          <w:tcPr>
            <w:tcW w:type="dxa" w:w="2080"/>
            <w:tcBorders>
              <w:top w:val="single" w:color="CCCCCC" w:sz="1"/>
              <w:left w:val="single" w:color="CCCCCC" w:sz="1"/>
              <w:bottom w:val="single" w:color="CCCCCC" w:sz="1"/>
              <w:right w:val="single" w:color="CCCCCC" w:sz="1"/>
            </w:tcBorders>
            <w:shd w:fill="0F5C2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What Is Required</w:t>
            </w:r>
          </w:p>
        </w:tc>
        <w:tc>
          <w:tcPr>
            <w:tcW w:type="dxa" w:w="312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Gap and Service Line</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Board-approved ESG Policy Statement</w:t>
            </w:r>
          </w:p>
        </w:tc>
        <w:tc>
          <w:tcPr>
            <w:tcW w:type="dxa" w:w="208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val="false"/>
                <w:bCs w:val="false"/>
                <w:color w:val="8B1A1A"/>
                <w:sz w:val="18"/>
                <w:szCs w:val="18"/>
              </w:rPr>
              <w:t xml:space="preserve">NOT PUBLISHED. No board-approved Environmental and Social Policy Statement exists in RDB's public documentation.</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IFC PS1 requires a board-approved ESMS policy statement before any credit is approved. ADB requires it for ESMS approval. GCF requires it under Fiduciary Standards.</w:t>
            </w:r>
          </w:p>
        </w:tc>
        <w:tc>
          <w:tcPr>
            <w:tcW w:type="dxa" w:w="312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Component 1: We draft the board policy statement and E&amp;S governance structure. One board session required. Publishable within 30 days. LKR 2-4M.</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ESMS Document</w:t>
            </w:r>
          </w:p>
        </w:tc>
        <w:tc>
          <w:tcPr>
            <w:tcW w:type="dxa" w:w="208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val="false"/>
                <w:bCs w:val="false"/>
                <w:color w:val="8B1A1A"/>
                <w:sz w:val="18"/>
                <w:szCs w:val="18"/>
              </w:rPr>
              <w:t xml:space="preserve">MINIMUM COMPLIANCE only. A basic ESMS exists from the 2019 ADB project requirement. It covers Category A/B/C risk categorisation in outline. It does not include: detailed ESDD questionnaire, monitoring procedures for Category B borrowers, annual review process, or gender/indigenous peoples provisions.</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IFC PS1 requires a full ESMS with explicit procedures for risk screening, ESDD, monitoring, and corrective action. ADB's latest Safeguard Policy requirements have strengthened since 2019. A minimum 2019 ESMS would not pass IFC's current review.</w:t>
            </w:r>
          </w:p>
        </w:tc>
        <w:tc>
          <w:tcPr>
            <w:tcW w:type="dxa" w:w="312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Component 2: Full ESMS upgrade aligned to current IFC PS1 and ADB 2024 E&amp;S Framework. Approximately 40-60 page document. LKR 3-7M.</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IFC Performance Standards Compliance (PS1-PS8)</w:t>
            </w:r>
          </w:p>
        </w:tc>
        <w:tc>
          <w:tcPr>
            <w:tcW w:type="dxa" w:w="208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val="false"/>
                <w:bCs w:val="false"/>
                <w:color w:val="8B1A1A"/>
                <w:sz w:val="18"/>
                <w:szCs w:val="18"/>
              </w:rPr>
              <w:t xml:space="preserve">NOT ASSESSED. No formal review of RDB's portfolio against IFC PS1-PS8 has been conducted or published.</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IFC requires a pre-investment PS compliance review for all financial institution credit lines. PS6 (Biodiversity) and PS7 (Indigenous Peoples) have heightened significance for RDB's Eastern Province and Northern Province lending.</w:t>
            </w:r>
          </w:p>
        </w:tc>
        <w:tc>
          <w:tcPr>
            <w:tcW w:type="dxa" w:w="312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Component 3: Full PS gap assessment. 8-week engagement. Output: compliance table with gap/compliant/partial rating for each PS. LKR 3-7M.</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IRIS+ Impact Metrics Framework</w:t>
            </w:r>
          </w:p>
        </w:tc>
        <w:tc>
          <w:tcPr>
            <w:tcW w:type="dxa" w:w="208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val="false"/>
                <w:bCs w:val="false"/>
                <w:color w:val="8B1A1A"/>
                <w:sz w:val="18"/>
                <w:szCs w:val="18"/>
              </w:rPr>
              <w:t xml:space="preserve">NOT BUILT. RDB reports basic disbursement data (number of loans, total credit) in its annual report but has no IRIS+ aligned impact metrics. Development outcomes (farmer income change, employment created, women reached) are not systematically tracked.</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IFC AIMM scoring requires IRIS+ metrics. ADB results framework requires HIPSO-aligned metrics. GCF requires a formal monitoring and evaluation framework with results chain and baseline data.</w:t>
            </w:r>
          </w:p>
        </w:tc>
        <w:tc>
          <w:tcPr>
            <w:tcW w:type="dxa" w:w="312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Component 4: Design IRIS+ metrics set, baseline data collection methodology, SDG mapping, and results measurement plan. LKR 4-8M.</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Published GRI-Aligned Report / Impact Report</w:t>
            </w:r>
          </w:p>
        </w:tc>
        <w:tc>
          <w:tcPr>
            <w:tcW w:type="dxa" w:w="208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val="false"/>
                <w:bCs w:val="false"/>
                <w:color w:val="8B1A1A"/>
                <w:sz w:val="18"/>
                <w:szCs w:val="18"/>
              </w:rPr>
              <w:t xml:space="preserve">NOT PUBLISHED. RDB publishes an annual report with financial statements. No standalone sustainability or impact report exists. No GRI index. No third-party assurance.</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IFC uses the published impact/sustainability report as primary credentialing. ADB requires annual E&amp;S monitoring reports. GCF requires annual impact reports as condition of accreditation. Investors in a future Green Bond require it as SPO supporting document.</w:t>
            </w:r>
          </w:p>
        </w:tc>
        <w:tc>
          <w:tcPr>
            <w:tcW w:type="dxa" w:w="312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Component 5: First Annual Impact Report. Produced using IRIS+ data from Component 4. GRI-referenced structure. Third-party limited assurance from KPMG or Deloitte Sri Lanka. LKR 4-8M.</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DFI Application Pack</w:t>
            </w:r>
          </w:p>
        </w:tc>
        <w:tc>
          <w:tcPr>
            <w:tcW w:type="dxa" w:w="208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val="false"/>
                <w:bCs w:val="false"/>
                <w:color w:val="8B1A1A"/>
                <w:sz w:val="18"/>
                <w:szCs w:val="18"/>
              </w:rPr>
              <w:t xml:space="preserve">NOT ASSEMBLED. RDB does not have a pre-formatted DFI application credentialing pack. Each application has historically required assembly from scratch.</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IFC and ADB investment officers work from a structured due diligence checklist. Banks that provide a pre-formatted pack that directly addresses each checklist item accelerate the approval process by 6-12 months.</w:t>
            </w:r>
          </w:p>
        </w:tc>
        <w:tc>
          <w:tcPr>
            <w:tcW w:type="dxa" w:w="312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Component 6: Formatted DFI Application Pack (IFC version + ADB version). Cross-references all other components. Ready for use in next credit line application. LKR 2-5M.</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DF6E3" w:val="clear"/>
            <w:tcMar>
              <w:top w:type="dxa" w:w="140"/>
              <w:left w:type="dxa" w:w="200"/>
              <w:bottom w:type="dxa" w:w="140"/>
              <w:right w:type="dxa" w:w="200"/>
            </w:tcMar>
          </w:tcPr>
          <w:p>
            <w:pPr>
              <w:spacing w:before="80" w:after="80"/>
            </w:pPr>
            <w:r>
              <w:rPr>
                <w:rFonts w:ascii="Arial" w:cs="Arial" w:eastAsia="Arial" w:hAnsi="Arial"/>
                <w:b/>
                <w:bCs/>
                <w:color w:val="B05A00"/>
                <w:sz w:val="20"/>
                <w:szCs w:val="20"/>
              </w:rPr>
              <w:t xml:space="preserve">What This Gap Costs RDB Every Year It Remains Open</w:t>
            </w:r>
          </w:p>
          <w:p>
            <w:pPr>
              <w:spacing w:before="80" w:after="80"/>
            </w:pPr>
            <w:r>
              <w:rPr>
                <w:rFonts w:ascii="Arial" w:cs="Arial" w:eastAsia="Arial" w:hAnsi="Arial"/>
                <w:b w:val="false"/>
                <w:bCs w:val="false"/>
                <w:color w:val="333333"/>
                <w:sz w:val="20"/>
                <w:szCs w:val="20"/>
              </w:rPr>
              <w:t xml:space="preserve">If ADB launches a second SME Line of Credit in Sri Lanka in 2026 or 2027 (consistent with the ADB Country Partnership Strategy 2024-2028 which explicitly includes financial sector support), RDB is currently ineligible as a PFI because its ESMS does not meet competitive standards. The 2016 SME LoC was $100M across 13 banks -- an average of $7.7M per PFI. At that scale, RDB's exclusion cost it approximately LKR 2.5-3B in ADB credit over the 2016-2022 period. IFC credit lines for agricultural development banks in South Asia average USD 30-50M. GCF project preparation grants reach USD 3M for eligible accredited entities. These are not hypothetical numbers -- they are documented flows to institutions that built what RDB has not built.</w:t>
            </w:r>
          </w:p>
          <w:p>
            <w:pPr>
              <w:spacing w:before="0" w:after="0"/>
            </w:pPr>
            <w:r>
              <w:rPr>
                <w:rFonts w:ascii="Arial" w:cs="Arial" w:eastAsia="Arial" w:hAnsi="Arial"/>
                <w:b/>
                <w:bCs/>
                <w:color w:val="B05A00"/>
                <w:sz w:val="20"/>
                <w:szCs w:val="20"/>
              </w:rPr>
              <w:t xml:space="preserve">The framework we are building costs LKR 20-45M to produce. The DFI access it unlocks is worth LKR 2,500-10,000M over a 5-year horizon. The return on investment is not measured in multiples -- it is measured in orders of magnitude.</w:t>
            </w:r>
          </w:p>
        </w:tc>
      </w:tr>
    </w:tbl>
    <w:p>
      <w:pPr>
        <w:spacing w:before="120" w:after="120"/>
      </w:pPr>
      <w:r>
        <w:rPr>
          <w:rFonts w:ascii="Arial" w:cs="Arial" w:eastAsia="Arial" w:hAnsi="Arial"/>
          <w:b w:val="false"/>
          <w:bCs w:val="false"/>
          <w:color w:val="333333"/>
          <w:sz w:val="20"/>
          <w:szCs w:val="20"/>
        </w:rPr>
        <w:t xml:space="preserve"> </w:t>
      </w:r>
    </w:p>
    <w:p>
      <w:pPr>
        <w:pBdr>
          <w:bottom w:val="single" w:color="2D0F5C" w:sz="4" w:space="1"/>
        </w:pBdr>
        <w:spacing w:before="140" w:after="140"/>
      </w:pPr>
      <w:r>
        <w:rPr>
          <w:rFonts w:ascii="Arial" w:cs="Arial" w:eastAsia="Arial" w:hAnsi="Arial"/>
          <w:b w:val="false"/>
          <w:bCs w:val="false"/>
          <w:color w:val="333333"/>
          <w:sz w:val="20"/>
          <w:szCs w:val="20"/>
        </w:rPr>
        <w:t xml:space="preserve"/>
      </w:r>
    </w:p>
    <w:p>
      <w:r>
        <w:br w:type="page"/>
      </w:r>
    </w:p>
    <w:p>
      <w:pPr>
        <w:pStyle w:val="Heading1"/>
        <w:spacing w:before="280" w:after="120"/>
      </w:pPr>
      <w:r>
        <w:rPr>
          <w:rFonts w:ascii="Arial" w:cs="Arial" w:eastAsia="Arial" w:hAnsi="Arial"/>
          <w:b/>
          <w:bCs/>
          <w:color w:val="1B3A5C"/>
          <w:sz w:val="38"/>
          <w:szCs w:val="38"/>
        </w:rPr>
        <w:t xml:space="preserve">PART 2 -- THE BUSINESS MODEL</w:t>
      </w:r>
    </w:p>
    <w:p>
      <w:pPr>
        <w:spacing w:before="80" w:after="80"/>
      </w:pPr>
      <w:r>
        <w:rPr>
          <w:rFonts w:ascii="Arial" w:cs="Arial" w:eastAsia="Arial" w:hAnsi="Arial"/>
          <w:b w:val="false"/>
          <w:bCs w:val="false"/>
          <w:color w:val="333333"/>
          <w:sz w:val="20"/>
          <w:szCs w:val="20"/>
        </w:rPr>
        <w:t xml:space="preserve">Six service lines. One coherent deliverable. The Impact Reporting Framework is also the connective tissue that makes every other module in the RDB portfolio credible to a DFI.</w:t>
      </w:r>
    </w:p>
    <w:p>
      <w:pPr>
        <w:spacing w:before="60" w:after="60"/>
      </w:pPr>
      <w:r>
        <w:rPr>
          <w:rFonts w:ascii="Arial" w:cs="Arial" w:eastAsia="Arial" w:hAnsi="Arial"/>
          <w:b w:val="false"/>
          <w:bCs w:val="false"/>
          <w:color w:val="333333"/>
          <w:sz w:val="20"/>
          <w:szCs w:val="20"/>
        </w:rPr>
        <w:t xml:space="preserve"> </w:t>
      </w:r>
    </w:p>
    <w:p>
      <w:pPr>
        <w:pBdr>
          <w:bottom w:val="single" w:color="2D0F5C" w:sz="4" w:space="1"/>
        </w:pBdr>
        <w:spacing w:before="140" w:after="140"/>
      </w:pPr>
      <w:r>
        <w:rPr>
          <w:rFonts w:ascii="Arial" w:cs="Arial" w:eastAsia="Arial" w:hAnsi="Arial"/>
          <w:b w:val="false"/>
          <w:bCs w:val="false"/>
          <w:color w:val="333333"/>
          <w:sz w:val="20"/>
          <w:szCs w:val="20"/>
        </w:rPr>
        <w:t xml:space="preserve"/>
      </w:r>
    </w:p>
    <w:p>
      <w:pPr>
        <w:spacing w:before="60" w:after="60"/>
      </w:pPr>
      <w:r>
        <w:rPr>
          <w:rFonts w:ascii="Arial" w:cs="Arial" w:eastAsia="Arial" w:hAnsi="Arial"/>
          <w:b w:val="false"/>
          <w:bCs w:val="false"/>
          <w:color w:val="333333"/>
          <w:sz w:val="20"/>
          <w:szCs w:val="20"/>
        </w:rPr>
        <w:t xml:space="preserve"> </w:t>
      </w:r>
    </w:p>
    <w:p>
      <w:pPr>
        <w:pStyle w:val="Heading2"/>
        <w:spacing w:before="220" w:after="100"/>
      </w:pPr>
      <w:r>
        <w:rPr>
          <w:rFonts w:ascii="Arial" w:cs="Arial" w:eastAsia="Arial" w:hAnsi="Arial"/>
          <w:b/>
          <w:bCs/>
          <w:color w:val="2D0F5C"/>
          <w:sz w:val="28"/>
          <w:szCs w:val="28"/>
        </w:rPr>
        <w:t xml:space="preserve">1.  Service Lines and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80"/>
        <w:gridCol w:w="5200"/>
        <w:gridCol w:w="1600"/>
        <w:gridCol w:w="1200"/>
      </w:tblGrid>
      <w:tr>
        <w:tc>
          <w:tcPr>
            <w:tcW w:type="dxa" w:w="208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Service Line</w:t>
            </w:r>
          </w:p>
        </w:tc>
        <w:tc>
          <w:tcPr>
            <w:tcW w:type="dxa" w:w="52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Deliverable</w:t>
            </w:r>
          </w:p>
        </w:tc>
        <w:tc>
          <w:tcPr>
            <w:tcW w:type="dxa" w:w="16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Fee</w:t>
            </w:r>
          </w:p>
        </w:tc>
        <w:tc>
          <w:tcPr>
            <w:tcW w:type="dxa" w:w="12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Timing</w:t>
            </w:r>
          </w:p>
        </w:tc>
      </w:tr>
      <w:tr>
        <w:tc>
          <w:tcPr>
            <w:tcW w:type="dxa" w:w="208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Component 1: ESG Policy and Governance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Board-approved Environmental and Social Policy Statement (2pp); Board ESG Committee terms of reference; Exclusion List aligned to IFC PS and ADB; CBSL Sustainable Finance Roadmap alignment statement. Board resolution drafted for adoption. Published in Annual Report and on RDB website.</w:t>
            </w:r>
          </w:p>
        </w:tc>
        <w:tc>
          <w:tcPr>
            <w:tcW w:type="dxa" w:w="16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LKR 2-4M</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7"/>
                <w:szCs w:val="17"/>
              </w:rPr>
              <w:t xml:space="preserve">Days 1-30</w:t>
            </w:r>
          </w:p>
        </w:tc>
      </w:tr>
      <w:tr>
        <w:tc>
          <w:tcPr>
            <w:tcW w:type="dxa" w:w="208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Component 2: Full ESMS Upgrade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Full Environmental and Social Management System Manual (40-60 pages): risk categorisation tool, ESDD questionnaire, monitoring procedures for Category A and B, annual review process, gender and indigenous peoples provisions. Aligned to current IFC PS1 standard and ADB 2024 E&amp;S Framework. Submitted to ADB for approval as upgrade to 2019 ESMS.</w:t>
            </w:r>
          </w:p>
        </w:tc>
        <w:tc>
          <w:tcPr>
            <w:tcW w:type="dxa" w:w="16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LKR 3-7M</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7"/>
                <w:szCs w:val="17"/>
              </w:rPr>
              <w:t xml:space="preserve">Days 15-60</w:t>
            </w:r>
          </w:p>
        </w:tc>
      </w:tr>
      <w:tr>
        <w:tc>
          <w:tcPr>
            <w:tcW w:type="dxa" w:w="208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Component 3: IFC PS Compliance Assessment</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Systematic review of RDB's current loan portfolio against IFC Performance Standards PS1-PS8. Portfolio categorisation (what % of RDB's lending falls in each PS risk category). Gap table (Compliant / Partially Compliant / Gap) for each PS. Remediation recommendations for gaps. PS6 (Biodiversity) and PS7 (Indigenous Peoples) detailed review for Eastern and Northern Province lending.</w:t>
            </w:r>
          </w:p>
        </w:tc>
        <w:tc>
          <w:tcPr>
            <w:tcW w:type="dxa" w:w="16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LKR 3-7M</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7"/>
                <w:szCs w:val="17"/>
              </w:rPr>
              <w:t xml:space="preserve">Days 30-75</w:t>
            </w:r>
          </w:p>
        </w:tc>
      </w:tr>
      <w:tr>
        <w:tc>
          <w:tcPr>
            <w:tcW w:type="dxa" w:w="208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Component 4: IRIS+ Impact Framework and SDG Mapping</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IRIS+ metrics selection (20-30 core indicators for RDB's mandate); Baseline data collection from RDB's existing portfolio (using available records); Results chain from loan disbursement → borrower outcome → SDG contribution; SDG mapping table (visual, publishable); Annual data collection methodology. Forms the backbone of the Annual Impact Report.</w:t>
            </w:r>
          </w:p>
        </w:tc>
        <w:tc>
          <w:tcPr>
            <w:tcW w:type="dxa" w:w="16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LKR 4-8M</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7"/>
                <w:szCs w:val="17"/>
              </w:rPr>
              <w:t xml:space="preserve">Days 45-90</w:t>
            </w:r>
          </w:p>
        </w:tc>
      </w:tr>
      <w:tr>
        <w:tc>
          <w:tcPr>
            <w:tcW w:type="dxa" w:w="208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Component 5: First Annual Impact Report</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Published, GRI-referenced Annual Impact Report (30-40 pages): governance section, portfolio overview, IRIS+ impact data against baseline, 3 borrower case studies (tea estate, post-Ditwah recovery borrower, women-led MSME), climate section (feeding SLFRS S2 data from Climate Risk module), GRI index, IRIS+ data appendix, SDG contribution table. Third-party limited assurance from Deloitte or KPMG Sri Lanka. Published on RDB website and provided to ADB/IFC as primary credentialing document.</w:t>
            </w:r>
          </w:p>
        </w:tc>
        <w:tc>
          <w:tcPr>
            <w:tcW w:type="dxa" w:w="16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LKR 4-8M</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7"/>
                <w:szCs w:val="17"/>
              </w:rPr>
              <w:t xml:space="preserve">Days 60-120</w:t>
            </w:r>
          </w:p>
        </w:tc>
      </w:tr>
      <w:tr>
        <w:tc>
          <w:tcPr>
            <w:tcW w:type="dxa" w:w="208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Component 6: DFI Application Pack</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Pre-formatted submission document for IFC credit line application (20pp): RDB mission, mandate, portfolio overview, ESMS summary, PS compliance table, IRIS+ metrics baseline, Impact Report reference, Green Bond Framework cross-reference, CBSL Roadmap compliance evidence, references. Separately formatted for ADB. Updated annually as baseline data and reports are refreshed.</w:t>
            </w:r>
          </w:p>
        </w:tc>
        <w:tc>
          <w:tcPr>
            <w:tcW w:type="dxa" w:w="16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LKR 2-5M</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7"/>
                <w:szCs w:val="17"/>
              </w:rPr>
              <w:t xml:space="preserve">Days 90-120</w:t>
            </w:r>
          </w:p>
        </w:tc>
      </w:tr>
      <w:tr>
        <w:tc>
          <w:tcPr>
            <w:tcW w:type="dxa" w:w="208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Annual Impact Report Retainer</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Annual update of all six components: refresh IRIS+ metrics with current year data, update PS compliance table, produce updated Annual Impact Report, update DFI Application Pack with latest data. CBSL quarterly sustainable finance report data contribution. Ongoing relationship retainer.</w:t>
            </w:r>
          </w:p>
        </w:tc>
        <w:tc>
          <w:tcPr>
            <w:tcW w:type="dxa" w:w="16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LKR 4-8M/year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7"/>
                <w:szCs w:val="17"/>
              </w:rPr>
              <w:t xml:space="preserve">Ongoing</w:t>
            </w:r>
          </w:p>
        </w:tc>
      </w:tr>
      <w:tr>
        <w:tc>
          <w:tcPr>
            <w:tcW w:type="dxa" w:w="208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Phase 2: GCF Accreditation Support</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Full GCF Accreditation application support (18-36 month engagement, priced separately at mandate): Fiduciary Standards documentation, ESG Standards package, Impact M&amp;E Framework, GCF Concept Note preparation, Accreditation Master Agreement negotiation. First Sri Lankan development bank with GCF accreditation. Optional Phase 2 objective.</w:t>
            </w:r>
          </w:p>
        </w:tc>
        <w:tc>
          <w:tcPr>
            <w:tcW w:type="dxa" w:w="16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LKR 12-20M (Phase 2)</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7"/>
                <w:szCs w:val="17"/>
              </w:rPr>
              <w:t xml:space="preserve">Months 18-36</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F3EEF9" w:val="clear"/>
            <w:tcMar>
              <w:top w:type="dxa" w:w="120"/>
              <w:left w:type="dxa" w:w="120"/>
              <w:bottom w:type="dxa" w:w="120"/>
              <w:right w:type="dxa" w:w="120"/>
            </w:tcMar>
            <w:vAlign w:val="center"/>
          </w:tcPr>
          <w:p>
            <w:pPr>
              <w:spacing w:before="0" w:after="20"/>
              <w:jc w:val="center"/>
            </w:pPr>
            <w:r>
              <w:rPr>
                <w:rFonts w:ascii="Arial" w:cs="Arial" w:eastAsia="Arial" w:hAnsi="Arial"/>
                <w:b/>
                <w:bCs/>
                <w:color w:val="2D0F5C"/>
                <w:sz w:val="30"/>
                <w:szCs w:val="30"/>
              </w:rPr>
              <w:t xml:space="preserve">LKR 18-39M</w:t>
            </w:r>
          </w:p>
          <w:p>
            <w:pPr>
              <w:spacing w:before="0" w:after="0"/>
              <w:jc w:val="center"/>
            </w:pPr>
            <w:r>
              <w:rPr>
                <w:rFonts w:ascii="Arial" w:cs="Arial" w:eastAsia="Arial" w:hAnsi="Arial"/>
                <w:b w:val="false"/>
                <w:bCs w:val="false"/>
                <w:color w:val="333333"/>
                <w:sz w:val="17"/>
                <w:szCs w:val="17"/>
              </w:rPr>
              <w:t xml:space="preserve">One-time Components 1-6 (Phase 1)</w:t>
            </w:r>
          </w:p>
        </w:tc>
        <w:tc>
          <w:tcPr>
            <w:tcW w:type="dxa" w:w="2520"/>
            <w:tcBorders>
              <w:top w:val="single" w:color="CCCCCC" w:sz="1"/>
              <w:left w:val="single" w:color="CCCCCC" w:sz="1"/>
              <w:bottom w:val="single" w:color="CCCCCC" w:sz="1"/>
              <w:right w:val="single" w:color="CCCCCC" w:sz="1"/>
            </w:tcBorders>
            <w:shd w:fill="EEF2F8" w:val="clear"/>
            <w:tcMar>
              <w:top w:type="dxa" w:w="120"/>
              <w:left w:type="dxa" w:w="120"/>
              <w:bottom w:type="dxa" w:w="120"/>
              <w:right w:type="dxa" w:w="120"/>
            </w:tcMar>
            <w:vAlign w:val="center"/>
          </w:tcPr>
          <w:p>
            <w:pPr>
              <w:spacing w:before="0" w:after="20"/>
              <w:jc w:val="center"/>
            </w:pPr>
            <w:r>
              <w:rPr>
                <w:rFonts w:ascii="Arial" w:cs="Arial" w:eastAsia="Arial" w:hAnsi="Arial"/>
                <w:b/>
                <w:bCs/>
                <w:color w:val="1B3A5C"/>
                <w:sz w:val="30"/>
                <w:szCs w:val="30"/>
              </w:rPr>
              <w:t xml:space="preserve">LKR 4-8M</w:t>
            </w:r>
          </w:p>
          <w:p>
            <w:pPr>
              <w:spacing w:before="0" w:after="0"/>
              <w:jc w:val="center"/>
            </w:pPr>
            <w:r>
              <w:rPr>
                <w:rFonts w:ascii="Arial" w:cs="Arial" w:eastAsia="Arial" w:hAnsi="Arial"/>
                <w:b w:val="false"/>
                <w:bCs w:val="false"/>
                <w:color w:val="333333"/>
                <w:sz w:val="17"/>
                <w:szCs w:val="17"/>
              </w:rPr>
              <w:t xml:space="preserve">Annual Retainer (per year)</w:t>
            </w:r>
          </w:p>
        </w:tc>
        <w:tc>
          <w:tcPr>
            <w:tcW w:type="dxa" w:w="2520"/>
            <w:tcBorders>
              <w:top w:val="single" w:color="CCCCCC" w:sz="1"/>
              <w:left w:val="single" w:color="CCCCCC" w:sz="1"/>
              <w:bottom w:val="single" w:color="CCCCCC" w:sz="1"/>
              <w:right w:val="single" w:color="CCCCCC" w:sz="1"/>
            </w:tcBorders>
            <w:shd w:fill="FDF6E3" w:val="clear"/>
            <w:tcMar>
              <w:top w:type="dxa" w:w="120"/>
              <w:left w:type="dxa" w:w="120"/>
              <w:bottom w:type="dxa" w:w="120"/>
              <w:right w:type="dxa" w:w="120"/>
            </w:tcMar>
            <w:vAlign w:val="center"/>
          </w:tcPr>
          <w:p>
            <w:pPr>
              <w:spacing w:before="0" w:after="20"/>
              <w:jc w:val="center"/>
            </w:pPr>
            <w:r>
              <w:rPr>
                <w:rFonts w:ascii="Arial" w:cs="Arial" w:eastAsia="Arial" w:hAnsi="Arial"/>
                <w:b/>
                <w:bCs/>
                <w:color w:val="B05A00"/>
                <w:sz w:val="30"/>
                <w:szCs w:val="30"/>
              </w:rPr>
              <w:t xml:space="preserve">LKR 12-20M</w:t>
            </w:r>
          </w:p>
          <w:p>
            <w:pPr>
              <w:spacing w:before="0" w:after="0"/>
              <w:jc w:val="center"/>
            </w:pPr>
            <w:r>
              <w:rPr>
                <w:rFonts w:ascii="Arial" w:cs="Arial" w:eastAsia="Arial" w:hAnsi="Arial"/>
                <w:b w:val="false"/>
                <w:bCs w:val="false"/>
                <w:color w:val="333333"/>
                <w:sz w:val="17"/>
                <w:szCs w:val="17"/>
              </w:rPr>
              <w:t xml:space="preserve">GCF Accreditation (Phase 2, optional)</w:t>
            </w:r>
          </w:p>
        </w:tc>
        <w:tc>
          <w:tcPr>
            <w:tcW w:type="dxa" w:w="2520"/>
            <w:tcBorders>
              <w:top w:val="single" w:color="CCCCCC" w:sz="1"/>
              <w:left w:val="single" w:color="CCCCCC" w:sz="1"/>
              <w:bottom w:val="single" w:color="CCCCCC" w:sz="1"/>
              <w:right w:val="single" w:color="CCCCCC" w:sz="1"/>
            </w:tcBorders>
            <w:shd w:fill="E8F4EC" w:val="clear"/>
            <w:tcMar>
              <w:top w:type="dxa" w:w="120"/>
              <w:left w:type="dxa" w:w="120"/>
              <w:bottom w:type="dxa" w:w="120"/>
              <w:right w:type="dxa" w:w="120"/>
            </w:tcMar>
            <w:vAlign w:val="center"/>
          </w:tcPr>
          <w:p>
            <w:pPr>
              <w:spacing w:before="0" w:after="20"/>
              <w:jc w:val="center"/>
            </w:pPr>
            <w:r>
              <w:rPr>
                <w:rFonts w:ascii="Arial" w:cs="Arial" w:eastAsia="Arial" w:hAnsi="Arial"/>
                <w:b/>
                <w:bCs/>
                <w:color w:val="1B3A5C"/>
                <w:sz w:val="30"/>
                <w:szCs w:val="30"/>
              </w:rPr>
              <w:t xml:space="preserve">LKR 35-80M</w:t>
            </w:r>
          </w:p>
          <w:p>
            <w:pPr>
              <w:spacing w:before="0" w:after="0"/>
              <w:jc w:val="center"/>
            </w:pPr>
            <w:r>
              <w:rPr>
                <w:rFonts w:ascii="Arial" w:cs="Arial" w:eastAsia="Arial" w:hAnsi="Arial"/>
                <w:b w:val="false"/>
                <w:bCs w:val="false"/>
                <w:color w:val="333333"/>
                <w:sz w:val="17"/>
                <w:szCs w:val="17"/>
              </w:rPr>
              <w:t xml:space="preserve">Total 18-Month Revenue</w:t>
            </w:r>
          </w:p>
        </w:tc>
      </w:tr>
    </w:tbl>
    <w:p>
      <w:pPr>
        <w:spacing w:before="120" w:after="120"/>
      </w:pPr>
      <w:r>
        <w:rPr>
          <w:rFonts w:ascii="Arial" w:cs="Arial" w:eastAsia="Arial" w:hAnsi="Arial"/>
          <w:b w:val="false"/>
          <w:bCs w:val="false"/>
          <w:color w:val="333333"/>
          <w:sz w:val="20"/>
          <w:szCs w:val="20"/>
        </w:rPr>
        <w:t xml:space="preserve"> </w:t>
      </w:r>
    </w:p>
    <w:p>
      <w:pPr>
        <w:pBdr>
          <w:bottom w:val="single" w:color="2D0F5C" w:sz="4" w:space="1"/>
        </w:pBdr>
        <w:spacing w:before="140" w:after="140"/>
      </w:pPr>
      <w:r>
        <w:rPr>
          <w:rFonts w:ascii="Arial" w:cs="Arial" w:eastAsia="Arial" w:hAnsi="Arial"/>
          <w:b w:val="false"/>
          <w:bCs w:val="false"/>
          <w:color w:val="333333"/>
          <w:sz w:val="20"/>
          <w:szCs w:val="20"/>
        </w:rPr>
        <w:t xml:space="preserve"/>
      </w:r>
    </w:p>
    <w:p>
      <w:pPr>
        <w:pStyle w:val="Heading2"/>
        <w:spacing w:before="220" w:after="100"/>
      </w:pPr>
      <w:r>
        <w:rPr>
          <w:rFonts w:ascii="Arial" w:cs="Arial" w:eastAsia="Arial" w:hAnsi="Arial"/>
          <w:b/>
          <w:bCs/>
          <w:color w:val="2D0F5C"/>
          <w:sz w:val="28"/>
          <w:szCs w:val="28"/>
        </w:rPr>
        <w:t xml:space="preserve">2.  90-Day Action Plan</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1-10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2D0F5C"/>
                <w:sz w:val="20"/>
                <w:szCs w:val="20"/>
              </w:rPr>
              <w:t xml:space="preserve">Chairman Meeting -- The Peer Comparison Opening</w:t>
            </w:r>
          </w:p>
          <w:p>
            <w:pPr>
              <w:spacing w:before="0" w:after="0"/>
            </w:pPr>
            <w:r>
              <w:rPr>
                <w:rFonts w:ascii="Arial" w:cs="Arial" w:eastAsia="Arial" w:hAnsi="Arial"/>
                <w:b w:val="false"/>
                <w:bCs w:val="false"/>
                <w:color w:val="333333"/>
                <w:sz w:val="20"/>
                <w:szCs w:val="20"/>
              </w:rPr>
              <w:t xml:space="preserve">Open with the Sanasa comparison: 'Sanasa Development Bank -- smaller than RDB, rural mandate, cooperative mission -- is an ADB Participating Financial Institution and received ADB SME credit line funding that RDB was not eligible for. The reason: Sanasa had a compliant ESMS. RDB had a minimum one.' Then: 'DFCC Bank, with a commercial mandate unlike RDB's development mission, achieved GCF accreditation in July 2023. They can now access USD 3M GCF grant funding for project preparation that RDB cannot.' The gap is documented, named, and institutional. The closing question: how many future DFI credit lines will RDB be excluded from before this changes? First ask: phased engagement starting with Component 1 (ESG Policy) at LKR 2M upfront -- the lowest cost, highest visibility entry point. Board resolution is a quick win the Chairman can announce internally.</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11-30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2D0F5C"/>
                <w:sz w:val="20"/>
                <w:szCs w:val="20"/>
              </w:rPr>
              <w:t xml:space="preserve">ESG Policy and Governance (Component 1)</w:t>
            </w:r>
          </w:p>
          <w:p>
            <w:pPr>
              <w:spacing w:before="0" w:after="0"/>
            </w:pPr>
            <w:r>
              <w:rPr>
                <w:rFonts w:ascii="Arial" w:cs="Arial" w:eastAsia="Arial" w:hAnsi="Arial"/>
                <w:b w:val="false"/>
                <w:bCs w:val="false"/>
                <w:color w:val="333333"/>
                <w:sz w:val="20"/>
                <w:szCs w:val="20"/>
              </w:rPr>
              <w:t xml:space="preserve">Draft the Board Environmental and Social Policy Statement. Review existing RDB governance documentation for sustainability-adjacent references (there will be some from the 2019 ADB requirement). Draft the Exclusion List (primarily adapted from the IFC PS exclusion list already used in the 2019 ESMS). Present to RDB General Manager / Chief Risk Officer for internal review. Board resolution at next Board meeting. Simultaneously, request loan portfolio segmentation data from RDB's credit department (needed for Components 3, 4, and 5 -- start the data collection in parallel).</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31-60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2D0F5C"/>
                <w:sz w:val="20"/>
                <w:szCs w:val="20"/>
              </w:rPr>
              <w:t xml:space="preserve">ESMS Upgrade and IFC PS Assessment (Components 2 and 3)</w:t>
            </w:r>
          </w:p>
          <w:p>
            <w:pPr>
              <w:spacing w:before="0" w:after="0"/>
            </w:pPr>
            <w:r>
              <w:rPr>
                <w:rFonts w:ascii="Arial" w:cs="Arial" w:eastAsia="Arial" w:hAnsi="Arial"/>
                <w:b w:val="false"/>
                <w:bCs w:val="false"/>
                <w:color w:val="333333"/>
                <w:sz w:val="20"/>
                <w:szCs w:val="20"/>
              </w:rPr>
              <w:t xml:space="preserve">Upgrade the existing 2019 ESMS document to IFC PS1 standard. Draft ESDD questionnaire, monitoring procedures, gender and indigenous peoples provisions, annual review protocol. In parallel, run the IFC PS1-PS8 portfolio review using portfolio segmentation data from Days 11-30. PS6 (Biodiversity) and PS7 (Indigenous Peoples) require specific review of Eastern Province and Northern Province lending -- schedule a half-day with RDB's regional credit officers. Complete gap table. Identify 2-3 remediation actions (likely: add E&amp;S screening step to Category B loan origination workflow; establish E&amp;S Manager role or designate existing role; add PS7 guidance for Northern Province loans).</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61-90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2D0F5C"/>
                <w:sz w:val="20"/>
                <w:szCs w:val="20"/>
              </w:rPr>
              <w:t xml:space="preserve">IRIS+ Framework and Impact Report Draft (Components 4 and 5)</w:t>
            </w:r>
          </w:p>
          <w:p>
            <w:pPr>
              <w:spacing w:before="0" w:after="0"/>
            </w:pPr>
            <w:r>
              <w:rPr>
                <w:rFonts w:ascii="Arial" w:cs="Arial" w:eastAsia="Arial" w:hAnsi="Arial"/>
                <w:b w:val="false"/>
                <w:bCs w:val="false"/>
                <w:color w:val="333333"/>
                <w:sz w:val="20"/>
                <w:szCs w:val="20"/>
              </w:rPr>
              <w:t xml:space="preserve">Design IRIS+ metrics set using GIIN's metrics catalogue (publicly available, free). Baseline data collection from available records: women-led MSME count (from the ADB-funded 2019 project RDB already tracks this, target was 500), rural vs. urban borrower split, post-Ditwah recovery loans (from 2025-2026 lending data), first-time borrowers, agricultural vs. non-agricultural split. Draft first Annual Impact Report structure. Commission 3 borrower case studies (brief field interviews -- can be conducted by RDB branch staff). Send to Deloitte or KPMG Sri Lanka for limited assurance engagement (4-6 week timeline, begin at Day 70). Present draft to Chairman by Day 90. DFI Application Pack (Component 6) assembled from components 1-5 concurrently.</w:t>
            </w:r>
          </w:p>
        </w:tc>
      </w:tr>
    </w:tbl>
    <w:p>
      <w:pPr>
        <w:spacing w:before="30" w:after="3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p>
      <w:pPr>
        <w:pBdr>
          <w:bottom w:val="single" w:color="2D0F5C" w:sz="4" w:space="1"/>
        </w:pBdr>
        <w:spacing w:before="140" w:after="140"/>
      </w:pPr>
      <w:r>
        <w:rPr>
          <w:rFonts w:ascii="Arial" w:cs="Arial" w:eastAsia="Arial" w:hAnsi="Arial"/>
          <w:b w:val="false"/>
          <w:bCs w:val="false"/>
          <w:color w:val="333333"/>
          <w:sz w:val="20"/>
          <w:szCs w:val="20"/>
        </w:rPr>
        <w:t xml:space="preserve"/>
      </w:r>
    </w:p>
    <w:p>
      <w:pPr>
        <w:pStyle w:val="Heading2"/>
        <w:spacing w:before="220" w:after="100"/>
      </w:pPr>
      <w:r>
        <w:rPr>
          <w:rFonts w:ascii="Arial" w:cs="Arial" w:eastAsia="Arial" w:hAnsi="Arial"/>
          <w:b/>
          <w:bCs/>
          <w:color w:val="2D0F5C"/>
          <w:sz w:val="28"/>
          <w:szCs w:val="28"/>
        </w:rPr>
        <w:t xml:space="preserve">3.  Key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Risk</w:t>
            </w:r>
          </w:p>
        </w:tc>
        <w:tc>
          <w:tcPr>
            <w:tcW w:type="dxa" w:w="384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Why It Could Happen</w:t>
            </w:r>
          </w:p>
        </w:tc>
        <w:tc>
          <w:tcPr>
            <w:tcW w:type="dxa" w:w="3840"/>
            <w:tcBorders>
              <w:top w:val="single" w:color="CCCCCC" w:sz="1"/>
              <w:left w:val="single" w:color="CCCCCC" w:sz="1"/>
              <w:bottom w:val="single" w:color="CCCCCC" w:sz="1"/>
              <w:right w:val="single" w:color="CCCCCC" w:sz="1"/>
            </w:tcBorders>
            <w:shd w:fill="2D0F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RDB already has an ESMS and pushes back -- 'we don't need a new one'</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The 2019 ADB ESMS exists and RDB may consider it sufficient for all purposes. The objection is 'we already have this.'</w:t>
            </w:r>
          </w:p>
        </w:tc>
        <w:tc>
          <w:tcPr>
            <w:tcW w:type="dxa" w:w="384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The Sanasa comparison is the answer. Sanasa's ESMS was approved for ADB's competitive SME LoC; RDB's was not. We are not starting from zero -- we are upgrading from minimum compliance to competitive standard. The gap is documented in ADB's own project files. We can show the Chairman the 2016 ADB project participant list and the 2019 RDB project separately.</w:t>
            </w:r>
          </w:p>
        </w:tc>
      </w:tr>
      <w:tr>
        <w:tc>
          <w:tcPr>
            <w:tcW w:type="dxa" w:w="24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RDB cannot provide portfolio-level impact data for IRIS+ baseline</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If RDB's core banking system does not capture gender, geography, first-time borrower status, or economic sector data at loan level, building an IRIS+ baseline becomes difficult.</w:t>
            </w:r>
          </w:p>
        </w:tc>
        <w:tc>
          <w:tcPr>
            <w:tcW w:type="dxa" w:w="384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IRIS+ allows proxy data and estimated ranges for Year 1 baselines. The 2019 ADB project already required RDB to track women-led MSME count (target: 500) -- this is the seed data. We work with what exists, disclose limitations clearly, and build the data capture system for Year 2. Year 1 is always an estimated baseline; Year 2 is the first measured point.</w:t>
            </w:r>
          </w:p>
        </w:tc>
      </w:tr>
      <w:tr>
        <w:tc>
          <w:tcPr>
            <w:tcW w:type="dxa" w:w="24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KPMG or a Big 4 firm approaches RDB directly for the same service</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Once RDB's Chairman is aware of the credentialing gap, larger consultancies may position to fill it, potentially excluding us from the assignment.</w:t>
            </w:r>
          </w:p>
        </w:tc>
        <w:tc>
          <w:tcPr>
            <w:tcW w:type="dxa" w:w="384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Speed and existing relationship are the answer. We enter with the Chairman conversation using this document before any other firm does. Our entry point for Component 1 (LKR 2-4M for the ESG Policy) is priced below Big 4 engagement thresholds. Big 4 firms charge LKR 20-40M for comparable full packages -- we price the phased entry at LKR 2M to establish the relationship before they arrive. Once the retainer is signed, we manage the relationship.</w:t>
            </w:r>
          </w:p>
        </w:tc>
      </w:tr>
      <w:tr>
        <w:tc>
          <w:tcPr>
            <w:tcW w:type="dxa" w:w="24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IFC or ADB do not issue a new credit line to Sri Lanka in the next 18 months</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If DFI credit line timing is unpredictable, the urgency of the impact framework is reduced.</w:t>
            </w:r>
          </w:p>
        </w:tc>
        <w:tc>
          <w:tcPr>
            <w:tcW w:type="dxa" w:w="384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ADB's Country Partnership Strategy 2024-2028 for Sri Lanka explicitly includes financial sector support. ADB's 2024 $808M commitment to Sri Lanka included financial sector policy-based loans. The pipeline is active. Additionally, the CBSL Sustainable Finance Roadmap 2.0 requirement (independent of IFC/ADB timing) makes the framework mandatory for regulatory compliance. SLFRS S2 reporting feeds from the impact framework. The framework is needed for domestic compliance even if DFI timing shifts.</w:t>
            </w:r>
          </w:p>
        </w:tc>
      </w:tr>
      <w:tr>
        <w:tc>
          <w:tcPr>
            <w:tcW w:type="dxa" w:w="240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bCs/>
                <w:color w:val="2D0F5C"/>
                <w:sz w:val="18"/>
                <w:szCs w:val="18"/>
              </w:rPr>
              <w:t xml:space="preserve">Limited assurance provider (KPMG/Deloitte) finds material compliance issues</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A third-party assurance review of the ESMS or impact data may surface issues in RDB's portfolio (e.g. agricultural loans involving restricted chemicals, land acquisition issues in Eastern Province) that create compliance liabilities.</w:t>
            </w:r>
          </w:p>
        </w:tc>
        <w:tc>
          <w:tcPr>
            <w:tcW w:type="dxa" w:w="3840"/>
            <w:tcBorders>
              <w:top w:val="single" w:color="CCCCCC" w:sz="1"/>
              <w:left w:val="single" w:color="CCCCCC" w:sz="1"/>
              <w:bottom w:val="single" w:color="CCCCCC" w:sz="1"/>
              <w:right w:val="single" w:color="CCCCCC" w:sz="1"/>
            </w:tcBorders>
            <w:shd w:fill="F3EEF9"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The assurance review is precisely what makes the framework credible. We conduct our own internal review of the portfolio before engaging the assurance provider -- identifying and remediating issues before they appear in the assurance letter. Disclosure of known limitations with a remediation timeline is standard practice and acceptable to IFC. Hiding issues is not.</w:t>
            </w:r>
          </w:p>
        </w:tc>
      </w:tr>
    </w:tbl>
    <w:p>
      <w:pPr>
        <w:spacing w:before="120" w:after="120"/>
      </w:pPr>
      <w:r>
        <w:rPr>
          <w:rFonts w:ascii="Arial" w:cs="Arial" w:eastAsia="Arial" w:hAnsi="Arial"/>
          <w:b w:val="false"/>
          <w:bCs w:val="false"/>
          <w:color w:val="333333"/>
          <w:sz w:val="20"/>
          <w:szCs w:val="20"/>
        </w:rPr>
        <w:t xml:space="preserve"> </w:t>
      </w:r>
    </w:p>
    <w:p>
      <w:pPr>
        <w:pBdr>
          <w:bottom w:val="single" w:color="2D0F5C" w:sz="4" w:space="1"/>
        </w:pBdr>
        <w:spacing w:before="140" w:after="140"/>
      </w:pPr>
      <w:r>
        <w:rPr>
          <w:rFonts w:ascii="Arial" w:cs="Arial" w:eastAsia="Arial" w:hAnsi="Arial"/>
          <w:b w:val="false"/>
          <w:bCs w:val="false"/>
          <w:color w:val="333333"/>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D0F5C" w:val="clear"/>
            <w:tcMar>
              <w:top w:type="dxa" w:w="240"/>
              <w:left w:type="dxa" w:w="280"/>
              <w:bottom w:type="dxa" w:w="240"/>
              <w:right w:type="dxa" w:w="280"/>
            </w:tcMar>
          </w:tcPr>
          <w:p>
            <w:pPr>
              <w:spacing w:before="80" w:after="80"/>
            </w:pPr>
            <w:r>
              <w:rPr>
                <w:rFonts w:ascii="Arial" w:cs="Arial" w:eastAsia="Arial" w:hAnsi="Arial"/>
                <w:b/>
                <w:bCs/>
                <w:color w:val="C8960C"/>
                <w:sz w:val="26"/>
                <w:szCs w:val="26"/>
              </w:rPr>
              <w:t xml:space="preserve">HOW THIS MODULE CONNECTS TO EVERYTHING ELSE</w:t>
            </w:r>
          </w:p>
          <w:p>
            <w:pPr>
              <w:spacing w:before="60" w:after="60"/>
            </w:pPr>
            <w:r>
              <w:rPr>
                <w:rFonts w:ascii="Arial" w:cs="Arial" w:eastAsia="Arial" w:hAnsi="Arial"/>
                <w:b w:val="false"/>
                <w:bCs w:val="false"/>
                <w:color w:val="333333"/>
                <w:sz w:val="20"/>
                <w:szCs w:val="20"/>
              </w:rPr>
              <w:t xml:space="preserve"> </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4760"/>
              <w:gridCol w:w="4760"/>
            </w:tblGrid>
            <w:tr>
              <w:tc>
                <w:tcPr>
                  <w:tcW w:type="dxa" w:w="4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spacing w:before="80" w:after="80"/>
                  </w:pPr>
                  <w:r>
                    <w:rPr>
                      <w:rFonts w:ascii="Arial" w:cs="Arial" w:eastAsia="Arial" w:hAnsi="Arial"/>
                      <w:b/>
                      <w:bCs/>
                      <w:color w:val="C8960C"/>
                      <w:sz w:val="18"/>
                      <w:szCs w:val="18"/>
                    </w:rPr>
                    <w:t xml:space="preserve">This module is the foundation under every other module:</w:t>
                  </w:r>
                </w:p>
                <w:p>
                  <w:pPr>
                    <w:spacing w:before="80" w:after="80"/>
                  </w:pPr>
                  <w:r>
                    <w:rPr>
                      <w:rFonts w:ascii="Arial" w:cs="Arial" w:eastAsia="Arial" w:hAnsi="Arial"/>
                      <w:b w:val="false"/>
                      <w:bCs w:val="false"/>
                      <w:color w:val="FFFFFF"/>
                      <w:sz w:val="18"/>
                      <w:szCs w:val="18"/>
                    </w:rPr>
                    <w:t xml:space="preserve">Green Bond: The Annual Impact Report is the use-of-proceeds impact monitoring document that Green Bond investors require. No Impact Report = no credible Green Bond. The IFC PS Compliance Table is the Sustainability-Linked Bond KPI documentation.</w:t>
                  </w:r>
                </w:p>
                <w:p>
                  <w:pPr>
                    <w:spacing w:before="80" w:after="80"/>
                  </w:pPr>
                  <w:r>
                    <w:rPr>
                      <w:rFonts w:ascii="Arial" w:cs="Arial" w:eastAsia="Arial" w:hAnsi="Arial"/>
                      <w:b w:val="false"/>
                      <w:bCs w:val="false"/>
                      <w:color w:val="FFFFFF"/>
                      <w:sz w:val="18"/>
                      <w:szCs w:val="18"/>
                    </w:rPr>
                    <w:t xml:space="preserve">Sustainable Agriculture Lending: IRIS+ metrics for certified farmers and post-Ditwah recovery borrowers are embedded in the Impact Framework. The certified farmer pipeline generates the best impact data in the entire portfolio.</w:t>
                  </w:r>
                </w:p>
                <w:p>
                  <w:pPr>
                    <w:spacing w:before="80" w:after="80"/>
                  </w:pPr>
                  <w:r>
                    <w:rPr>
                      <w:rFonts w:ascii="Arial" w:cs="Arial" w:eastAsia="Arial" w:hAnsi="Arial"/>
                      <w:b w:val="false"/>
                      <w:bCs w:val="false"/>
                      <w:color w:val="FFFFFF"/>
                      <w:sz w:val="18"/>
                      <w:szCs w:val="18"/>
                    </w:rPr>
                    <w:t xml:space="preserve">Climate Risk / SLFRS S2: The climate section of the Annual Impact Report feeds from the SLFRS S2 disclosure built in the Climate Risk module. The two documents share the same Scope 3 financed emissions data. One engagement produces both outputs.</w:t>
                  </w:r>
                </w:p>
                <w:p>
                  <w:pPr>
                    <w:spacing w:before="0" w:after="0"/>
                  </w:pPr>
                  <w:r>
                    <w:rPr>
                      <w:rFonts w:ascii="Arial" w:cs="Arial" w:eastAsia="Arial" w:hAnsi="Arial"/>
                      <w:b w:val="false"/>
                      <w:bCs w:val="false"/>
                      <w:color w:val="FFFFFF"/>
                      <w:sz w:val="18"/>
                      <w:szCs w:val="18"/>
                    </w:rPr>
                    <w:t xml:space="preserve">Green Loan Product Design: The IRIS+ metrics track which loans qualify as green and what their environmental impact is. The Green Loan product is formally defined within the ESMS eligible categories framework.</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spacing w:before="80" w:after="80"/>
                  </w:pPr>
                  <w:r>
                    <w:rPr>
                      <w:rFonts w:ascii="Arial" w:cs="Arial" w:eastAsia="Arial" w:hAnsi="Arial"/>
                      <w:b/>
                      <w:bCs/>
                      <w:color w:val="C8960C"/>
                      <w:sz w:val="18"/>
                      <w:szCs w:val="18"/>
                    </w:rPr>
                    <w:t xml:space="preserve">The Sequencing Logic: Why This Module Should Come First</w:t>
                  </w:r>
                </w:p>
                <w:p>
                  <w:pPr>
                    <w:spacing w:before="80" w:after="80"/>
                  </w:pPr>
                  <w:r>
                    <w:rPr>
                      <w:rFonts w:ascii="Arial" w:cs="Arial" w:eastAsia="Arial" w:hAnsi="Arial"/>
                      <w:b w:val="false"/>
                      <w:bCs w:val="false"/>
                      <w:color w:val="FFFFFF"/>
                      <w:sz w:val="18"/>
                      <w:szCs w:val="18"/>
                    </w:rPr>
                    <w:t xml:space="preserve">If we build the Green Bond before the Impact Framework, the bond has no impact monitoring document. If we build the Sustainable Agriculture Loan before the ESMS upgrade, we cannot include it as a green loan category for ADB reporting. If we pitch IFC for a credit line before the DFI Application Pack exists, we are building the credential while the counterparty is watching.</w:t>
                  </w:r>
                </w:p>
                <w:p>
                  <w:pPr>
                    <w:spacing w:before="80" w:after="80"/>
                  </w:pPr>
                  <w:r>
                    <w:rPr>
                      <w:rFonts w:ascii="Arial" w:cs="Arial" w:eastAsia="Arial" w:hAnsi="Arial"/>
                      <w:b w:val="false"/>
                      <w:bCs w:val="false"/>
                      <w:color w:val="FFFFFF"/>
                      <w:sz w:val="18"/>
                      <w:szCs w:val="18"/>
                    </w:rPr>
                    <w:t xml:space="preserve">The correct sequencing: Impact Framework first (establishes institutional credential) → Green Bond (uses impact monitoring from framework) → Sustainable Agriculture Loan (defined within ESMS green categories) → IFC/ADB credit line application (with full DFI Application Pack ready). This module is Month 1. Everything else layers on top.</w:t>
                  </w:r>
                </w:p>
                <w:p>
                  <w:pPr>
                    <w:spacing w:before="0" w:after="0"/>
                  </w:pPr>
                  <w:r>
                    <w:rPr>
                      <w:rFonts w:ascii="Arial" w:cs="Arial" w:eastAsia="Arial" w:hAnsi="Arial"/>
                      <w:b/>
                      <w:bCs/>
                      <w:color w:val="C8960C"/>
                      <w:sz w:val="20"/>
                      <w:szCs w:val="20"/>
                    </w:rPr>
                    <w:t xml:space="preserve">The Impact Reporting Framework is not a module. It is the foundation.</w:t>
                  </w:r>
                </w:p>
              </w:tc>
            </w:tr>
          </w:tbl>
          <w:p/>
        </w:tc>
      </w:tr>
    </w:tbl>
    <w:p>
      <w:pPr>
        <w:spacing w:before="60" w:after="60"/>
      </w:pPr>
      <w:r>
        <w:rPr>
          <w:rFonts w:ascii="Arial" w:cs="Arial" w:eastAsia="Arial" w:hAnsi="Arial"/>
          <w:b w:val="false"/>
          <w:bCs w:val="false"/>
          <w:color w:val="333333"/>
          <w:sz w:val="20"/>
          <w:szCs w:val="20"/>
        </w:rPr>
        <w:t xml:space="preserve"> </w:t>
      </w:r>
    </w:p>
    <w:p>
      <w:pPr>
        <w:spacing w:before="80" w:after="80"/>
      </w:pPr>
      <w:r>
        <w:rPr>
          <w:rFonts w:ascii="Arial" w:cs="Arial" w:eastAsia="Arial" w:hAnsi="Arial"/>
          <w:b w:val="false"/>
          <w:bCs w:val="false"/>
          <w:color w:val="888888"/>
          <w:sz w:val="18"/>
          <w:szCs w:val="18"/>
        </w:rPr>
        <w:t xml:space="preserve">Document prepared February 2026. For internal use only. Research sourced from ADB Project 49273-001 (Sri Lanka SME Line of Credit) participant ESMS documents (DFCC, NDB, Sanasa, Sampath, HNB, Seylan, Hatton National Bank); ADB Project 52219-001 (Strengthening the Regional Development Bank) Project Administration Manual and ESMS requirements; ADB Sri Lanka Country Partnership Strategy 2024-2028; GCF Accreditation Master Agreement requirements; IFC Environmental and Social Performance Standards (2012, updated 2021); IFC AIMM methodology documentation; NABARD Annual Reports 2022-2024; GIIN IRIS+ metrics catalogue; GRI Universal Standards 2021; NDB Bank Green Finance Framework (public document); DFCC Bank Sustainability Reports 2018-2023.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5C"/>
      <w:sz w:val="38"/>
      <w:szCs w:val="38"/>
    </w:rPr>
  </w:style>
  <w:style w:type="paragraph" w:styleId="Heading2">
    <w:name w:val="Heading 2"/>
    <w:basedOn w:val="Normal"/>
    <w:next w:val="Normal"/>
    <w:qFormat/>
    <w:pPr>
      <w:spacing w:before="220" w:after="100"/>
      <w:outlineLvl w:val="1"/>
    </w:pPr>
    <w:rPr>
      <w:rFonts w:ascii="Arial" w:cs="Arial" w:eastAsia="Arial" w:hAnsi="Arial"/>
      <w:b/>
      <w:bCs/>
      <w:color w:val="2D0F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2026-02-24T07:15:26.355Z</dcterms:created>
  <dcterms:modified xsi:type="dcterms:W3CDTF">2026-02-24T07:15:26.356Z</dcterms:modified>
</cp:coreProperties>
</file>

<file path=docProps/custom.xml><?xml version="1.0" encoding="utf-8"?>
<Properties xmlns="http://schemas.openxmlformats.org/officeDocument/2006/custom-properties" xmlns:vt="http://schemas.openxmlformats.org/officeDocument/2006/docPropsVTypes"/>
</file>