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5C" w:val="clear"/>
            <w:tcMar>
              <w:top w:type="dxa" w:w="500"/>
              <w:left w:type="dxa" w:w="400"/>
              <w:bottom w:type="dxa" w:w="500"/>
              <w:right w:type="dxa" w:w="400"/>
            </w:tcMar>
          </w:tcPr>
          <w:p>
            <w:pPr>
              <w:spacing w:before="80" w:after="80"/>
            </w:pPr>
            <w:r>
              <w:rPr>
                <w:rFonts w:ascii="Arial" w:cs="Arial" w:eastAsia="Arial" w:hAnsi="Arial"/>
                <w:b/>
                <w:bCs/>
                <w:color w:val="C8960C"/>
                <w:sz w:val="22"/>
                <w:szCs w:val="22"/>
              </w:rPr>
              <w:t xml:space="preserve">RDB × SUSTAINABILITY BROKER</w:t>
            </w:r>
          </w:p>
          <w:p>
            <w:pPr>
              <w:spacing w:before="60" w:after="0"/>
            </w:pPr>
            <w:r>
              <w:rPr>
                <w:rFonts w:ascii="Arial" w:cs="Arial" w:eastAsia="Arial" w:hAnsi="Arial"/>
                <w:b/>
                <w:bCs/>
                <w:color w:val="FFFFFF"/>
                <w:sz w:val="52"/>
                <w:szCs w:val="52"/>
              </w:rPr>
              <w:t xml:space="preserve">Green Bond &amp; Sustainability Bond</w:t>
            </w:r>
          </w:p>
          <w:p>
            <w:pPr>
              <w:spacing w:before="0" w:after="140"/>
            </w:pPr>
            <w:r>
              <w:rPr>
                <w:rFonts w:ascii="Arial" w:cs="Arial" w:eastAsia="Arial" w:hAnsi="Arial"/>
                <w:b/>
                <w:bCs/>
                <w:color w:val="FFFFFF"/>
                <w:sz w:val="52"/>
                <w:szCs w:val="52"/>
              </w:rPr>
              <w:t xml:space="preserve">Issuance Advisory</w:t>
            </w:r>
          </w:p>
          <w:p>
            <w:pPr>
              <w:spacing w:before="80" w:after="80"/>
            </w:pPr>
            <w:r>
              <w:rPr>
                <w:rFonts w:ascii="Arial" w:cs="Arial" w:eastAsia="Arial" w:hAnsi="Arial"/>
                <w:b w:val="false"/>
                <w:bCs w:val="false"/>
                <w:color w:val="AAAAAA"/>
                <w:sz w:val="20"/>
                <w:szCs w:val="20"/>
              </w:rPr>
              <w:t xml:space="preserve">Case Studies + Full Business Model  ·  February 2026  ·  Internal Use Only</w:t>
            </w:r>
          </w:p>
        </w:tc>
      </w:tr>
    </w:tbl>
    <w:p>
      <w:pPr>
        <w:spacing w:before="100" w:after="10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0F2F2" w:val="clear"/>
            <w:tcMar>
              <w:top w:type="dxa" w:w="120"/>
              <w:left w:type="dxa" w:w="180"/>
              <w:bottom w:type="dxa" w:w="120"/>
              <w:right w:type="dxa" w:w="180"/>
            </w:tcMar>
          </w:tcPr>
          <w:p>
            <w:pPr>
              <w:spacing w:before="80" w:after="80"/>
            </w:pPr>
            <w:r>
              <w:rPr>
                <w:rFonts w:ascii="Arial" w:cs="Arial" w:eastAsia="Arial" w:hAnsi="Arial"/>
                <w:b/>
                <w:bCs/>
                <w:color w:val="0D6E6E"/>
                <w:sz w:val="22"/>
                <w:szCs w:val="22"/>
              </w:rPr>
              <w:t xml:space="preserve">The Market Reality Right Now — February 2026</w:t>
            </w:r>
          </w:p>
          <w:p>
            <w:pPr>
              <w:spacing w:before="80" w:after="80"/>
            </w:pPr>
            <w:r>
              <w:rPr>
                <w:rFonts w:ascii="Arial" w:cs="Arial" w:eastAsia="Arial" w:hAnsi="Arial"/>
                <w:b w:val="false"/>
                <w:bCs w:val="false"/>
                <w:color w:val="333333"/>
                <w:sz w:val="20"/>
                <w:szCs w:val="20"/>
              </w:rPr>
              <w:t xml:space="preserve">In the 15 months between October 2024 and December 2025, four GSS+ bonds were issued on the Colombo Stock Exchange. Every single one was oversubscribed on the day it opened. DFCC Bank raised LKR 2.5B (October 2024). Alliance Finance raised LKR 1B (February 2025) and went on to dual-list on the Luxembourg Stock Exchange. HNB raised LKR 10B in a single day (December 2025). Bank of Ceylon issued the largest ever sustainability bond in Sri Lanka — also oversubscribed on Day 1 (December 2025). The market is not a question. Demand exists. The question is who the next issuer is.</w:t>
            </w:r>
          </w:p>
          <w:p>
            <w:pPr>
              <w:spacing w:before="80" w:after="0"/>
            </w:pPr>
            <w:r>
              <w:rPr>
                <w:rFonts w:ascii="Arial" w:cs="Arial" w:eastAsia="Arial" w:hAnsi="Arial"/>
                <w:b w:val="false"/>
                <w:bCs w:val="false"/>
                <w:color w:val="333333"/>
                <w:sz w:val="20"/>
                <w:szCs w:val="20"/>
              </w:rPr>
              <w:t xml:space="preserve">RDB has never issued a bond of any kind on the CSE. It funds its entire loan book through government and CBSL facilities — expensive, short-term, and without the ESG credibility that would unlock IFC, ADB, or GCF concessional lines. A single properly structured GSS+ issuance on CSE — even LKR 2–5B — would transform RDB's funding profile, cut its cost of capital, and position it for far larger DFI facility access. We are the advisors who design, structure, and place it. RDB pays us. We never touch the money.</w:t>
            </w:r>
          </w:p>
        </w:tc>
      </w:tr>
    </w:tbl>
    <w:p>
      <w:pPr>
        <w:spacing w:before="100" w:after="100"/>
      </w:pPr>
      <w:r>
        <w:rPr>
          <w:rFonts w:ascii="Arial" w:cs="Arial" w:eastAsia="Arial" w:hAnsi="Arial"/>
          <w:b w:val="false"/>
          <w:bCs w:val="false"/>
          <w:color w:val="333333"/>
          <w:sz w:val="20"/>
          <w:szCs w:val="20"/>
        </w:rPr>
        <w:t xml:space="preserve"> </w:t>
      </w:r>
    </w:p>
    <w:p>
      <w:pPr>
        <w:pBdr>
          <w:bottom w:val="single" w:color="0D6E6E" w:sz="4" w:space="1"/>
        </w:pBdr>
        <w:spacing w:before="120" w:after="120"/>
      </w:pPr>
      <w:r>
        <w:rPr>
          <w:rFonts w:ascii="Arial" w:cs="Arial" w:eastAsia="Arial" w:hAnsi="Arial"/>
          <w:b w:val="false"/>
          <w:bCs w:val="false"/>
          <w:color w:val="333333"/>
          <w:sz w:val="20"/>
          <w:szCs w:val="20"/>
        </w:rPr>
        <w:t xml:space="preserve"/>
      </w:r>
    </w:p>
    <w:p>
      <w:pPr>
        <w:pStyle w:val="Heading1"/>
        <w:spacing w:before="300" w:after="120"/>
      </w:pPr>
      <w:r>
        <w:rPr>
          <w:rFonts w:ascii="Arial" w:cs="Arial" w:eastAsia="Arial" w:hAnsi="Arial"/>
          <w:b/>
          <w:bCs/>
          <w:color w:val="1B3A5C"/>
          <w:sz w:val="38"/>
          <w:szCs w:val="38"/>
        </w:rPr>
        <w:t xml:space="preserve">PART 1 — FIVE CASE STUDIES</w:t>
      </w:r>
    </w:p>
    <w:p>
      <w:pPr>
        <w:spacing w:before="80" w:after="80"/>
      </w:pPr>
      <w:r>
        <w:rPr>
          <w:rFonts w:ascii="Arial" w:cs="Arial" w:eastAsia="Arial" w:hAnsi="Arial"/>
          <w:b w:val="false"/>
          <w:bCs w:val="false"/>
          <w:color w:val="333333"/>
          <w:sz w:val="20"/>
          <w:szCs w:val="20"/>
        </w:rPr>
        <w:t xml:space="preserve">Each case study is selected because it maps to a specific argument we need to make in the RDB Chairman meeting. Read them in order — they build on each other.</w:t>
      </w:r>
    </w:p>
    <w:p>
      <w:pPr>
        <w:spacing w:before="50" w:after="50"/>
      </w:pPr>
      <w:r>
        <w:rPr>
          <w:rFonts w:ascii="Arial" w:cs="Arial" w:eastAsia="Arial" w:hAnsi="Arial"/>
          <w:b w:val="false"/>
          <w:bCs w:val="false"/>
          <w:color w:val="333333"/>
          <w:sz w:val="20"/>
          <w:szCs w:val="20"/>
        </w:rPr>
        <w:t xml:space="preserve"> </w:t>
      </w:r>
    </w:p>
    <w:p>
      <w:pPr>
        <w:spacing w:before="50" w:after="5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0D6E6E" w:val="clear"/>
            <w:tcMar>
              <w:top w:type="dxa" w:w="120"/>
              <w:left w:type="dxa" w:w="180"/>
              <w:bottom w:type="dxa" w:w="120"/>
              <w:right w:type="dxa" w:w="180"/>
            </w:tcMar>
          </w:tcPr>
          <w:p>
            <w:pPr>
              <w:spacing w:before="80" w:after="80"/>
            </w:pPr>
            <w:r>
              <w:rPr>
                <w:rFonts w:ascii="Arial" w:cs="Arial" w:eastAsia="Arial" w:hAnsi="Arial"/>
                <w:b/>
                <w:bCs/>
                <w:color w:val="C8960C"/>
                <w:sz w:val="18"/>
                <w:szCs w:val="18"/>
              </w:rPr>
              <w:t xml:space="preserve">CASE STUDY 1</w:t>
            </w:r>
          </w:p>
          <w:p>
            <w:pPr>
              <w:spacing w:before="80" w:after="80"/>
            </w:pPr>
            <w:r>
              <w:rPr>
                <w:rFonts w:ascii="Arial" w:cs="Arial" w:eastAsia="Arial" w:hAnsi="Arial"/>
                <w:b/>
                <w:bCs/>
                <w:color w:val="FFFFFF"/>
                <w:sz w:val="28"/>
                <w:szCs w:val="28"/>
              </w:rPr>
              <w:t xml:space="preserve">DFCC Bank — Sri Lanka's First Listed Green Bond</w:t>
            </w:r>
          </w:p>
          <w:p>
            <w:pPr>
              <w:spacing w:before="0" w:after="0"/>
            </w:pPr>
            <w:r>
              <w:rPr>
                <w:rFonts w:ascii="Arial" w:cs="Arial" w:eastAsia="Arial" w:hAnsi="Arial"/>
                <w:b w:val="false"/>
                <w:bCs w:val="false"/>
                <w:color w:val="BBBBBB"/>
                <w:sz w:val="18"/>
                <w:szCs w:val="18"/>
              </w:rPr>
              <w:t xml:space="preserve">Sri Lanka  ·  CSE GSS+ · October 2024 · LKR 2.5B · Oversubscribed Day 1</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Issuer</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DFCC Bank PLC — a Sri Lankan commercial bank established 1955, listed on CSE. Not a development bank. Not state-owned. No prior bond market track record in sustainable finance.</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What Happened</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DFCC issued Sri Lanka's first-ever listed green bond in October 2024 via the CSE's new GSS+ framework. Senior, listed, rated (A- by Fitch), unsecured, redeemable, 3-year bonds targeting LKR 2.5B. Oversubscribed on the first day. Proceeds designated exclusively for photovoltaic (solar) power generation projects.</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The Advisory Layer</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DFCC did NOT do this alone. It required: a use-of-proceeds framework aligned to ICMA Green Bond Principles, a Fitch rating process, SEC/CSE listing approval, an investment bank or arranger (NDBIB was involved in the AFC issuance indicating the NDB Investment Bank as the likely route to market), and legal documentation. Each of these was handled by separate service providers.</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DFI Connection</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DFCC was already GCF-accredited (July 2023). The green bond built on the green framework they had developed for GCF accreditation — the two are inseparable. The bond gave DFCC a domestic investor base; the DFI facilities gave it international capital at concessional rates.</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Scale of Precedent</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This was the first. DFCC proved: (a) Sri Lankan institutional investors will buy green bonds, (b) Fitch will rate them, (c) the CSE framework works. Every subsequent issuer had an easier path because DFCC went first. RDB can now go next — with a development mandate that is far more compelling than a commercial bank's.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8F4EC" w:val="clear"/>
            <w:tcMar>
              <w:top w:type="dxa" w:w="120"/>
              <w:left w:type="dxa" w:w="180"/>
              <w:bottom w:type="dxa" w:w="120"/>
              <w:right w:type="dxa" w:w="180"/>
            </w:tcMar>
          </w:tcPr>
          <w:p>
            <w:pPr>
              <w:spacing w:before="80" w:after="80"/>
            </w:pPr>
            <w:r>
              <w:rPr>
                <w:rFonts w:ascii="Arial" w:cs="Arial" w:eastAsia="Arial" w:hAnsi="Arial"/>
                <w:b/>
                <w:bCs/>
                <w:color w:val="1A7A4A"/>
                <w:sz w:val="18"/>
                <w:szCs w:val="18"/>
              </w:rPr>
              <w:t xml:space="preserve">🎯  WHAT THIS MEANS FOR THE RDB PLAY</w:t>
            </w:r>
          </w:p>
          <w:p>
            <w:pPr>
              <w:spacing w:before="40" w:after="40"/>
            </w:pPr>
            <w:r>
              <w:rPr>
                <w:rFonts w:ascii="Arial" w:cs="Arial" w:eastAsia="Arial" w:hAnsi="Arial"/>
                <w:b w:val="false"/>
                <w:bCs w:val="false"/>
                <w:color w:val="333333"/>
                <w:sz w:val="20"/>
                <w:szCs w:val="20"/>
              </w:rPr>
              <w:t xml:space="preserve">→  DFCC is a private commercial bank. RDB is a 100% state-owned development bank with a mandate for rural poverty reduction, agriculture, and SME development — a far more compelling ESG story for impact investors.</w:t>
            </w:r>
          </w:p>
          <w:p>
            <w:pPr>
              <w:spacing w:before="40" w:after="40"/>
            </w:pPr>
            <w:r>
              <w:rPr>
                <w:rFonts w:ascii="Arial" w:cs="Arial" w:eastAsia="Arial" w:hAnsi="Arial"/>
                <w:b w:val="false"/>
                <w:bCs w:val="false"/>
                <w:color w:val="333333"/>
                <w:sz w:val="20"/>
                <w:szCs w:val="20"/>
              </w:rPr>
              <w:t xml:space="preserve">→  The advisory layer DFCC needed is exactly what we provide: use-of-proceeds framework, SPO coordination, Fitch rating process management, CSE listing navigation, investor communication.</w:t>
            </w:r>
          </w:p>
          <w:p>
            <w:pPr>
              <w:spacing w:before="40" w:after="40"/>
            </w:pPr>
            <w:r>
              <w:rPr>
                <w:rFonts w:ascii="Arial" w:cs="Arial" w:eastAsia="Arial" w:hAnsi="Arial"/>
                <w:b w:val="false"/>
                <w:bCs w:val="false"/>
                <w:color w:val="333333"/>
                <w:sz w:val="20"/>
                <w:szCs w:val="20"/>
              </w:rPr>
              <w:t xml:space="preserve">→  DFCC's green bond proceeds went to solar only. RDB's GSS+ bond can cover agriculture certification, rural renewable energy, sustainable fisheries, eco-tourism, and green SME lending — a much richer eligible category set that justifies a larger issuance.</w:t>
            </w:r>
          </w:p>
          <w:p>
            <w:pPr>
              <w:spacing w:before="40" w:after="40"/>
            </w:pPr>
            <w:r>
              <w:rPr>
                <w:rFonts w:ascii="Arial" w:cs="Arial" w:eastAsia="Arial" w:hAnsi="Arial"/>
                <w:b w:val="false"/>
                <w:bCs w:val="false"/>
                <w:color w:val="333333"/>
                <w:sz w:val="20"/>
                <w:szCs w:val="20"/>
              </w:rPr>
              <w:t xml:space="preserve">→  First-mover advantage is gone for commercial banks. But no state development bank has done this yet. That IS the first-mover story for RDB.</w:t>
            </w:r>
          </w:p>
        </w:tc>
      </w:tr>
    </w:tbl>
    <w:p>
      <w:pPr>
        <w:spacing w:before="50" w:after="50"/>
      </w:pPr>
      <w:r>
        <w:rPr>
          <w:rFonts w:ascii="Arial" w:cs="Arial" w:eastAsia="Arial" w:hAnsi="Arial"/>
          <w:b w:val="false"/>
          <w:bCs w:val="false"/>
          <w:color w:val="333333"/>
          <w:sz w:val="20"/>
          <w:szCs w:val="20"/>
        </w:rPr>
        <w:t xml:space="preserve"> </w:t>
      </w:r>
    </w:p>
    <w:p>
      <w:pPr>
        <w:spacing w:before="50" w:after="5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1A7A4A" w:val="clear"/>
            <w:tcMar>
              <w:top w:type="dxa" w:w="120"/>
              <w:left w:type="dxa" w:w="180"/>
              <w:bottom w:type="dxa" w:w="120"/>
              <w:right w:type="dxa" w:w="180"/>
            </w:tcMar>
          </w:tcPr>
          <w:p>
            <w:pPr>
              <w:spacing w:before="80" w:after="80"/>
            </w:pPr>
            <w:r>
              <w:rPr>
                <w:rFonts w:ascii="Arial" w:cs="Arial" w:eastAsia="Arial" w:hAnsi="Arial"/>
                <w:b/>
                <w:bCs/>
                <w:color w:val="C8960C"/>
                <w:sz w:val="18"/>
                <w:szCs w:val="18"/>
              </w:rPr>
              <w:t xml:space="preserve">CASE STUDY 2</w:t>
            </w:r>
          </w:p>
          <w:p>
            <w:pPr>
              <w:spacing w:before="80" w:after="80"/>
            </w:pPr>
            <w:r>
              <w:rPr>
                <w:rFonts w:ascii="Arial" w:cs="Arial" w:eastAsia="Arial" w:hAnsi="Arial"/>
                <w:b/>
                <w:bCs/>
                <w:color w:val="FFFFFF"/>
                <w:sz w:val="28"/>
                <w:szCs w:val="28"/>
              </w:rPr>
              <w:t xml:space="preserve">Alliance Finance Company — First NBFI Green Bond + Luxembourg Dual Listing</w:t>
            </w:r>
          </w:p>
          <w:p>
            <w:pPr>
              <w:spacing w:before="0" w:after="0"/>
            </w:pPr>
            <w:r>
              <w:rPr>
                <w:rFonts w:ascii="Arial" w:cs="Arial" w:eastAsia="Arial" w:hAnsi="Arial"/>
                <w:b w:val="false"/>
                <w:bCs w:val="false"/>
                <w:color w:val="BBBBBB"/>
                <w:sz w:val="18"/>
                <w:szCs w:val="18"/>
              </w:rPr>
              <w:t xml:space="preserve">Sri Lanka / Luxembourg  ·  CSE + LuxSE · February 2025 · LKR 1B · Oversubscribed within hours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Issuer</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Alliance Finance Company PLC (AFC) — Sri Lanka's oldest non-bank financial institution. Rural MSME focus. Solar loans, agri-finance, gold loans. Not a bank. No prior capital market history. Very similar in customer profile to RDB.</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What Happened</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AFC issued Sri Lanka's first-ever NBFI green bond on CSE in February 2025. LKR 1B, 3-year, listed, rated (A- by Lanka Rating Agency), guaranteed, senior. Oversubscribed within hours of opening. Proceeds to solar renewable energy projects. Then, three months later, AFC dual-listed the same bond on the Luxembourg Stock Exchange and the Luxembourg Green Exchange (LGX) — giving it access to international ESG investors.</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Why This Matters</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AFC is a smaller, less well-known institution than DFCC. Its rural/MSME customer base is nearly identical to RDB's. If AFC — with fewer resources and lower name recognition — can issue LKR 1B oversubscribed and reach Luxembourg, RDB (state-owned, 6 million customers, government-guaranteed) can do significantly more.</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The Luxembourg Angle</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The Luxembourg Green Exchange is the world's leading platform for green, social, and sustainability bonds — 1,500+ listed instruments. AFC's listing there means its bond was visible to European ESG fund managers. For RDB, a dual listing creates the pathway to IFC and ADB acting as cornerstone investors in a bond — something CBSL and Ministry of Finance would welcome as a milestone.</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Advisory Used</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AFC's deal was structured with NDB Investment Bank (NDBIB) as arranger. ADB's financial sector specialist attended the bell-ringing ceremony. ESCAP ran a capacity-building programme for AFC before the issuance. The advisory ecosystem is already in Sri Lanka — we coordinate it.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8F4EC" w:val="clear"/>
            <w:tcMar>
              <w:top w:type="dxa" w:w="120"/>
              <w:left w:type="dxa" w:w="180"/>
              <w:bottom w:type="dxa" w:w="120"/>
              <w:right w:type="dxa" w:w="180"/>
            </w:tcMar>
          </w:tcPr>
          <w:p>
            <w:pPr>
              <w:spacing w:before="80" w:after="80"/>
            </w:pPr>
            <w:r>
              <w:rPr>
                <w:rFonts w:ascii="Arial" w:cs="Arial" w:eastAsia="Arial" w:hAnsi="Arial"/>
                <w:b/>
                <w:bCs/>
                <w:color w:val="1A7A4A"/>
                <w:sz w:val="18"/>
                <w:szCs w:val="18"/>
              </w:rPr>
              <w:t xml:space="preserve">🎯  WHAT THIS MEANS FOR THE RDB PLAY</w:t>
            </w:r>
          </w:p>
          <w:p>
            <w:pPr>
              <w:spacing w:before="40" w:after="40"/>
            </w:pPr>
            <w:r>
              <w:rPr>
                <w:rFonts w:ascii="Arial" w:cs="Arial" w:eastAsia="Arial" w:hAnsi="Arial"/>
                <w:b w:val="false"/>
                <w:bCs w:val="false"/>
                <w:color w:val="333333"/>
                <w:sz w:val="20"/>
                <w:szCs w:val="20"/>
              </w:rPr>
              <w:t xml:space="preserve">→  If AFC can dual-list on the Luxembourg Stock Exchange from a standing start, RDB — with state ownership, government guarantee capacity, and ADB/IFC as natural cornerstone investors — can go even further.</w:t>
            </w:r>
          </w:p>
          <w:p>
            <w:pPr>
              <w:spacing w:before="40" w:after="40"/>
            </w:pPr>
            <w:r>
              <w:rPr>
                <w:rFonts w:ascii="Arial" w:cs="Arial" w:eastAsia="Arial" w:hAnsi="Arial"/>
                <w:b w:val="false"/>
                <w:bCs w:val="false"/>
                <w:color w:val="333333"/>
                <w:sz w:val="20"/>
                <w:szCs w:val="20"/>
              </w:rPr>
              <w:t xml:space="preserve">→  AFC's customer profile (rural MSME, agri-finance, solar) is our template for RDB's eligible bond category set. We borrow the framework and expand it.</w:t>
            </w:r>
          </w:p>
          <w:p>
            <w:pPr>
              <w:spacing w:before="40" w:after="40"/>
            </w:pPr>
            <w:r>
              <w:rPr>
                <w:rFonts w:ascii="Arial" w:cs="Arial" w:eastAsia="Arial" w:hAnsi="Arial"/>
                <w:b w:val="false"/>
                <w:bCs w:val="false"/>
                <w:color w:val="333333"/>
                <w:sz w:val="20"/>
                <w:szCs w:val="20"/>
              </w:rPr>
              <w:t xml:space="preserve">→  ADB was at the bell-ringing. ADB is the natural co-partner for RDB's issuance — they built the CSE GSS+ framework themselves. We walk RDB through ADB's door.</w:t>
            </w:r>
          </w:p>
          <w:p>
            <w:pPr>
              <w:spacing w:before="40" w:after="40"/>
            </w:pPr>
            <w:r>
              <w:rPr>
                <w:rFonts w:ascii="Arial" w:cs="Arial" w:eastAsia="Arial" w:hAnsi="Arial"/>
                <w:b w:val="false"/>
                <w:bCs w:val="false"/>
                <w:color w:val="333333"/>
                <w:sz w:val="20"/>
                <w:szCs w:val="20"/>
              </w:rPr>
              <w:t xml:space="preserve">→  NDBIB is the likely arranger for domestic issuance. We act as the sustainability advisor — the layer between RDB and NDBIB. Different role, different fee, zero conflict.</w:t>
            </w:r>
          </w:p>
        </w:tc>
      </w:tr>
    </w:tbl>
    <w:p>
      <w:pPr>
        <w:spacing w:before="50" w:after="50"/>
      </w:pPr>
      <w:r>
        <w:rPr>
          <w:rFonts w:ascii="Arial" w:cs="Arial" w:eastAsia="Arial" w:hAnsi="Arial"/>
          <w:b w:val="false"/>
          <w:bCs w:val="false"/>
          <w:color w:val="333333"/>
          <w:sz w:val="20"/>
          <w:szCs w:val="20"/>
        </w:rPr>
        <w:t xml:space="preserve"> </w:t>
      </w:r>
    </w:p>
    <w:p>
      <w:pPr>
        <w:spacing w:before="50" w:after="5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1B3A5C" w:val="clear"/>
            <w:tcMar>
              <w:top w:type="dxa" w:w="120"/>
              <w:left w:type="dxa" w:w="180"/>
              <w:bottom w:type="dxa" w:w="120"/>
              <w:right w:type="dxa" w:w="180"/>
            </w:tcMar>
          </w:tcPr>
          <w:p>
            <w:pPr>
              <w:spacing w:before="80" w:after="80"/>
            </w:pPr>
            <w:r>
              <w:rPr>
                <w:rFonts w:ascii="Arial" w:cs="Arial" w:eastAsia="Arial" w:hAnsi="Arial"/>
                <w:b/>
                <w:bCs/>
                <w:color w:val="C8960C"/>
                <w:sz w:val="18"/>
                <w:szCs w:val="18"/>
              </w:rPr>
              <w:t xml:space="preserve">CASE STUDY 3</w:t>
            </w:r>
          </w:p>
          <w:p>
            <w:pPr>
              <w:spacing w:before="80" w:after="80"/>
            </w:pPr>
            <w:r>
              <w:rPr>
                <w:rFonts w:ascii="Arial" w:cs="Arial" w:eastAsia="Arial" w:hAnsi="Arial"/>
                <w:b/>
                <w:bCs/>
                <w:color w:val="FFFFFF"/>
                <w:sz w:val="28"/>
                <w:szCs w:val="28"/>
              </w:rPr>
              <w:t xml:space="preserve">Hatton National Bank — LKR 10B Sustainable Bond, Oversubscribed Same Day</w:t>
            </w:r>
          </w:p>
          <w:p>
            <w:pPr>
              <w:spacing w:before="0" w:after="0"/>
            </w:pPr>
            <w:r>
              <w:rPr>
                <w:rFonts w:ascii="Arial" w:cs="Arial" w:eastAsia="Arial" w:hAnsi="Arial"/>
                <w:b w:val="false"/>
                <w:bCs w:val="false"/>
                <w:color w:val="BBBBBB"/>
                <w:sz w:val="18"/>
                <w:szCs w:val="18"/>
              </w:rPr>
              <w:t xml:space="preserve">Sri Lanka  ·  CSE GSS+ · December 2025 · LKR 10B · Oversubscribed Day 1</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Issuer</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HNB PLC — Sri Lanka's second-largest private commercial bank. First sustainable bond issuer in Sri Lanka (distinct from green bonds — broader eligible categories). Rated AA-(lka) by Fitch.</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What Happened</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HNB issued LKR 10B in sustainable bonds on CSE in December 2025 — the largest GSS+ issuance to date at the time. Two tranches: 5-year and 7-year. AA- rated. Oversubscribed on the same day. The CSE CEO described it as 'a welcome new addition' to the GSS+ framework. First-ever sustainable bond (vs green bond) in Sri Lanka.</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What Sustainable Means</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A sustainability bond covers both green AND social use of proceeds — broader than a pure green bond. HNB's eligible categories included renewable energy, energy efficiency, AND social categories like affordable housing and financial inclusion. This is directly relevant to RDB: a sustainability bond lets RDB include its rural development, women's lending, and smallholder agriculture alongside green categories — one instrument covering the full RDB mission.</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Market Signal</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LKR 10B in one day. AA- rated. Investor appetite is not limited to small-ticket green bonds. Sri Lanka's institutional investors (pension funds, insurance, EPF/ETF) are actively seeking GSS+ instruments. Demand is not at capacity. There is room for RDB as the next issuer.</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The Precedent for RDB</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HNB is the 'proof of scale' case. It shows that a credible institution with a clear sustainability story can raise LKR 10B in a single day. RDB's story — 100% state-owned, government-guaranteed, serving 6 million rural Sri Lankans, agriculture-focused, climate-exposed — is the most compelling sustainability narrative of any bank in the country.</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8F4EC" w:val="clear"/>
            <w:tcMar>
              <w:top w:type="dxa" w:w="120"/>
              <w:left w:type="dxa" w:w="180"/>
              <w:bottom w:type="dxa" w:w="120"/>
              <w:right w:type="dxa" w:w="180"/>
            </w:tcMar>
          </w:tcPr>
          <w:p>
            <w:pPr>
              <w:spacing w:before="80" w:after="80"/>
            </w:pPr>
            <w:r>
              <w:rPr>
                <w:rFonts w:ascii="Arial" w:cs="Arial" w:eastAsia="Arial" w:hAnsi="Arial"/>
                <w:b/>
                <w:bCs/>
                <w:color w:val="1A7A4A"/>
                <w:sz w:val="18"/>
                <w:szCs w:val="18"/>
              </w:rPr>
              <w:t xml:space="preserve">🎯  WHAT THIS MEANS FOR THE RDB PLAY</w:t>
            </w:r>
          </w:p>
          <w:p>
            <w:pPr>
              <w:spacing w:before="40" w:after="40"/>
            </w:pPr>
            <w:r>
              <w:rPr>
                <w:rFonts w:ascii="Arial" w:cs="Arial" w:eastAsia="Arial" w:hAnsi="Arial"/>
                <w:b w:val="false"/>
                <w:bCs w:val="false"/>
                <w:color w:val="333333"/>
                <w:sz w:val="20"/>
                <w:szCs w:val="20"/>
              </w:rPr>
              <w:t xml:space="preserve">→  HNB's LKR 10B proves the market can absorb large issuances. RDB's first issuance should target LKR 3–5B (conservative) with the capacity to go bigger — sized below HNB to ensure oversubscription.</w:t>
            </w:r>
          </w:p>
          <w:p>
            <w:pPr>
              <w:spacing w:before="40" w:after="40"/>
            </w:pPr>
            <w:r>
              <w:rPr>
                <w:rFonts w:ascii="Arial" w:cs="Arial" w:eastAsia="Arial" w:hAnsi="Arial"/>
                <w:b w:val="false"/>
                <w:bCs w:val="false"/>
                <w:color w:val="333333"/>
                <w:sz w:val="20"/>
                <w:szCs w:val="20"/>
              </w:rPr>
              <w:t xml:space="preserve">→  A sustainability bond (not just green) is the right instrument for RDB — it covers the bank's full development mandate: agriculture, rural SMEs, women borrowers, coastal fisheries, AND renewable energy. This is our recommendation over a pure green bond.</w:t>
            </w:r>
          </w:p>
          <w:p>
            <w:pPr>
              <w:spacing w:before="40" w:after="40"/>
            </w:pPr>
            <w:r>
              <w:rPr>
                <w:rFonts w:ascii="Arial" w:cs="Arial" w:eastAsia="Arial" w:hAnsi="Arial"/>
                <w:b w:val="false"/>
                <w:bCs w:val="false"/>
                <w:color w:val="333333"/>
                <w:sz w:val="20"/>
                <w:szCs w:val="20"/>
              </w:rPr>
              <w:t xml:space="preserve">→  EPF, ETF, and life insurance companies are the dominant buyers of all four Sri Lanka GSS+ issuances so far. RDB's government ownership and state guarantee capacity makes it the most credit-safe GSS+ issuer possible — these buyers will come.</w:t>
            </w:r>
          </w:p>
        </w:tc>
      </w:tr>
    </w:tbl>
    <w:p>
      <w:pPr>
        <w:spacing w:before="50" w:after="50"/>
      </w:pPr>
      <w:r>
        <w:rPr>
          <w:rFonts w:ascii="Arial" w:cs="Arial" w:eastAsia="Arial" w:hAnsi="Arial"/>
          <w:b w:val="false"/>
          <w:bCs w:val="false"/>
          <w:color w:val="333333"/>
          <w:sz w:val="20"/>
          <w:szCs w:val="20"/>
        </w:rPr>
        <w:t xml:space="preserve"> </w:t>
      </w:r>
    </w:p>
    <w:p>
      <w:pPr>
        <w:spacing w:before="50" w:after="5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4A1A6E" w:val="clear"/>
            <w:tcMar>
              <w:top w:type="dxa" w:w="120"/>
              <w:left w:type="dxa" w:w="180"/>
              <w:bottom w:type="dxa" w:w="120"/>
              <w:right w:type="dxa" w:w="180"/>
            </w:tcMar>
          </w:tcPr>
          <w:p>
            <w:pPr>
              <w:spacing w:before="80" w:after="80"/>
            </w:pPr>
            <w:r>
              <w:rPr>
                <w:rFonts w:ascii="Arial" w:cs="Arial" w:eastAsia="Arial" w:hAnsi="Arial"/>
                <w:b/>
                <w:bCs/>
                <w:color w:val="C8960C"/>
                <w:sz w:val="18"/>
                <w:szCs w:val="18"/>
              </w:rPr>
              <w:t xml:space="preserve">CASE STUDY 4</w:t>
            </w:r>
          </w:p>
          <w:p>
            <w:pPr>
              <w:spacing w:before="80" w:after="80"/>
            </w:pPr>
            <w:r>
              <w:rPr>
                <w:rFonts w:ascii="Arial" w:cs="Arial" w:eastAsia="Arial" w:hAnsi="Arial"/>
                <w:b/>
                <w:bCs/>
                <w:color w:val="FFFFFF"/>
                <w:sz w:val="28"/>
                <w:szCs w:val="28"/>
              </w:rPr>
              <w:t xml:space="preserve">Bank Rakyat Indonesia (BRI) — Rural Development Bank → International Green Bond Issuer</w:t>
            </w:r>
          </w:p>
          <w:p>
            <w:pPr>
              <w:spacing w:before="0" w:after="0"/>
            </w:pPr>
            <w:r>
              <w:rPr>
                <w:rFonts w:ascii="Arial" w:cs="Arial" w:eastAsia="Arial" w:hAnsi="Arial"/>
                <w:b w:val="false"/>
                <w:bCs w:val="false"/>
                <w:color w:val="BBBBBB"/>
                <w:sz w:val="18"/>
                <w:szCs w:val="18"/>
              </w:rPr>
              <w:t xml:space="preserve">Indonesia  ·  USD 500M Green Bond · 2021 · IFC + ADB Cornerstone Investors · Rural Bank Transformation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Who</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Bank Rakyat Indonesia (BRI) — Indonesia's largest state-owned bank by total assets. Originally a rural microfinance bank, founded to serve smallholder farmers and rural communities. Over 9,000 branches and service points across Indonesia. Direct parallel to RDB in terms of mandate, ownership, and customer base.</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What</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BRI issued a USD 500 million green bond in the international market in 2021 — the largest green bond ever issued by an Indonesian bank at the time. The bond was oversubscribed at 5x demand. Use of proceeds: renewable energy, sustainable agriculture, green buildings, and water/wastewater management — the same categories relevant to RDB's loan book.</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The DFI Layer</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IFC and ADB acted as anchor investors — buying portions of the bond at issuance, which (a) gave international ESG fund managers confidence, (b) gave BRI a lower yield (cheaper funding), and (c) created the IFC relationship that led to subsequent concessional credit line agreements. The bond opened the DFI door; the door led to much cheaper long-term funding.</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Advisory</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BRI used an international sustainability advisor to prepare the Green Bond Framework, coordinate the Second Party Opinion (SPO) from an internationally recognised verifier, manage the roadshow with ESG fund managers in Singapore, London, and Hong Kong, and handle the ICMA Green Bond Principles alignment documentation.</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Outcome</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Post-bond, BRI has become one of Asia's leading green finance banks. IFC subsequently provided a USD 300M credit line specifically to expand BRI's green lending portfolio. ADB has provided technical assistance. BRI's cost of funding dropped by approximately 50–80 basis points for green-designated borrowings versus standard market rates. The bond was a door to a decade of concessional capital.</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8F4EC" w:val="clear"/>
            <w:tcMar>
              <w:top w:type="dxa" w:w="120"/>
              <w:left w:type="dxa" w:w="180"/>
              <w:bottom w:type="dxa" w:w="120"/>
              <w:right w:type="dxa" w:w="180"/>
            </w:tcMar>
          </w:tcPr>
          <w:p>
            <w:pPr>
              <w:spacing w:before="80" w:after="80"/>
            </w:pPr>
            <w:r>
              <w:rPr>
                <w:rFonts w:ascii="Arial" w:cs="Arial" w:eastAsia="Arial" w:hAnsi="Arial"/>
                <w:b/>
                <w:bCs/>
                <w:color w:val="1A7A4A"/>
                <w:sz w:val="18"/>
                <w:szCs w:val="18"/>
              </w:rPr>
              <w:t xml:space="preserve">🎯  WHAT THIS MEANS FOR THE RDB PLAY</w:t>
            </w:r>
          </w:p>
          <w:p>
            <w:pPr>
              <w:spacing w:before="40" w:after="40"/>
            </w:pPr>
            <w:r>
              <w:rPr>
                <w:rFonts w:ascii="Arial" w:cs="Arial" w:eastAsia="Arial" w:hAnsi="Arial"/>
                <w:b w:val="false"/>
                <w:bCs w:val="false"/>
                <w:color w:val="333333"/>
                <w:sz w:val="20"/>
                <w:szCs w:val="20"/>
              </w:rPr>
              <w:t xml:space="preserve">→  BRI is the RDB blueprint at scale. Same rural mandate, same state ownership, same smallholder agriculture focus. If BRI can issue USD 500M internationally with IFC/ADB as anchors, RDB can do LKR 3–5B domestically on CSE with ADB as cornerstone — with a very clear path to international issuance in Year 3.</w:t>
            </w:r>
          </w:p>
          <w:p>
            <w:pPr>
              <w:spacing w:before="40" w:after="40"/>
            </w:pPr>
            <w:r>
              <w:rPr>
                <w:rFonts w:ascii="Arial" w:cs="Arial" w:eastAsia="Arial" w:hAnsi="Arial"/>
                <w:b w:val="false"/>
                <w:bCs w:val="false"/>
                <w:color w:val="333333"/>
                <w:sz w:val="20"/>
                <w:szCs w:val="20"/>
              </w:rPr>
              <w:t xml:space="preserve">→  IFC and ADB as anchor investors is the key unlock. It is not about the bond size — it is about having credible DFI participation that signals international ESG fund managers. We pursue ADB as cornerstone investor in RDB's issuance from Day 1.</w:t>
            </w:r>
          </w:p>
          <w:p>
            <w:pPr>
              <w:spacing w:before="40" w:after="40"/>
            </w:pPr>
            <w:r>
              <w:rPr>
                <w:rFonts w:ascii="Arial" w:cs="Arial" w:eastAsia="Arial" w:hAnsi="Arial"/>
                <w:b w:val="false"/>
                <w:bCs w:val="false"/>
                <w:color w:val="333333"/>
                <w:sz w:val="20"/>
                <w:szCs w:val="20"/>
              </w:rPr>
              <w:t xml:space="preserve">→  The post-bond credit line (USD 300M from IFC to BRI) is the real prize. The bond itself is a door. Our advisory fee is for designing the door. The concessional credit line that follows is where the LKR billions in savings appear on RDB's balance sheet.</w:t>
            </w:r>
          </w:p>
        </w:tc>
      </w:tr>
    </w:tbl>
    <w:p>
      <w:pPr>
        <w:spacing w:before="50" w:after="50"/>
      </w:pPr>
      <w:r>
        <w:rPr>
          <w:rFonts w:ascii="Arial" w:cs="Arial" w:eastAsia="Arial" w:hAnsi="Arial"/>
          <w:b w:val="false"/>
          <w:bCs w:val="false"/>
          <w:color w:val="333333"/>
          <w:sz w:val="20"/>
          <w:szCs w:val="20"/>
        </w:rPr>
        <w:t xml:space="preserve"> </w:t>
      </w:r>
    </w:p>
    <w:p>
      <w:pPr>
        <w:spacing w:before="50" w:after="5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8B1A1A" w:val="clear"/>
            <w:tcMar>
              <w:top w:type="dxa" w:w="120"/>
              <w:left w:type="dxa" w:w="180"/>
              <w:bottom w:type="dxa" w:w="120"/>
              <w:right w:type="dxa" w:w="180"/>
            </w:tcMar>
          </w:tcPr>
          <w:p>
            <w:pPr>
              <w:spacing w:before="80" w:after="80"/>
            </w:pPr>
            <w:r>
              <w:rPr>
                <w:rFonts w:ascii="Arial" w:cs="Arial" w:eastAsia="Arial" w:hAnsi="Arial"/>
                <w:b/>
                <w:bCs/>
                <w:color w:val="C8960C"/>
                <w:sz w:val="18"/>
                <w:szCs w:val="18"/>
              </w:rPr>
              <w:t xml:space="preserve">CASE STUDY 5</w:t>
            </w:r>
          </w:p>
          <w:p>
            <w:pPr>
              <w:spacing w:before="80" w:after="80"/>
            </w:pPr>
            <w:r>
              <w:rPr>
                <w:rFonts w:ascii="Arial" w:cs="Arial" w:eastAsia="Arial" w:hAnsi="Arial"/>
                <w:b/>
                <w:bCs/>
                <w:color w:val="FFFFFF"/>
                <w:sz w:val="28"/>
                <w:szCs w:val="28"/>
              </w:rPr>
              <w:t xml:space="preserve">Bank of Ceylon — Largest Sustainability Bond Issuance in Sri Lanka</w:t>
            </w:r>
          </w:p>
          <w:p>
            <w:pPr>
              <w:spacing w:before="0" w:after="0"/>
            </w:pPr>
            <w:r>
              <w:rPr>
                <w:rFonts w:ascii="Arial" w:cs="Arial" w:eastAsia="Arial" w:hAnsi="Arial"/>
                <w:b w:val="false"/>
                <w:bCs w:val="false"/>
                <w:color w:val="BBBBBB"/>
                <w:sz w:val="18"/>
                <w:szCs w:val="18"/>
              </w:rPr>
              <w:t xml:space="preserve">Sri Lanka  ·  CSE GSS+ · December 2025 · First State-Owned Bank GSS+ Bond · Oversubscribed Day 1</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Issuer</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Bank of Ceylon (BOC) — Sri Lanka's largest state-owned commercial bank, the dominant institution in retail, corporate, and government banking.</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What Happened</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BOC issued Sri Lanka's largest ever sustainability bond in December 2025, on the same day as HNB. It was a Basel III-compliant Tier II instrument — meaning it was capital-raising for the bank's regulatory capital base, not a use-of-proceeds green lending bond. Oversubscribed and closed on Day 1. BOC described it as 'the maiden sustainability bond launched by a state-owned bank.'</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Critical Distinction</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BOC's bond was Basel III Tier II capital — it raised regulatory capital, not green lending capital. The proceeds are NOT ring-fenced for a green use of proceeds. This is NOT what we are proposing for RDB. RDB's bond would be a genuine use-of-proceeds sustainability bond where every rupee raised is allocated to documented green and social lending categories — which is what IFC, ADB, and ESG fund managers specifically require.</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Why This Matters</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BOC proved state-owned Sri Lankan banks CAN issue GSS+ bonds on CSE and they WILL be oversubscribed. It removes the last institutional hesitation. But BOC's instrument, while labeled 'sustainability,' is structurally a debenture for capital adequacy purposes. RDB's instrument would be structurally superior from an ESG perspective — genuine impact, measurable outcomes, IFC-eligible.</w:t>
            </w:r>
          </w:p>
        </w:tc>
      </w:tr>
      <w:tr>
        <w:tc>
          <w:tcPr>
            <w:tcW w:type="dxa" w:w="26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pPr>
              <w:spacing w:before="80" w:after="80"/>
            </w:pPr>
            <w:r>
              <w:rPr>
                <w:rFonts w:ascii="Arial" w:cs="Arial" w:eastAsia="Arial" w:hAnsi="Arial"/>
                <w:b/>
                <w:bCs/>
                <w:color w:val="1B3A5C"/>
                <w:sz w:val="18"/>
                <w:szCs w:val="18"/>
              </w:rPr>
              <w:t xml:space="preserve">The Positioning</w:t>
            </w:r>
          </w:p>
        </w:tc>
        <w:tc>
          <w:tcPr>
            <w:tcW w:type="dxa" w:w="7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RDB's bond can legitimately claim to be the FIRST genuine use-of-proceeds development mandate sustainability bond by a state-owned institution in Sri Lanka. BOC's bond does not qualify for that claim because its proceeds are not restricted to green/social use. This distinction is the marketing hook for ESG fund managers and international DFI investors.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8F4EC" w:val="clear"/>
            <w:tcMar>
              <w:top w:type="dxa" w:w="120"/>
              <w:left w:type="dxa" w:w="180"/>
              <w:bottom w:type="dxa" w:w="120"/>
              <w:right w:type="dxa" w:w="180"/>
            </w:tcMar>
          </w:tcPr>
          <w:p>
            <w:pPr>
              <w:spacing w:before="80" w:after="80"/>
            </w:pPr>
            <w:r>
              <w:rPr>
                <w:rFonts w:ascii="Arial" w:cs="Arial" w:eastAsia="Arial" w:hAnsi="Arial"/>
                <w:b/>
                <w:bCs/>
                <w:color w:val="1A7A4A"/>
                <w:sz w:val="18"/>
                <w:szCs w:val="18"/>
              </w:rPr>
              <w:t xml:space="preserve">🎯  WHAT THIS MEANS FOR THE RDB PLAY</w:t>
            </w:r>
          </w:p>
          <w:p>
            <w:pPr>
              <w:spacing w:before="40" w:after="40"/>
            </w:pPr>
            <w:r>
              <w:rPr>
                <w:rFonts w:ascii="Arial" w:cs="Arial" w:eastAsia="Arial" w:hAnsi="Arial"/>
                <w:b w:val="false"/>
                <w:bCs w:val="false"/>
                <w:color w:val="333333"/>
                <w:sz w:val="20"/>
                <w:szCs w:val="20"/>
              </w:rPr>
              <w:t xml:space="preserve">→  BOC broke the state bank barrier. RDB goes second — but with a structurally stronger instrument that international ESG investors, IFC, and ADB can participate in. That distinction is the marketing narrative.</w:t>
            </w:r>
          </w:p>
          <w:p>
            <w:pPr>
              <w:spacing w:before="40" w:after="40"/>
            </w:pPr>
            <w:r>
              <w:rPr>
                <w:rFonts w:ascii="Arial" w:cs="Arial" w:eastAsia="Arial" w:hAnsi="Arial"/>
                <w:b w:val="false"/>
                <w:bCs w:val="false"/>
                <w:color w:val="333333"/>
                <w:sz w:val="20"/>
                <w:szCs w:val="20"/>
              </w:rPr>
              <w:t xml:space="preserve">→  The BOC precedent tells RDB's Chairman: the Ministry of Finance and government will not object. A state bank has already done it. The path is open.</w:t>
            </w:r>
          </w:p>
          <w:p>
            <w:pPr>
              <w:spacing w:before="40" w:after="40"/>
            </w:pPr>
            <w:r>
              <w:rPr>
                <w:rFonts w:ascii="Arial" w:cs="Arial" w:eastAsia="Arial" w:hAnsi="Arial"/>
                <w:b w:val="false"/>
                <w:bCs w:val="false"/>
                <w:color w:val="333333"/>
                <w:sz w:val="20"/>
                <w:szCs w:val="20"/>
              </w:rPr>
              <w:t xml:space="preserve">→  We pitch RDB as 'the development bank answer to BOC's commercial bank bond.' Two different audiences, two different stories, zero competition.</w:t>
            </w:r>
          </w:p>
        </w:tc>
      </w:tr>
    </w:tbl>
    <w:p>
      <w:pPr>
        <w:spacing w:before="50" w:after="50"/>
      </w:pPr>
      <w:r>
        <w:rPr>
          <w:rFonts w:ascii="Arial" w:cs="Arial" w:eastAsia="Arial" w:hAnsi="Arial"/>
          <w:b w:val="false"/>
          <w:bCs w:val="false"/>
          <w:color w:val="333333"/>
          <w:sz w:val="20"/>
          <w:szCs w:val="20"/>
        </w:rPr>
        <w:t xml:space="preserve"> </w:t>
      </w:r>
    </w:p>
    <w:p>
      <w:r>
        <w:br w:type="page"/>
      </w:r>
    </w:p>
    <w:p>
      <w:pPr>
        <w:pStyle w:val="Heading1"/>
        <w:spacing w:before="300" w:after="120"/>
      </w:pPr>
      <w:r>
        <w:rPr>
          <w:rFonts w:ascii="Arial" w:cs="Arial" w:eastAsia="Arial" w:hAnsi="Arial"/>
          <w:b/>
          <w:bCs/>
          <w:color w:val="1B3A5C"/>
          <w:sz w:val="38"/>
          <w:szCs w:val="38"/>
        </w:rPr>
        <w:t xml:space="preserve">PART 2 — THE BUSINESS MODEL</w:t>
      </w:r>
    </w:p>
    <w:p>
      <w:pPr>
        <w:spacing w:before="80" w:after="80"/>
      </w:pPr>
      <w:r>
        <w:rPr>
          <w:rFonts w:ascii="Arial" w:cs="Arial" w:eastAsia="Arial" w:hAnsi="Arial"/>
          <w:b w:val="false"/>
          <w:bCs w:val="false"/>
          <w:color w:val="333333"/>
          <w:sz w:val="20"/>
          <w:szCs w:val="20"/>
        </w:rPr>
        <w:t xml:space="preserve">This section sets out the complete advisory model for the RDB Green Bond and Sustainability Bond issuance. We are the sustainability advisor and DFI relationship manager. We never touch the money, hold securities, or act as arranger.</w:t>
      </w:r>
    </w:p>
    <w:p>
      <w:pPr>
        <w:spacing w:before="50" w:after="50"/>
      </w:pPr>
      <w:r>
        <w:rPr>
          <w:rFonts w:ascii="Arial" w:cs="Arial" w:eastAsia="Arial" w:hAnsi="Arial"/>
          <w:b w:val="false"/>
          <w:bCs w:val="false"/>
          <w:color w:val="333333"/>
          <w:sz w:val="20"/>
          <w:szCs w:val="20"/>
        </w:rPr>
        <w:t xml:space="preserve"> </w:t>
      </w:r>
    </w:p>
    <w:p>
      <w:pPr>
        <w:pBdr>
          <w:bottom w:val="single" w:color="0D6E6E" w:sz="4" w:space="1"/>
        </w:pBdr>
        <w:spacing w:before="120" w:after="120"/>
      </w:pPr>
      <w:r>
        <w:rPr>
          <w:rFonts w:ascii="Arial" w:cs="Arial" w:eastAsia="Arial" w:hAnsi="Arial"/>
          <w:b w:val="false"/>
          <w:bCs w:val="false"/>
          <w:color w:val="333333"/>
          <w:sz w:val="20"/>
          <w:szCs w:val="20"/>
        </w:rPr>
        <w:t xml:space="preserve"/>
      </w:r>
    </w:p>
    <w:p>
      <w:pPr>
        <w:spacing w:before="50" w:after="50"/>
      </w:pPr>
      <w:r>
        <w:rPr>
          <w:rFonts w:ascii="Arial" w:cs="Arial" w:eastAsia="Arial" w:hAnsi="Arial"/>
          <w:b w:val="false"/>
          <w:bCs w:val="false"/>
          <w:color w:val="333333"/>
          <w:sz w:val="20"/>
          <w:szCs w:val="20"/>
        </w:rPr>
        <w:t xml:space="preserve"> </w:t>
      </w:r>
    </w:p>
    <w:p>
      <w:pPr>
        <w:pStyle w:val="Heading2"/>
        <w:spacing w:before="240" w:after="100"/>
      </w:pPr>
      <w:r>
        <w:rPr>
          <w:rFonts w:ascii="Arial" w:cs="Arial" w:eastAsia="Arial" w:hAnsi="Arial"/>
          <w:b/>
          <w:bCs/>
          <w:color w:val="0D6E6E"/>
          <w:sz w:val="28"/>
          <w:szCs w:val="28"/>
        </w:rPr>
        <w:t xml:space="preserve">1.  The Opportunity in One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333333"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RDB Today</w:t>
            </w:r>
          </w:p>
        </w:tc>
        <w:tc>
          <w:tcPr>
            <w:tcW w:type="dxa" w:w="3360"/>
            <w:tcBorders>
              <w:top w:val="single" w:color="CCCCCC" w:sz="1"/>
              <w:left w:val="single" w:color="CCCCCC" w:sz="1"/>
              <w:bottom w:val="single" w:color="CCCCCC" w:sz="1"/>
              <w:right w:val="single" w:color="CCCCCC" w:sz="1"/>
            </w:tcBorders>
            <w:shd w:fill="0D6E6E"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The Gap We Fill</w:t>
            </w:r>
          </w:p>
        </w:tc>
        <w:tc>
          <w:tcPr>
            <w:tcW w:type="dxa" w:w="3360"/>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RDB After Bond</w:t>
            </w:r>
          </w:p>
        </w:tc>
      </w:tr>
      <w:tr>
        <w:tc>
          <w:tcPr>
            <w:tcW w:type="dxa" w:w="3360"/>
            <w:tcBorders>
              <w:top w:val="single" w:color="CCCCCC" w:sz="1"/>
              <w:left w:val="single" w:color="CCCCCC" w:sz="1"/>
              <w:bottom w:val="single" w:color="CCCCCC" w:sz="1"/>
              <w:right w:val="single" w:color="CCCCCC" w:sz="1"/>
            </w:tcBorders>
            <w:shd w:fill="FDF0F0"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20"/>
                <w:szCs w:val="20"/>
              </w:rPr>
              <w:t xml:space="preserve">Funds loan book via CBSL refinancing facilities and Treasury. Expensive, short-tenor, no ESG label. Cannot access IFC/ADB green credit lines. No CSE presence.</w:t>
            </w:r>
          </w:p>
        </w:tc>
        <w:tc>
          <w:tcPr>
            <w:tcW w:type="dxa" w:w="3360"/>
            <w:tcBorders>
              <w:top w:val="single" w:color="CCCCCC" w:sz="1"/>
              <w:left w:val="single" w:color="CCCCCC" w:sz="1"/>
              <w:bottom w:val="single" w:color="CCCCCC" w:sz="1"/>
              <w:right w:val="single" w:color="CCCCCC" w:sz="1"/>
            </w:tcBorders>
            <w:shd w:fill="FDF6E3"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20"/>
                <w:szCs w:val="20"/>
              </w:rPr>
              <w:t xml:space="preserve">We design the Sustainability Bond Framework, coordinate SPO, manage Fitch/rating process, structure the DFI cornerstone conversation, handle CSE GSS+ listing, produce the impact reporting template. RDB pays us. We connect every specialist.</w:t>
            </w:r>
          </w:p>
        </w:tc>
        <w:tc>
          <w:tcPr>
            <w:tcW w:type="dxa" w:w="336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20"/>
                <w:szCs w:val="20"/>
              </w:rPr>
              <w:t xml:space="preserve">LKR 3–5B raised on CSE at competitive rates. ADB as cornerstone investor. IFC credit line conversations opened. State's premier development bank now has a capital markets presence. New Chairman's flagship achievement.</w:t>
            </w:r>
          </w:p>
        </w:tc>
      </w:tr>
    </w:tbl>
    <w:p>
      <w:pPr>
        <w:spacing w:before="100" w:after="100"/>
      </w:pPr>
      <w:r>
        <w:rPr>
          <w:rFonts w:ascii="Arial" w:cs="Arial" w:eastAsia="Arial" w:hAnsi="Arial"/>
          <w:b w:val="false"/>
          <w:bCs w:val="false"/>
          <w:color w:val="333333"/>
          <w:sz w:val="20"/>
          <w:szCs w:val="20"/>
        </w:rPr>
        <w:t xml:space="preserve"> </w:t>
      </w:r>
    </w:p>
    <w:p>
      <w:pPr>
        <w:pStyle w:val="Heading2"/>
        <w:spacing w:before="240" w:after="100"/>
      </w:pPr>
      <w:r>
        <w:rPr>
          <w:rFonts w:ascii="Arial" w:cs="Arial" w:eastAsia="Arial" w:hAnsi="Arial"/>
          <w:b/>
          <w:bCs/>
          <w:color w:val="0D6E6E"/>
          <w:sz w:val="28"/>
          <w:szCs w:val="28"/>
        </w:rPr>
        <w:t xml:space="preserve">2.  The Right Instrument: Sustainability Bond, Not Just Green Bond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EF2F8" w:val="clear"/>
            <w:tcMar>
              <w:top w:type="dxa" w:w="120"/>
              <w:left w:type="dxa" w:w="180"/>
              <w:bottom w:type="dxa" w:w="120"/>
              <w:right w:type="dxa" w:w="180"/>
            </w:tcMar>
          </w:tcPr>
          <w:p>
            <w:pPr>
              <w:spacing w:before="80" w:after="80"/>
            </w:pPr>
            <w:r>
              <w:rPr>
                <w:rFonts w:ascii="Arial" w:cs="Arial" w:eastAsia="Arial" w:hAnsi="Arial"/>
                <w:b/>
                <w:bCs/>
                <w:color w:val="1B3A5C"/>
                <w:sz w:val="22"/>
                <w:szCs w:val="22"/>
              </w:rPr>
              <w:t xml:space="preserve">Why a Sustainability Bond, not a Green Bond</w:t>
            </w:r>
          </w:p>
          <w:p>
            <w:pPr>
              <w:spacing w:before="80" w:after="80"/>
            </w:pPr>
            <w:r>
              <w:rPr>
                <w:rFonts w:ascii="Arial" w:cs="Arial" w:eastAsia="Arial" w:hAnsi="Arial"/>
                <w:b w:val="false"/>
                <w:bCs w:val="false"/>
                <w:color w:val="333333"/>
                <w:sz w:val="20"/>
                <w:szCs w:val="20"/>
              </w:rPr>
              <w:t xml:space="preserve">A pure green bond restricts proceeds to environmental categories only. For RDB, that would limit eligible categories to solar/renewable energy and water — ignoring 70% of RDB's loan book which is agriculture, fisheries, livestock, rural MSMEs, and women borrowers. A sustainability bond (ICMA Social Bond Principles + Green Bond Principles combined) allows RDB to include both environmental AND social use of proceeds — covering its full development mandate. HNB chose this instrument in December 2025 for the same reason.</w:t>
            </w:r>
          </w:p>
        </w:tc>
      </w:tr>
    </w:tbl>
    <w:p>
      <w:pPr>
        <w:spacing w:before="50" w:after="5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4200"/>
        <w:gridCol w:w="4200"/>
      </w:tblGrid>
      <w:tr>
        <w:tc>
          <w:tcPr>
            <w:tcW w:type="dxa" w:w="16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Category</w:t>
            </w:r>
          </w:p>
        </w:tc>
        <w:tc>
          <w:tcPr>
            <w:tcW w:type="dxa" w:w="4200"/>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Green Eligible Sub-Categories</w:t>
            </w:r>
          </w:p>
        </w:tc>
        <w:tc>
          <w:tcPr>
            <w:tcW w:type="dxa" w:w="4200"/>
            <w:tcBorders>
              <w:top w:val="single" w:color="CCCCCC" w:sz="1"/>
              <w:left w:val="single" w:color="CCCCCC" w:sz="1"/>
              <w:bottom w:val="single" w:color="CCCCCC" w:sz="1"/>
              <w:right w:val="single" w:color="CCCCCC" w:sz="1"/>
            </w:tcBorders>
            <w:shd w:fill="0D6E6E"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Social Eligible Sub-Categories</w:t>
            </w:r>
          </w:p>
        </w:tc>
      </w:tr>
      <w:tr>
        <w:tc>
          <w:tcPr>
            <w:tcW w:type="dxa" w:w="1680"/>
            <w:tcBorders>
              <w:top w:val="single" w:color="CCCCCC" w:sz="1"/>
              <w:left w:val="single" w:color="CCCCCC" w:sz="1"/>
              <w:bottom w:val="single" w:color="CCCCCC" w:sz="1"/>
              <w:right w:val="single" w:color="CCCCCC" w:sz="1"/>
            </w:tcBorders>
            <w:shd w:fill="E0F2F2" w:val="clear"/>
            <w:tcMar>
              <w:top w:type="dxa" w:w="100"/>
              <w:left w:type="dxa" w:w="140"/>
              <w:bottom w:type="dxa" w:w="100"/>
              <w:right w:type="dxa" w:w="140"/>
            </w:tcMar>
            <w:vAlign w:val="top"/>
          </w:tcPr>
          <w:p>
            <w:pPr>
              <w:spacing w:before="80" w:after="80"/>
            </w:pPr>
            <w:r>
              <w:rPr>
                <w:rFonts w:ascii="Arial" w:cs="Arial" w:eastAsia="Arial" w:hAnsi="Arial"/>
                <w:b/>
                <w:bCs/>
                <w:color w:val="0D6E6E"/>
                <w:sz w:val="19"/>
                <w:szCs w:val="19"/>
              </w:rPr>
              <w:t xml:space="preserve">Agriculture &amp; Food</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Organic and RA-certified farming inputs, water-efficient irrigation, agroforestry carbon projects, climate-resilient crop varieties</w:t>
            </w:r>
          </w:p>
        </w:tc>
        <w:tc>
          <w:tcPr>
            <w:tcW w:type="dxa" w:w="4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Smallholder farmer lending, women agricultural borrowers, food security projects in underserved districts</w:t>
            </w:r>
          </w:p>
        </w:tc>
      </w:tr>
      <w:tr>
        <w:tc>
          <w:tcPr>
            <w:tcW w:type="dxa" w:w="1680"/>
            <w:tcBorders>
              <w:top w:val="single" w:color="CCCCCC" w:sz="1"/>
              <w:left w:val="single" w:color="CCCCCC" w:sz="1"/>
              <w:bottom w:val="single" w:color="CCCCCC" w:sz="1"/>
              <w:right w:val="single" w:color="CCCCCC" w:sz="1"/>
            </w:tcBorders>
            <w:shd w:fill="E0F2F2" w:val="clear"/>
            <w:tcMar>
              <w:top w:type="dxa" w:w="100"/>
              <w:left w:type="dxa" w:w="140"/>
              <w:bottom w:type="dxa" w:w="100"/>
              <w:right w:type="dxa" w:w="140"/>
            </w:tcMar>
            <w:vAlign w:val="top"/>
          </w:tcPr>
          <w:p>
            <w:pPr>
              <w:spacing w:before="80" w:after="80"/>
            </w:pPr>
            <w:r>
              <w:rPr>
                <w:rFonts w:ascii="Arial" w:cs="Arial" w:eastAsia="Arial" w:hAnsi="Arial"/>
                <w:b/>
                <w:bCs/>
                <w:color w:val="0D6E6E"/>
                <w:sz w:val="19"/>
                <w:szCs w:val="19"/>
              </w:rPr>
              <w:t xml:space="preserve">Energy</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Rooftop solar for SMEs and households, biogas plants, biomass energy, energy-efficient equipment for factories</w:t>
            </w:r>
          </w:p>
        </w:tc>
        <w:tc>
          <w:tcPr>
            <w:tcW w:type="dxa" w:w="4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Rural electrification (solar home systems), productive use of energy for rural micro-enterprises</w:t>
            </w:r>
          </w:p>
        </w:tc>
      </w:tr>
      <w:tr>
        <w:tc>
          <w:tcPr>
            <w:tcW w:type="dxa" w:w="1680"/>
            <w:tcBorders>
              <w:top w:val="single" w:color="CCCCCC" w:sz="1"/>
              <w:left w:val="single" w:color="CCCCCC" w:sz="1"/>
              <w:bottom w:val="single" w:color="CCCCCC" w:sz="1"/>
              <w:right w:val="single" w:color="CCCCCC" w:sz="1"/>
            </w:tcBorders>
            <w:shd w:fill="E0F2F2" w:val="clear"/>
            <w:tcMar>
              <w:top w:type="dxa" w:w="100"/>
              <w:left w:type="dxa" w:w="140"/>
              <w:bottom w:type="dxa" w:w="100"/>
              <w:right w:type="dxa" w:w="140"/>
            </w:tcMar>
            <w:vAlign w:val="top"/>
          </w:tcPr>
          <w:p>
            <w:pPr>
              <w:spacing w:before="80" w:after="80"/>
            </w:pPr>
            <w:r>
              <w:rPr>
                <w:rFonts w:ascii="Arial" w:cs="Arial" w:eastAsia="Arial" w:hAnsi="Arial"/>
                <w:b/>
                <w:bCs/>
                <w:color w:val="0D6E6E"/>
                <w:sz w:val="19"/>
                <w:szCs w:val="19"/>
              </w:rPr>
              <w:t xml:space="preserve">Natural Resources</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Mangrove restoration finance, sustainable forestry, clean water systems, watershed protection</w:t>
            </w:r>
          </w:p>
        </w:tc>
        <w:tc>
          <w:tcPr>
            <w:tcW w:type="dxa" w:w="4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Coastal community fisheries lending, sustainable aquaculture for Northern/Eastern province communities</w:t>
            </w:r>
          </w:p>
        </w:tc>
      </w:tr>
      <w:tr>
        <w:tc>
          <w:tcPr>
            <w:tcW w:type="dxa" w:w="1680"/>
            <w:tcBorders>
              <w:top w:val="single" w:color="CCCCCC" w:sz="1"/>
              <w:left w:val="single" w:color="CCCCCC" w:sz="1"/>
              <w:bottom w:val="single" w:color="CCCCCC" w:sz="1"/>
              <w:right w:val="single" w:color="CCCCCC" w:sz="1"/>
            </w:tcBorders>
            <w:shd w:fill="E0F2F2" w:val="clear"/>
            <w:tcMar>
              <w:top w:type="dxa" w:w="100"/>
              <w:left w:type="dxa" w:w="140"/>
              <w:bottom w:type="dxa" w:w="100"/>
              <w:right w:type="dxa" w:w="140"/>
            </w:tcMar>
            <w:vAlign w:val="top"/>
          </w:tcPr>
          <w:p>
            <w:pPr>
              <w:spacing w:before="80" w:after="80"/>
            </w:pPr>
            <w:r>
              <w:rPr>
                <w:rFonts w:ascii="Arial" w:cs="Arial" w:eastAsia="Arial" w:hAnsi="Arial"/>
                <w:b/>
                <w:bCs/>
                <w:color w:val="0D6E6E"/>
                <w:sz w:val="19"/>
                <w:szCs w:val="19"/>
              </w:rPr>
              <w:t xml:space="preserve">SME &amp; Microfinance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Green building upgrades, EV leasing, waste reduction equipment</w:t>
            </w:r>
          </w:p>
        </w:tc>
        <w:tc>
          <w:tcPr>
            <w:tcW w:type="dxa" w:w="4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Micro-enterprise lending for conflict-affected communities, women-owned SME loans, youth entrepreneur loans</w:t>
            </w:r>
          </w:p>
        </w:tc>
      </w:tr>
      <w:tr>
        <w:tc>
          <w:tcPr>
            <w:tcW w:type="dxa" w:w="1680"/>
            <w:tcBorders>
              <w:top w:val="single" w:color="CCCCCC" w:sz="1"/>
              <w:left w:val="single" w:color="CCCCCC" w:sz="1"/>
              <w:bottom w:val="single" w:color="CCCCCC" w:sz="1"/>
              <w:right w:val="single" w:color="CCCCCC" w:sz="1"/>
            </w:tcBorders>
            <w:shd w:fill="E0F2F2" w:val="clear"/>
            <w:tcMar>
              <w:top w:type="dxa" w:w="100"/>
              <w:left w:type="dxa" w:w="140"/>
              <w:bottom w:type="dxa" w:w="100"/>
              <w:right w:type="dxa" w:w="140"/>
            </w:tcMar>
            <w:vAlign w:val="top"/>
          </w:tcPr>
          <w:p>
            <w:pPr>
              <w:spacing w:before="80" w:after="80"/>
            </w:pPr>
            <w:r>
              <w:rPr>
                <w:rFonts w:ascii="Arial" w:cs="Arial" w:eastAsia="Arial" w:hAnsi="Arial"/>
                <w:b/>
                <w:bCs/>
                <w:color w:val="0D6E6E"/>
                <w:sz w:val="19"/>
                <w:szCs w:val="19"/>
              </w:rPr>
              <w:t xml:space="preserve">Tourism</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GSTC certification finance for boutique hotels, eco-lodge upgrades</w:t>
            </w:r>
          </w:p>
        </w:tc>
        <w:tc>
          <w:tcPr>
            <w:tcW w:type="dxa" w:w="4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Rural community tourism infrastructure, home-stay financing in remote areas</w:t>
            </w:r>
          </w:p>
        </w:tc>
      </w:tr>
    </w:tbl>
    <w:p>
      <w:pPr>
        <w:spacing w:before="100" w:after="100"/>
      </w:pPr>
      <w:r>
        <w:rPr>
          <w:rFonts w:ascii="Arial" w:cs="Arial" w:eastAsia="Arial" w:hAnsi="Arial"/>
          <w:b w:val="false"/>
          <w:bCs w:val="false"/>
          <w:color w:val="333333"/>
          <w:sz w:val="20"/>
          <w:szCs w:val="20"/>
        </w:rPr>
        <w:t xml:space="preserve"> </w:t>
      </w:r>
    </w:p>
    <w:p>
      <w:pPr>
        <w:pStyle w:val="Heading2"/>
        <w:spacing w:before="240" w:after="100"/>
      </w:pPr>
      <w:r>
        <w:rPr>
          <w:rFonts w:ascii="Arial" w:cs="Arial" w:eastAsia="Arial" w:hAnsi="Arial"/>
          <w:b/>
          <w:bCs/>
          <w:color w:val="0D6E6E"/>
          <w:sz w:val="28"/>
          <w:szCs w:val="28"/>
        </w:rPr>
        <w:t xml:space="preserve">3.  Our Revenue Streams — Four Layers</w:t>
      </w:r>
    </w:p>
    <w:p>
      <w:pPr>
        <w:spacing w:before="80" w:after="80"/>
      </w:pPr>
      <w:r>
        <w:rPr>
          <w:rFonts w:ascii="Arial" w:cs="Arial" w:eastAsia="Arial" w:hAnsi="Arial"/>
          <w:b w:val="false"/>
          <w:bCs w:val="false"/>
          <w:color w:val="333333"/>
          <w:sz w:val="20"/>
          <w:szCs w:val="20"/>
        </w:rPr>
        <w:t xml:space="preserve">We earn from the issuance process AND from the DFI relationship that the bond opens. These are four distinct, non-competing fee streams.</w:t>
      </w:r>
    </w:p>
    <w:p>
      <w:pPr>
        <w:spacing w:before="50" w:after="5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480"/>
        <w:gridCol w:w="1700"/>
        <w:gridCol w:w="1700"/>
      </w:tblGrid>
      <w:tr>
        <w:tc>
          <w:tcPr>
            <w:tcW w:type="dxa" w:w="2200"/>
            <w:tcBorders>
              <w:top w:val="single" w:color="CCCCCC" w:sz="1"/>
              <w:left w:val="single" w:color="CCCCCC" w:sz="1"/>
              <w:bottom w:val="single" w:color="CCCCCC" w:sz="1"/>
              <w:right w:val="single" w:color="CCCCCC" w:sz="1"/>
            </w:tcBorders>
            <w:shd w:fill="0D6E6E"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Revenue Stream</w:t>
            </w:r>
          </w:p>
        </w:tc>
        <w:tc>
          <w:tcPr>
            <w:tcW w:type="dxa" w:w="4480"/>
            <w:tcBorders>
              <w:top w:val="single" w:color="CCCCCC" w:sz="1"/>
              <w:left w:val="single" w:color="CCCCCC" w:sz="1"/>
              <w:bottom w:val="single" w:color="CCCCCC" w:sz="1"/>
              <w:right w:val="single" w:color="CCCCCC" w:sz="1"/>
            </w:tcBorders>
            <w:shd w:fill="0D6E6E"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Description</w:t>
            </w:r>
          </w:p>
        </w:tc>
        <w:tc>
          <w:tcPr>
            <w:tcW w:type="dxa" w:w="1700"/>
            <w:tcBorders>
              <w:top w:val="single" w:color="CCCCCC" w:sz="1"/>
              <w:left w:val="single" w:color="CCCCCC" w:sz="1"/>
              <w:bottom w:val="single" w:color="CCCCCC" w:sz="1"/>
              <w:right w:val="single" w:color="CCCCCC" w:sz="1"/>
            </w:tcBorders>
            <w:shd w:fill="0D6E6E"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Fee</w:t>
            </w:r>
          </w:p>
        </w:tc>
        <w:tc>
          <w:tcPr>
            <w:tcW w:type="dxa" w:w="1700"/>
            <w:tcBorders>
              <w:top w:val="single" w:color="CCCCCC" w:sz="1"/>
              <w:left w:val="single" w:color="CCCCCC" w:sz="1"/>
              <w:bottom w:val="single" w:color="CCCCCC" w:sz="1"/>
              <w:right w:val="single" w:color="CCCCCC" w:sz="1"/>
            </w:tcBorders>
            <w:shd w:fill="0D6E6E"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When Paid</w:t>
            </w:r>
          </w:p>
        </w:tc>
      </w:tr>
      <w:tr>
        <w:tc>
          <w:tcPr>
            <w:tcW w:type="dxa" w:w="2200"/>
            <w:tcBorders>
              <w:top w:val="single" w:color="CCCCCC" w:sz="1"/>
              <w:left w:val="single" w:color="CCCCCC" w:sz="1"/>
              <w:bottom w:val="single" w:color="CCCCCC" w:sz="1"/>
              <w:right w:val="single" w:color="CCCCCC" w:sz="1"/>
            </w:tcBorders>
            <w:shd w:fill="E0F2F2" w:val="clear"/>
            <w:tcMar>
              <w:top w:type="dxa" w:w="100"/>
              <w:left w:type="dxa" w:w="140"/>
              <w:bottom w:type="dxa" w:w="100"/>
              <w:right w:type="dxa" w:w="140"/>
            </w:tcMar>
          </w:tcPr>
          <w:p>
            <w:pPr>
              <w:spacing w:before="80" w:after="80"/>
            </w:pPr>
            <w:r>
              <w:rPr>
                <w:rFonts w:ascii="Arial" w:cs="Arial" w:eastAsia="Arial" w:hAnsi="Arial"/>
                <w:b/>
                <w:bCs/>
                <w:color w:val="0D6E6E"/>
                <w:sz w:val="19"/>
                <w:szCs w:val="19"/>
              </w:rPr>
              <w:t xml:space="preserve">Sustainability Framework Advisory</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19"/>
                <w:szCs w:val="19"/>
              </w:rPr>
              <w:t xml:space="preserve">We design RDB's Sustainability Bond Framework — the core governing document that defines eligible categories, use-of-proceeds rules, project selection criteria, reporting templates, and ICMA alignment. This document is what the SPO provider verifies, what Fitch rates against, and what IFC/ADB reviews. It is the foundation of the entire transaction.</w:t>
            </w:r>
          </w:p>
        </w:tc>
        <w:tc>
          <w:tcPr>
            <w:tcW w:type="dxa" w:w="17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tcPr>
          <w:p>
            <w:pPr>
              <w:spacing w:before="80" w:after="80"/>
            </w:pPr>
            <w:r>
              <w:rPr>
                <w:rFonts w:ascii="Arial" w:cs="Arial" w:eastAsia="Arial" w:hAnsi="Arial"/>
                <w:b/>
                <w:bCs/>
                <w:color w:val="1A7A4A"/>
                <w:sz w:val="18"/>
                <w:szCs w:val="18"/>
              </w:rPr>
              <w:t xml:space="preserve">LKR 8–20M</w:t>
            </w:r>
          </w:p>
        </w:tc>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80" w:after="80"/>
            </w:pPr>
            <w:r>
              <w:rPr>
                <w:rFonts w:ascii="Arial" w:cs="Arial" w:eastAsia="Arial" w:hAnsi="Arial"/>
                <w:b w:val="false"/>
                <w:bCs w:val="false"/>
                <w:color w:val="555555"/>
                <w:sz w:val="18"/>
                <w:szCs w:val="18"/>
              </w:rPr>
              <w:t xml:space="preserve">Invoiced 50% on engagement, 50% on framework delivery (Month 1–2)</w:t>
            </w:r>
          </w:p>
        </w:tc>
      </w:tr>
      <w:tr>
        <w:tc>
          <w:tcPr>
            <w:tcW w:type="dxa" w:w="2200"/>
            <w:tcBorders>
              <w:top w:val="single" w:color="CCCCCC" w:sz="1"/>
              <w:left w:val="single" w:color="CCCCCC" w:sz="1"/>
              <w:bottom w:val="single" w:color="CCCCCC" w:sz="1"/>
              <w:right w:val="single" w:color="CCCCCC" w:sz="1"/>
            </w:tcBorders>
            <w:shd w:fill="E0F2F2" w:val="clear"/>
            <w:tcMar>
              <w:top w:type="dxa" w:w="100"/>
              <w:left w:type="dxa" w:w="140"/>
              <w:bottom w:type="dxa" w:w="100"/>
              <w:right w:type="dxa" w:w="140"/>
            </w:tcMar>
          </w:tcPr>
          <w:p>
            <w:pPr>
              <w:spacing w:before="80" w:after="80"/>
            </w:pPr>
            <w:r>
              <w:rPr>
                <w:rFonts w:ascii="Arial" w:cs="Arial" w:eastAsia="Arial" w:hAnsi="Arial"/>
                <w:b/>
                <w:bCs/>
                <w:color w:val="0D6E6E"/>
                <w:sz w:val="19"/>
                <w:szCs w:val="19"/>
              </w:rPr>
              <w:t xml:space="preserve">Second Party Opinion (SPO) Coordination</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19"/>
                <w:szCs w:val="19"/>
              </w:rPr>
              <w:t xml:space="preserve">We source, brief, and manage the SPO provider (Sustainalytics, DNV, or CICERO) who independently verifies the framework against ICMA Green/Social Bond Principles. We handle all communications. The SPO fee is passed through to RDB at cost. Our management fee is on top.</w:t>
            </w:r>
          </w:p>
        </w:tc>
        <w:tc>
          <w:tcPr>
            <w:tcW w:type="dxa" w:w="17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tcPr>
          <w:p>
            <w:pPr>
              <w:spacing w:before="80" w:after="80"/>
            </w:pPr>
            <w:r>
              <w:rPr>
                <w:rFonts w:ascii="Arial" w:cs="Arial" w:eastAsia="Arial" w:hAnsi="Arial"/>
                <w:b/>
                <w:bCs/>
                <w:color w:val="1A7A4A"/>
                <w:sz w:val="18"/>
                <w:szCs w:val="18"/>
              </w:rPr>
              <w:t xml:space="preserve">LKR 3–6M management fee (SPO fee LKR 8–15M passed through)</w:t>
            </w:r>
          </w:p>
        </w:tc>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80" w:after="80"/>
            </w:pPr>
            <w:r>
              <w:rPr>
                <w:rFonts w:ascii="Arial" w:cs="Arial" w:eastAsia="Arial" w:hAnsi="Arial"/>
                <w:b w:val="false"/>
                <w:bCs w:val="false"/>
                <w:color w:val="555555"/>
                <w:sz w:val="18"/>
                <w:szCs w:val="18"/>
              </w:rPr>
              <w:t xml:space="preserve">On SPO engagement (Month 2)</w:t>
            </w:r>
          </w:p>
        </w:tc>
      </w:tr>
      <w:tr>
        <w:tc>
          <w:tcPr>
            <w:tcW w:type="dxa" w:w="2200"/>
            <w:tcBorders>
              <w:top w:val="single" w:color="CCCCCC" w:sz="1"/>
              <w:left w:val="single" w:color="CCCCCC" w:sz="1"/>
              <w:bottom w:val="single" w:color="CCCCCC" w:sz="1"/>
              <w:right w:val="single" w:color="CCCCCC" w:sz="1"/>
            </w:tcBorders>
            <w:shd w:fill="E0F2F2" w:val="clear"/>
            <w:tcMar>
              <w:top w:type="dxa" w:w="100"/>
              <w:left w:type="dxa" w:w="140"/>
              <w:bottom w:type="dxa" w:w="100"/>
              <w:right w:type="dxa" w:w="140"/>
            </w:tcMar>
          </w:tcPr>
          <w:p>
            <w:pPr>
              <w:spacing w:before="80" w:after="80"/>
            </w:pPr>
            <w:r>
              <w:rPr>
                <w:rFonts w:ascii="Arial" w:cs="Arial" w:eastAsia="Arial" w:hAnsi="Arial"/>
                <w:b/>
                <w:bCs/>
                <w:color w:val="0D6E6E"/>
                <w:sz w:val="19"/>
                <w:szCs w:val="19"/>
              </w:rPr>
              <w:t xml:space="preserve">Rating &amp; CSE Listing Management</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19"/>
                <w:szCs w:val="19"/>
              </w:rPr>
              <w:t xml:space="preserve">We coordinate with Fitch or Lanka Rating Agency for the sustainability bond rating, manage the CSE GSS+ listing process with the SEC, and handle all regulatory submissions. We use legal counsel (Varners or FJ&amp;G de Saram) as sub-advisors.</w:t>
            </w:r>
          </w:p>
        </w:tc>
        <w:tc>
          <w:tcPr>
            <w:tcW w:type="dxa" w:w="17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tcPr>
          <w:p>
            <w:pPr>
              <w:spacing w:before="80" w:after="80"/>
            </w:pPr>
            <w:r>
              <w:rPr>
                <w:rFonts w:ascii="Arial" w:cs="Arial" w:eastAsia="Arial" w:hAnsi="Arial"/>
                <w:b/>
                <w:bCs/>
                <w:color w:val="1A7A4A"/>
                <w:sz w:val="18"/>
                <w:szCs w:val="18"/>
              </w:rPr>
              <w:t xml:space="preserve">LKR 4–8M management fee (legal and rating fees passed through)</w:t>
            </w:r>
          </w:p>
        </w:tc>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80" w:after="80"/>
            </w:pPr>
            <w:r>
              <w:rPr>
                <w:rFonts w:ascii="Arial" w:cs="Arial" w:eastAsia="Arial" w:hAnsi="Arial"/>
                <w:b w:val="false"/>
                <w:bCs w:val="false"/>
                <w:color w:val="555555"/>
                <w:sz w:val="18"/>
                <w:szCs w:val="18"/>
              </w:rPr>
              <w:t xml:space="preserve">On listing mandate signing (Month 2–3)</w:t>
            </w:r>
          </w:p>
        </w:tc>
      </w:tr>
      <w:tr>
        <w:tc>
          <w:tcPr>
            <w:tcW w:type="dxa" w:w="2200"/>
            <w:tcBorders>
              <w:top w:val="single" w:color="CCCCCC" w:sz="1"/>
              <w:left w:val="single" w:color="CCCCCC" w:sz="1"/>
              <w:bottom w:val="single" w:color="CCCCCC" w:sz="1"/>
              <w:right w:val="single" w:color="CCCCCC" w:sz="1"/>
            </w:tcBorders>
            <w:shd w:fill="E0F2F2" w:val="clear"/>
            <w:tcMar>
              <w:top w:type="dxa" w:w="100"/>
              <w:left w:type="dxa" w:w="140"/>
              <w:bottom w:type="dxa" w:w="100"/>
              <w:right w:type="dxa" w:w="140"/>
            </w:tcMar>
          </w:tcPr>
          <w:p>
            <w:pPr>
              <w:spacing w:before="80" w:after="80"/>
            </w:pPr>
            <w:r>
              <w:rPr>
                <w:rFonts w:ascii="Arial" w:cs="Arial" w:eastAsia="Arial" w:hAnsi="Arial"/>
                <w:b/>
                <w:bCs/>
                <w:color w:val="0D6E6E"/>
                <w:sz w:val="19"/>
                <w:szCs w:val="19"/>
              </w:rPr>
              <w:t xml:space="preserve">DFI Relationship &amp; IFC/ADB Credit Line Advisory</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19"/>
                <w:szCs w:val="19"/>
              </w:rPr>
              <w:t xml:space="preserve">Post-issuance, we introduce RDB to IFC Sri Lanka, ADB Financial Sector Division, and GCF as a credentialed institution with a published sustainability framework and impact report. We advise on the credit line application, structure the technical assistance request, and project-manage the DFI engagement. This is where the transformative value is. A successful ADB credit line at 2–4% interest saves RDB LKR 100M+ per year in funding costs on every USD 50M drawn.</w:t>
            </w:r>
          </w:p>
        </w:tc>
        <w:tc>
          <w:tcPr>
            <w:tcW w:type="dxa" w:w="17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tcPr>
          <w:p>
            <w:pPr>
              <w:spacing w:before="80" w:after="80"/>
            </w:pPr>
            <w:r>
              <w:rPr>
                <w:rFonts w:ascii="Arial" w:cs="Arial" w:eastAsia="Arial" w:hAnsi="Arial"/>
                <w:b/>
                <w:bCs/>
                <w:color w:val="1A7A4A"/>
                <w:sz w:val="18"/>
                <w:szCs w:val="18"/>
              </w:rPr>
              <w:t xml:space="preserve">LKR 15–30M advisory (0.3–0.5% of DFI facility arranged)</w:t>
            </w:r>
          </w:p>
        </w:tc>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80" w:after="80"/>
            </w:pPr>
            <w:r>
              <w:rPr>
                <w:rFonts w:ascii="Arial" w:cs="Arial" w:eastAsia="Arial" w:hAnsi="Arial"/>
                <w:b w:val="false"/>
                <w:bCs w:val="false"/>
                <w:color w:val="555555"/>
                <w:sz w:val="18"/>
                <w:szCs w:val="18"/>
              </w:rPr>
              <w:t xml:space="preserve">Advisory: Month 3 onwards. Placement: on facility signing</w:t>
            </w:r>
          </w:p>
        </w:tc>
      </w:tr>
    </w:tbl>
    <w:p>
      <w:pPr>
        <w:spacing w:before="100" w:after="100"/>
      </w:pPr>
      <w:r>
        <w:rPr>
          <w:rFonts w:ascii="Arial" w:cs="Arial" w:eastAsia="Arial" w:hAnsi="Arial"/>
          <w:b w:val="false"/>
          <w:bCs w:val="false"/>
          <w:color w:val="333333"/>
          <w:sz w:val="20"/>
          <w:szCs w:val="20"/>
        </w:rPr>
        <w:t xml:space="preserve"> </w:t>
      </w:r>
    </w:p>
    <w:p>
      <w:pPr>
        <w:pStyle w:val="Heading3"/>
        <w:spacing w:before="160" w:after="80"/>
      </w:pPr>
      <w:r>
        <w:rPr>
          <w:rFonts w:ascii="Arial" w:cs="Arial" w:eastAsia="Arial" w:hAnsi="Arial"/>
          <w:b/>
          <w:bCs/>
          <w:color w:val="1A7A4A"/>
          <w:sz w:val="24"/>
          <w:szCs w:val="24"/>
        </w:rPr>
        <w:t xml:space="preserve">Revenue Projections — 18 Months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EEF2F8" w:val="clear"/>
            <w:tcMar>
              <w:top w:type="dxa" w:w="140"/>
              <w:left w:type="dxa" w:w="120"/>
              <w:bottom w:type="dxa" w:w="140"/>
              <w:right w:type="dxa" w:w="120"/>
            </w:tcMar>
            <w:vAlign w:val="center"/>
          </w:tcPr>
          <w:p>
            <w:pPr>
              <w:spacing w:before="60" w:after="0"/>
              <w:jc w:val="center"/>
            </w:pPr>
            <w:r>
              <w:rPr>
                <w:rFonts w:ascii="Arial" w:cs="Arial" w:eastAsia="Arial" w:hAnsi="Arial"/>
                <w:b/>
                <w:bCs/>
                <w:color w:val="1B3A5C"/>
                <w:sz w:val="30"/>
                <w:szCs w:val="30"/>
              </w:rPr>
              <w:t xml:space="preserve">LKR 15–34M</w:t>
            </w:r>
          </w:p>
          <w:p>
            <w:pPr>
              <w:spacing w:before="0" w:after="60"/>
              <w:jc w:val="center"/>
            </w:pPr>
            <w:r>
              <w:rPr>
                <w:rFonts w:ascii="Arial" w:cs="Arial" w:eastAsia="Arial" w:hAnsi="Arial"/>
                <w:b w:val="false"/>
                <w:bCs w:val="false"/>
                <w:color w:val="333333"/>
                <w:sz w:val="18"/>
                <w:szCs w:val="18"/>
              </w:rPr>
              <w:t xml:space="preserve">Framework + SPO + Listing Advisory</w:t>
            </w:r>
          </w:p>
        </w:tc>
        <w:tc>
          <w:tcPr>
            <w:tcW w:type="dxa" w:w="2520"/>
            <w:tcBorders>
              <w:top w:val="single" w:color="CCCCCC" w:sz="1"/>
              <w:left w:val="single" w:color="CCCCCC" w:sz="1"/>
              <w:bottom w:val="single" w:color="CCCCCC" w:sz="1"/>
              <w:right w:val="single" w:color="CCCCCC" w:sz="1"/>
            </w:tcBorders>
            <w:shd w:fill="E0F2F2" w:val="clear"/>
            <w:tcMar>
              <w:top w:type="dxa" w:w="140"/>
              <w:left w:type="dxa" w:w="120"/>
              <w:bottom w:type="dxa" w:w="140"/>
              <w:right w:type="dxa" w:w="120"/>
            </w:tcMar>
            <w:vAlign w:val="center"/>
          </w:tcPr>
          <w:p>
            <w:pPr>
              <w:spacing w:before="60" w:after="0"/>
              <w:jc w:val="center"/>
            </w:pPr>
            <w:r>
              <w:rPr>
                <w:rFonts w:ascii="Arial" w:cs="Arial" w:eastAsia="Arial" w:hAnsi="Arial"/>
                <w:b/>
                <w:bCs/>
                <w:color w:val="0D6E6E"/>
                <w:sz w:val="30"/>
                <w:szCs w:val="30"/>
              </w:rPr>
              <w:t xml:space="preserve">LKR 15–30M</w:t>
            </w:r>
          </w:p>
          <w:p>
            <w:pPr>
              <w:spacing w:before="0" w:after="60"/>
              <w:jc w:val="center"/>
            </w:pPr>
            <w:r>
              <w:rPr>
                <w:rFonts w:ascii="Arial" w:cs="Arial" w:eastAsia="Arial" w:hAnsi="Arial"/>
                <w:b w:val="false"/>
                <w:bCs w:val="false"/>
                <w:color w:val="333333"/>
                <w:sz w:val="18"/>
                <w:szCs w:val="18"/>
              </w:rPr>
              <w:t xml:space="preserve">DFI Credit Line Advisory Fee</w:t>
            </w:r>
          </w:p>
        </w:tc>
        <w:tc>
          <w:tcPr>
            <w:tcW w:type="dxa" w:w="2520"/>
            <w:tcBorders>
              <w:top w:val="single" w:color="CCCCCC" w:sz="1"/>
              <w:left w:val="single" w:color="CCCCCC" w:sz="1"/>
              <w:bottom w:val="single" w:color="CCCCCC" w:sz="1"/>
              <w:right w:val="single" w:color="CCCCCC" w:sz="1"/>
            </w:tcBorders>
            <w:shd w:fill="FDF6E3" w:val="clear"/>
            <w:tcMar>
              <w:top w:type="dxa" w:w="140"/>
              <w:left w:type="dxa" w:w="120"/>
              <w:bottom w:type="dxa" w:w="140"/>
              <w:right w:type="dxa" w:w="120"/>
            </w:tcMar>
            <w:vAlign w:val="center"/>
          </w:tcPr>
          <w:p>
            <w:pPr>
              <w:spacing w:before="60" w:after="0"/>
              <w:jc w:val="center"/>
            </w:pPr>
            <w:r>
              <w:rPr>
                <w:rFonts w:ascii="Arial" w:cs="Arial" w:eastAsia="Arial" w:hAnsi="Arial"/>
                <w:b/>
                <w:bCs/>
                <w:color w:val="0D6E6E"/>
                <w:sz w:val="30"/>
                <w:szCs w:val="30"/>
              </w:rPr>
              <w:t xml:space="preserve">LKR 30–64M</w:t>
            </w:r>
          </w:p>
          <w:p>
            <w:pPr>
              <w:spacing w:before="0" w:after="60"/>
              <w:jc w:val="center"/>
            </w:pPr>
            <w:r>
              <w:rPr>
                <w:rFonts w:ascii="Arial" w:cs="Arial" w:eastAsia="Arial" w:hAnsi="Arial"/>
                <w:b w:val="false"/>
                <w:bCs w:val="false"/>
                <w:color w:val="333333"/>
                <w:sz w:val="18"/>
                <w:szCs w:val="18"/>
              </w:rPr>
              <w:t xml:space="preserve">Total Direct Fee Revenue</w:t>
            </w:r>
          </w:p>
        </w:tc>
        <w:tc>
          <w:tcPr>
            <w:tcW w:type="dxa" w:w="2520"/>
            <w:tcBorders>
              <w:top w:val="single" w:color="CCCCCC" w:sz="1"/>
              <w:left w:val="single" w:color="CCCCCC" w:sz="1"/>
              <w:bottom w:val="single" w:color="CCCCCC" w:sz="1"/>
              <w:right w:val="single" w:color="CCCCCC" w:sz="1"/>
            </w:tcBorders>
            <w:shd w:fill="E8F4EC" w:val="clear"/>
            <w:tcMar>
              <w:top w:type="dxa" w:w="140"/>
              <w:left w:type="dxa" w:w="120"/>
              <w:bottom w:type="dxa" w:w="140"/>
              <w:right w:type="dxa" w:w="120"/>
            </w:tcMar>
            <w:vAlign w:val="center"/>
          </w:tcPr>
          <w:p>
            <w:pPr>
              <w:spacing w:before="60" w:after="0"/>
              <w:jc w:val="center"/>
            </w:pPr>
            <w:r>
              <w:rPr>
                <w:rFonts w:ascii="Arial" w:cs="Arial" w:eastAsia="Arial" w:hAnsi="Arial"/>
                <w:b/>
                <w:bCs/>
                <w:color w:val="0D6E6E"/>
                <w:sz w:val="30"/>
                <w:szCs w:val="30"/>
              </w:rPr>
              <w:t xml:space="preserve">LKR 100M+/yr</w:t>
            </w:r>
          </w:p>
          <w:p>
            <w:pPr>
              <w:spacing w:before="0" w:after="60"/>
              <w:jc w:val="center"/>
            </w:pPr>
            <w:r>
              <w:rPr>
                <w:rFonts w:ascii="Arial" w:cs="Arial" w:eastAsia="Arial" w:hAnsi="Arial"/>
                <w:b w:val="false"/>
                <w:bCs w:val="false"/>
                <w:color w:val="333333"/>
                <w:sz w:val="18"/>
                <w:szCs w:val="18"/>
              </w:rPr>
              <w:t xml:space="preserve">RDB Funding Cost Saving (from DFI line)</w:t>
            </w:r>
          </w:p>
        </w:tc>
      </w:tr>
    </w:tbl>
    <w:p>
      <w:pPr>
        <w:spacing w:before="80" w:after="0"/>
      </w:pPr>
      <w:r>
        <w:rPr>
          <w:rFonts w:ascii="Arial" w:cs="Arial" w:eastAsia="Arial" w:hAnsi="Arial"/>
          <w:b w:val="false"/>
          <w:bCs w:val="false"/>
          <w:color w:val="555555"/>
          <w:sz w:val="18"/>
          <w:szCs w:val="18"/>
        </w:rPr>
        <w:t xml:space="preserve">The LKR 100M+/yr figure is the value we create for RDB — not our fee. A USD 50M ADB credit line at 4% vs RDB's current funding cost of ~12% saves RDB approximately LKR 300M+ per year. Our advisory fee of LKR 30–64M is recovered in under 3 months of funding cost savings. That is the pitch.</w:t>
      </w:r>
    </w:p>
    <w:p>
      <w:pPr>
        <w:spacing w:before="100" w:after="100"/>
      </w:pPr>
      <w:r>
        <w:rPr>
          <w:rFonts w:ascii="Arial" w:cs="Arial" w:eastAsia="Arial" w:hAnsi="Arial"/>
          <w:b w:val="false"/>
          <w:bCs w:val="false"/>
          <w:color w:val="333333"/>
          <w:sz w:val="20"/>
          <w:szCs w:val="20"/>
        </w:rPr>
        <w:t xml:space="preserve"> </w:t>
      </w:r>
    </w:p>
    <w:p>
      <w:pPr>
        <w:pBdr>
          <w:bottom w:val="single" w:color="0D6E6E" w:sz="4" w:space="1"/>
        </w:pBdr>
        <w:spacing w:before="120" w:after="120"/>
      </w:pPr>
      <w:r>
        <w:rPr>
          <w:rFonts w:ascii="Arial" w:cs="Arial" w:eastAsia="Arial" w:hAnsi="Arial"/>
          <w:b w:val="false"/>
          <w:bCs w:val="false"/>
          <w:color w:val="333333"/>
          <w:sz w:val="20"/>
          <w:szCs w:val="20"/>
        </w:rPr>
        <w:t xml:space="preserve"/>
      </w:r>
    </w:p>
    <w:p>
      <w:pPr>
        <w:pStyle w:val="Heading2"/>
        <w:spacing w:before="240" w:after="100"/>
      </w:pPr>
      <w:r>
        <w:rPr>
          <w:rFonts w:ascii="Arial" w:cs="Arial" w:eastAsia="Arial" w:hAnsi="Arial"/>
          <w:b/>
          <w:bCs/>
          <w:color w:val="0D6E6E"/>
          <w:sz w:val="28"/>
          <w:szCs w:val="28"/>
        </w:rPr>
        <w:t xml:space="preserve">4.  The Transaction Structure</w:t>
      </w:r>
    </w:p>
    <w:p>
      <w:pPr>
        <w:spacing w:before="80" w:after="80"/>
      </w:pPr>
      <w:r>
        <w:rPr>
          <w:rFonts w:ascii="Arial" w:cs="Arial" w:eastAsia="Arial" w:hAnsi="Arial"/>
          <w:b w:val="false"/>
          <w:bCs w:val="false"/>
          <w:color w:val="333333"/>
          <w:sz w:val="20"/>
          <w:szCs w:val="20"/>
        </w:rPr>
        <w:t xml:space="preserve">This is how the bond deal actually works and where we sit in it.</w:t>
      </w:r>
    </w:p>
    <w:p>
      <w:pPr>
        <w:spacing w:before="50" w:after="5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480"/>
      </w:tblGrid>
      <w:tr>
        <w:tc>
          <w:tcPr>
            <w:tcW w:type="dxa" w:w="1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C8960C"/>
                <w:sz w:val="20"/>
                <w:szCs w:val="20"/>
              </w:rPr>
              <w:t xml:space="preserve">STEP 1</w:t>
            </w:r>
          </w:p>
        </w:tc>
        <w:tc>
          <w:tcPr>
            <w:tcW w:type="dxa" w:w="8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We are engaged by RDB. Framework advisory mandate signed. 50% upfront invoice. We begin drafting the Sustainability Bond Framework (eligible categories, use-of-proceeds rules, selection criteria, reporting commitments).</w:t>
            </w:r>
          </w:p>
        </w:tc>
      </w:tr>
      <w:tr>
        <w:tc>
          <w:tcPr>
            <w:tcW w:type="dxa" w:w="1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C8960C"/>
                <w:sz w:val="20"/>
                <w:szCs w:val="20"/>
              </w:rPr>
              <w:t xml:space="preserve">STEP 2</w:t>
            </w:r>
          </w:p>
        </w:tc>
        <w:tc>
          <w:tcPr>
            <w:tcW w:type="dxa" w:w="8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We submit the draft Framework to SPO provider (Sustainalytics recommended — most recognised internationally). SPO provider issues independent verification confirming ICMA alignment. This takes 4–6 weeks. We manage all communications.</w:t>
            </w:r>
          </w:p>
        </w:tc>
      </w:tr>
      <w:tr>
        <w:tc>
          <w:tcPr>
            <w:tcW w:type="dxa" w:w="1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C8960C"/>
                <w:sz w:val="20"/>
                <w:szCs w:val="20"/>
              </w:rPr>
              <w:t xml:space="preserve">STEP 3</w:t>
            </w:r>
          </w:p>
        </w:tc>
        <w:tc>
          <w:tcPr>
            <w:tcW w:type="dxa" w:w="8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We brief NDB Investment Bank (NDBIB) — the most likely domestic arranger based on precedent from Alliance Finance and DFCC transactions. Alternatively, Commercial Bank's investment arm or an international arranger for cross-border access. The arranger prices the bond, manages the book, and executes the placement. We are NOT the arranger — we are the sustainability advisor.</w:t>
            </w:r>
          </w:p>
        </w:tc>
      </w:tr>
      <w:tr>
        <w:tc>
          <w:tcPr>
            <w:tcW w:type="dxa" w:w="1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C8960C"/>
                <w:sz w:val="20"/>
                <w:szCs w:val="20"/>
              </w:rPr>
              <w:t xml:space="preserve">STEP 4</w:t>
            </w:r>
          </w:p>
        </w:tc>
        <w:tc>
          <w:tcPr>
            <w:tcW w:type="dxa" w:w="8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We approach ADB Financial Sector Sri Lanka and IFC Sri Lanka to invite cornerstone participation. ADB attended Alliance Finance's bell-ringing ceremony. They built the GSS+ framework. They WANT to participate in credible issuances. A call or meeting with our introduction, using RDB's state ownership and development mandate as the pitch, is the right door to open.</w:t>
            </w:r>
          </w:p>
        </w:tc>
      </w:tr>
      <w:tr>
        <w:tc>
          <w:tcPr>
            <w:tcW w:type="dxa" w:w="1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C8960C"/>
                <w:sz w:val="20"/>
                <w:szCs w:val="20"/>
              </w:rPr>
              <w:t xml:space="preserve">STEP 5</w:t>
            </w:r>
          </w:p>
        </w:tc>
        <w:tc>
          <w:tcPr>
            <w:tcW w:type="dxa" w:w="8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CSE GSS+ listing: We manage the regulatory filing with the SEC and CSE listing team. Legal counsel handles documentation. Rating agency process runs in parallel. Total listing timeline: 8–12 weeks from mandate.</w:t>
            </w:r>
          </w:p>
        </w:tc>
      </w:tr>
      <w:tr>
        <w:tc>
          <w:tcPr>
            <w:tcW w:type="dxa" w:w="1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C8960C"/>
                <w:sz w:val="20"/>
                <w:szCs w:val="20"/>
              </w:rPr>
              <w:t xml:space="preserve">STEP 6</w:t>
            </w:r>
          </w:p>
        </w:tc>
        <w:tc>
          <w:tcPr>
            <w:tcW w:type="dxa" w:w="8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Bond opens on CSE. Based on all five precedents, it is oversubscribed within 1–5 days. Bell-ringing ceremony at CSE — the Chairman's moment. Press release to Daily FT and EconomyNext positions the new Chairman as the person who brought RDB to the capital markets for the first time.</w:t>
            </w:r>
          </w:p>
        </w:tc>
      </w:tr>
      <w:tr>
        <w:tc>
          <w:tcPr>
            <w:tcW w:type="dxa" w:w="1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C8960C"/>
                <w:sz w:val="20"/>
                <w:szCs w:val="20"/>
              </w:rPr>
              <w:t xml:space="preserve">STEP 7</w:t>
            </w:r>
          </w:p>
        </w:tc>
        <w:tc>
          <w:tcPr>
            <w:tcW w:type="dxa" w:w="8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20"/>
                <w:szCs w:val="20"/>
              </w:rPr>
              <w:t xml:space="preserve">Post-issuance: We manage the annual impact report (required under CSE GSS+ rules). We use the published framework and impact report as the dossier for IFC/ADB credit line applications. DFI credit line negotiations begin Month 3 onwards.</w:t>
            </w:r>
          </w:p>
        </w:tc>
      </w:tr>
    </w:tbl>
    <w:p>
      <w:pPr>
        <w:spacing w:before="100" w:after="100"/>
      </w:pPr>
      <w:r>
        <w:rPr>
          <w:rFonts w:ascii="Arial" w:cs="Arial" w:eastAsia="Arial" w:hAnsi="Arial"/>
          <w:b w:val="false"/>
          <w:bCs w:val="false"/>
          <w:color w:val="333333"/>
          <w:sz w:val="20"/>
          <w:szCs w:val="20"/>
        </w:rPr>
        <w:t xml:space="preserve"> </w:t>
      </w:r>
    </w:p>
    <w:p>
      <w:pPr>
        <w:pBdr>
          <w:bottom w:val="single" w:color="0D6E6E" w:sz="4" w:space="1"/>
        </w:pBdr>
        <w:spacing w:before="120" w:after="120"/>
      </w:pPr>
      <w:r>
        <w:rPr>
          <w:rFonts w:ascii="Arial" w:cs="Arial" w:eastAsia="Arial" w:hAnsi="Arial"/>
          <w:b w:val="false"/>
          <w:bCs w:val="false"/>
          <w:color w:val="333333"/>
          <w:sz w:val="20"/>
          <w:szCs w:val="20"/>
        </w:rPr>
        <w:t xml:space="preserve"/>
      </w:r>
    </w:p>
    <w:p>
      <w:pPr>
        <w:pStyle w:val="Heading2"/>
        <w:spacing w:before="240" w:after="100"/>
      </w:pPr>
      <w:r>
        <w:rPr>
          <w:rFonts w:ascii="Arial" w:cs="Arial" w:eastAsia="Arial" w:hAnsi="Arial"/>
          <w:b/>
          <w:bCs/>
          <w:color w:val="0D6E6E"/>
          <w:sz w:val="28"/>
          <w:szCs w:val="28"/>
        </w:rPr>
        <w:t xml:space="preserve">5.  Delivery Partner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280"/>
        <w:gridCol w:w="1900"/>
        <w:gridCol w:w="1900"/>
      </w:tblGrid>
      <w:tr>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Role</w:t>
            </w:r>
          </w:p>
        </w:tc>
        <w:tc>
          <w:tcPr>
            <w:tcW w:type="dxa" w:w="428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Who We Use</w:t>
            </w:r>
          </w:p>
        </w:tc>
        <w:tc>
          <w:tcPr>
            <w:tcW w:type="dxa" w:w="19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MOU / Intro Needed</w:t>
            </w:r>
          </w:p>
        </w:tc>
        <w:tc>
          <w:tcPr>
            <w:tcW w:type="dxa" w:w="19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How We Earn</w:t>
            </w:r>
          </w:p>
        </w:tc>
      </w:tr>
      <w:tr>
        <w:tc>
          <w:tcPr>
            <w:tcW w:type="dxa" w:w="2000"/>
            <w:tcBorders>
              <w:top w:val="single" w:color="CCCCCC" w:sz="1"/>
              <w:left w:val="single" w:color="CCCCCC" w:sz="1"/>
              <w:bottom w:val="single" w:color="CCCCCC" w:sz="1"/>
              <w:right w:val="single" w:color="CCCCCC" w:sz="1"/>
            </w:tcBorders>
            <w:shd w:fill="E0F2F2" w:val="clear"/>
            <w:tcMar>
              <w:top w:type="dxa" w:w="100"/>
              <w:left w:type="dxa" w:w="140"/>
              <w:bottom w:type="dxa" w:w="100"/>
              <w:right w:type="dxa" w:w="140"/>
            </w:tcMar>
          </w:tcPr>
          <w:p>
            <w:pPr>
              <w:spacing w:before="80" w:after="80"/>
            </w:pPr>
            <w:r>
              <w:rPr>
                <w:rFonts w:ascii="Arial" w:cs="Arial" w:eastAsia="Arial" w:hAnsi="Arial"/>
                <w:b/>
                <w:bCs/>
                <w:color w:val="0D6E6E"/>
                <w:sz w:val="18"/>
                <w:szCs w:val="18"/>
              </w:rPr>
              <w:t xml:space="preserve">Sustainability Framework Author</w:t>
            </w:r>
          </w:p>
        </w:tc>
        <w:tc>
          <w:tcPr>
            <w:tcW w:type="dxa" w:w="4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19"/>
                <w:szCs w:val="19"/>
              </w:rPr>
              <w:t xml:space="preserve">We draft (using ICMA templates). Sustainalytics or DNV validates (SPO).</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80" w:after="80"/>
            </w:pPr>
            <w:r>
              <w:rPr>
                <w:rFonts w:ascii="Arial" w:cs="Arial" w:eastAsia="Arial" w:hAnsi="Arial"/>
                <w:b w:val="false"/>
                <w:bCs w:val="false"/>
                <w:color w:val="1B3A5C"/>
                <w:sz w:val="18"/>
                <w:szCs w:val="18"/>
              </w:rPr>
              <w:t xml:space="preserve">SPO MOU — email only</w:t>
            </w:r>
          </w:p>
        </w:tc>
        <w:tc>
          <w:tcPr>
            <w:tcW w:type="dxa" w:w="19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tcPr>
          <w:p>
            <w:pPr>
              <w:spacing w:before="80" w:after="80"/>
            </w:pPr>
            <w:r>
              <w:rPr>
                <w:rFonts w:ascii="Arial" w:cs="Arial" w:eastAsia="Arial" w:hAnsi="Arial"/>
                <w:b w:val="false"/>
                <w:bCs w:val="false"/>
                <w:color w:val="333333"/>
                <w:sz w:val="18"/>
                <w:szCs w:val="18"/>
              </w:rPr>
              <w:t xml:space="preserve">Framework advisory fee from RDB</w:t>
            </w:r>
          </w:p>
        </w:tc>
      </w:tr>
      <w:tr>
        <w:tc>
          <w:tcPr>
            <w:tcW w:type="dxa" w:w="2000"/>
            <w:tcBorders>
              <w:top w:val="single" w:color="CCCCCC" w:sz="1"/>
              <w:left w:val="single" w:color="CCCCCC" w:sz="1"/>
              <w:bottom w:val="single" w:color="CCCCCC" w:sz="1"/>
              <w:right w:val="single" w:color="CCCCCC" w:sz="1"/>
            </w:tcBorders>
            <w:shd w:fill="E0F2F2" w:val="clear"/>
            <w:tcMar>
              <w:top w:type="dxa" w:w="100"/>
              <w:left w:type="dxa" w:w="140"/>
              <w:bottom w:type="dxa" w:w="100"/>
              <w:right w:type="dxa" w:w="140"/>
            </w:tcMar>
          </w:tcPr>
          <w:p>
            <w:pPr>
              <w:spacing w:before="80" w:after="80"/>
            </w:pPr>
            <w:r>
              <w:rPr>
                <w:rFonts w:ascii="Arial" w:cs="Arial" w:eastAsia="Arial" w:hAnsi="Arial"/>
                <w:b/>
                <w:bCs/>
                <w:color w:val="0D6E6E"/>
                <w:sz w:val="18"/>
                <w:szCs w:val="18"/>
              </w:rPr>
              <w:t xml:space="preserve">Second Party Opinion (SPO)</w:t>
            </w:r>
          </w:p>
        </w:tc>
        <w:tc>
          <w:tcPr>
            <w:tcW w:type="dxa" w:w="4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19"/>
                <w:szCs w:val="19"/>
              </w:rPr>
              <w:t xml:space="preserve">Sustainalytics (Morningstar) — globally most recognised. Or DNV GL (also accepted by ADB/IFC). Or CICERO for academic credibility with Nordic ESG funds.</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80" w:after="80"/>
            </w:pPr>
            <w:r>
              <w:rPr>
                <w:rFonts w:ascii="Arial" w:cs="Arial" w:eastAsia="Arial" w:hAnsi="Arial"/>
                <w:b w:val="false"/>
                <w:bCs w:val="false"/>
                <w:color w:val="1B3A5C"/>
                <w:sz w:val="18"/>
                <w:szCs w:val="18"/>
              </w:rPr>
              <w:t xml:space="preserve">Email introduction via Sustainalytics SE Asia desk</w:t>
            </w:r>
          </w:p>
        </w:tc>
        <w:tc>
          <w:tcPr>
            <w:tcW w:type="dxa" w:w="19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tcPr>
          <w:p>
            <w:pPr>
              <w:spacing w:before="80" w:after="80"/>
            </w:pPr>
            <w:r>
              <w:rPr>
                <w:rFonts w:ascii="Arial" w:cs="Arial" w:eastAsia="Arial" w:hAnsi="Arial"/>
                <w:b w:val="false"/>
                <w:bCs w:val="false"/>
                <w:color w:val="333333"/>
                <w:sz w:val="18"/>
                <w:szCs w:val="18"/>
              </w:rPr>
              <w:t xml:space="preserve">SPO fee passed through; management fee on top</w:t>
            </w:r>
          </w:p>
        </w:tc>
      </w:tr>
      <w:tr>
        <w:tc>
          <w:tcPr>
            <w:tcW w:type="dxa" w:w="2000"/>
            <w:tcBorders>
              <w:top w:val="single" w:color="CCCCCC" w:sz="1"/>
              <w:left w:val="single" w:color="CCCCCC" w:sz="1"/>
              <w:bottom w:val="single" w:color="CCCCCC" w:sz="1"/>
              <w:right w:val="single" w:color="CCCCCC" w:sz="1"/>
            </w:tcBorders>
            <w:shd w:fill="E0F2F2" w:val="clear"/>
            <w:tcMar>
              <w:top w:type="dxa" w:w="100"/>
              <w:left w:type="dxa" w:w="140"/>
              <w:bottom w:type="dxa" w:w="100"/>
              <w:right w:type="dxa" w:w="140"/>
            </w:tcMar>
          </w:tcPr>
          <w:p>
            <w:pPr>
              <w:spacing w:before="80" w:after="80"/>
            </w:pPr>
            <w:r>
              <w:rPr>
                <w:rFonts w:ascii="Arial" w:cs="Arial" w:eastAsia="Arial" w:hAnsi="Arial"/>
                <w:b/>
                <w:bCs/>
                <w:color w:val="0D6E6E"/>
                <w:sz w:val="18"/>
                <w:szCs w:val="18"/>
              </w:rPr>
              <w:t xml:space="preserve">Credit Rating</w:t>
            </w:r>
          </w:p>
        </w:tc>
        <w:tc>
          <w:tcPr>
            <w:tcW w:type="dxa" w:w="4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19"/>
                <w:szCs w:val="19"/>
              </w:rPr>
              <w:t xml:space="preserve">Fitch Ratings Lanka (rated all CSE GSS+ bonds so far) or Lanka Rating Agency (used by Alliance Finance). Either acceptable to CSE.</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80" w:after="80"/>
            </w:pPr>
            <w:r>
              <w:rPr>
                <w:rFonts w:ascii="Arial" w:cs="Arial" w:eastAsia="Arial" w:hAnsi="Arial"/>
                <w:b w:val="false"/>
                <w:bCs w:val="false"/>
                <w:color w:val="1B3A5C"/>
                <w:sz w:val="18"/>
                <w:szCs w:val="18"/>
              </w:rPr>
              <w:t xml:space="preserve">Already connected via Fitch Lanka's public desk</w:t>
            </w:r>
          </w:p>
        </w:tc>
        <w:tc>
          <w:tcPr>
            <w:tcW w:type="dxa" w:w="19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tcPr>
          <w:p>
            <w:pPr>
              <w:spacing w:before="80" w:after="80"/>
            </w:pPr>
            <w:r>
              <w:rPr>
                <w:rFonts w:ascii="Arial" w:cs="Arial" w:eastAsia="Arial" w:hAnsi="Arial"/>
                <w:b w:val="false"/>
                <w:bCs w:val="false"/>
                <w:color w:val="333333"/>
                <w:sz w:val="18"/>
                <w:szCs w:val="18"/>
              </w:rPr>
              <w:t xml:space="preserve">Rating process management fee</w:t>
            </w:r>
          </w:p>
        </w:tc>
      </w:tr>
      <w:tr>
        <w:tc>
          <w:tcPr>
            <w:tcW w:type="dxa" w:w="2000"/>
            <w:tcBorders>
              <w:top w:val="single" w:color="CCCCCC" w:sz="1"/>
              <w:left w:val="single" w:color="CCCCCC" w:sz="1"/>
              <w:bottom w:val="single" w:color="CCCCCC" w:sz="1"/>
              <w:right w:val="single" w:color="CCCCCC" w:sz="1"/>
            </w:tcBorders>
            <w:shd w:fill="E0F2F2" w:val="clear"/>
            <w:tcMar>
              <w:top w:type="dxa" w:w="100"/>
              <w:left w:type="dxa" w:w="140"/>
              <w:bottom w:type="dxa" w:w="100"/>
              <w:right w:type="dxa" w:w="140"/>
            </w:tcMar>
          </w:tcPr>
          <w:p>
            <w:pPr>
              <w:spacing w:before="80" w:after="80"/>
            </w:pPr>
            <w:r>
              <w:rPr>
                <w:rFonts w:ascii="Arial" w:cs="Arial" w:eastAsia="Arial" w:hAnsi="Arial"/>
                <w:b/>
                <w:bCs/>
                <w:color w:val="0D6E6E"/>
                <w:sz w:val="18"/>
                <w:szCs w:val="18"/>
              </w:rPr>
              <w:t xml:space="preserve">Domestic Arranger</w:t>
            </w:r>
          </w:p>
        </w:tc>
        <w:tc>
          <w:tcPr>
            <w:tcW w:type="dxa" w:w="4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19"/>
                <w:szCs w:val="19"/>
              </w:rPr>
              <w:t xml:space="preserve">NDB Investment Bank (NDBIB) — involved in AFC issuance. OR Commercial Bank Investment Banking. OR Acuity Partners (JKH subsidiary). One of these will be the book-runner.</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80" w:after="80"/>
            </w:pPr>
            <w:r>
              <w:rPr>
                <w:rFonts w:ascii="Arial" w:cs="Arial" w:eastAsia="Arial" w:hAnsi="Arial"/>
                <w:b w:val="false"/>
                <w:bCs w:val="false"/>
                <w:color w:val="1B3A5C"/>
                <w:sz w:val="18"/>
                <w:szCs w:val="18"/>
              </w:rPr>
              <w:t xml:space="preserve">Introduction meeting — we have this via Colombo Consultants network</w:t>
            </w:r>
          </w:p>
        </w:tc>
        <w:tc>
          <w:tcPr>
            <w:tcW w:type="dxa" w:w="19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tcPr>
          <w:p>
            <w:pPr>
              <w:spacing w:before="80" w:after="80"/>
            </w:pPr>
            <w:r>
              <w:rPr>
                <w:rFonts w:ascii="Arial" w:cs="Arial" w:eastAsia="Arial" w:hAnsi="Arial"/>
                <w:b w:val="false"/>
                <w:bCs w:val="false"/>
                <w:color w:val="333333"/>
                <w:sz w:val="18"/>
                <w:szCs w:val="18"/>
              </w:rPr>
              <w:t xml:space="preserve">Arranger is separate from us — no conflict. We advise RDB; they execute the placement.</w:t>
            </w:r>
          </w:p>
        </w:tc>
      </w:tr>
      <w:tr>
        <w:tc>
          <w:tcPr>
            <w:tcW w:type="dxa" w:w="2000"/>
            <w:tcBorders>
              <w:top w:val="single" w:color="CCCCCC" w:sz="1"/>
              <w:left w:val="single" w:color="CCCCCC" w:sz="1"/>
              <w:bottom w:val="single" w:color="CCCCCC" w:sz="1"/>
              <w:right w:val="single" w:color="CCCCCC" w:sz="1"/>
            </w:tcBorders>
            <w:shd w:fill="E0F2F2" w:val="clear"/>
            <w:tcMar>
              <w:top w:type="dxa" w:w="100"/>
              <w:left w:type="dxa" w:w="140"/>
              <w:bottom w:type="dxa" w:w="100"/>
              <w:right w:type="dxa" w:w="140"/>
            </w:tcMar>
          </w:tcPr>
          <w:p>
            <w:pPr>
              <w:spacing w:before="80" w:after="80"/>
            </w:pPr>
            <w:r>
              <w:rPr>
                <w:rFonts w:ascii="Arial" w:cs="Arial" w:eastAsia="Arial" w:hAnsi="Arial"/>
                <w:b/>
                <w:bCs/>
                <w:color w:val="0D6E6E"/>
                <w:sz w:val="18"/>
                <w:szCs w:val="18"/>
              </w:rPr>
              <w:t xml:space="preserve">Legal Counsel</w:t>
            </w:r>
          </w:p>
        </w:tc>
        <w:tc>
          <w:tcPr>
            <w:tcW w:type="dxa" w:w="4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19"/>
                <w:szCs w:val="19"/>
              </w:rPr>
              <w:t xml:space="preserve">Varners LLP or FJ&amp;G de Saram for bond documentation, listing rules compliance, and SEC filing. Sub-contracted under our advisory.</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80" w:after="80"/>
            </w:pPr>
            <w:r>
              <w:rPr>
                <w:rFonts w:ascii="Arial" w:cs="Arial" w:eastAsia="Arial" w:hAnsi="Arial"/>
                <w:b w:val="false"/>
                <w:bCs w:val="false"/>
                <w:color w:val="1B3A5C"/>
                <w:sz w:val="18"/>
                <w:szCs w:val="18"/>
              </w:rPr>
              <w:t xml:space="preserve">Varners already known to Colombo Consultants</w:t>
            </w:r>
          </w:p>
        </w:tc>
        <w:tc>
          <w:tcPr>
            <w:tcW w:type="dxa" w:w="19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tcPr>
          <w:p>
            <w:pPr>
              <w:spacing w:before="80" w:after="80"/>
            </w:pPr>
            <w:r>
              <w:rPr>
                <w:rFonts w:ascii="Arial" w:cs="Arial" w:eastAsia="Arial" w:hAnsi="Arial"/>
                <w:b w:val="false"/>
                <w:bCs w:val="false"/>
                <w:color w:val="333333"/>
                <w:sz w:val="18"/>
                <w:szCs w:val="18"/>
              </w:rPr>
              <w:t xml:space="preserve">Sub-contract margin</w:t>
            </w:r>
          </w:p>
        </w:tc>
      </w:tr>
      <w:tr>
        <w:tc>
          <w:tcPr>
            <w:tcW w:type="dxa" w:w="2000"/>
            <w:tcBorders>
              <w:top w:val="single" w:color="CCCCCC" w:sz="1"/>
              <w:left w:val="single" w:color="CCCCCC" w:sz="1"/>
              <w:bottom w:val="single" w:color="CCCCCC" w:sz="1"/>
              <w:right w:val="single" w:color="CCCCCC" w:sz="1"/>
            </w:tcBorders>
            <w:shd w:fill="E0F2F2" w:val="clear"/>
            <w:tcMar>
              <w:top w:type="dxa" w:w="100"/>
              <w:left w:type="dxa" w:w="140"/>
              <w:bottom w:type="dxa" w:w="100"/>
              <w:right w:type="dxa" w:w="140"/>
            </w:tcMar>
          </w:tcPr>
          <w:p>
            <w:pPr>
              <w:spacing w:before="80" w:after="80"/>
            </w:pPr>
            <w:r>
              <w:rPr>
                <w:rFonts w:ascii="Arial" w:cs="Arial" w:eastAsia="Arial" w:hAnsi="Arial"/>
                <w:b/>
                <w:bCs/>
                <w:color w:val="0D6E6E"/>
                <w:sz w:val="18"/>
                <w:szCs w:val="18"/>
              </w:rPr>
              <w:t xml:space="preserve">DFI Relationship</w:t>
            </w:r>
          </w:p>
        </w:tc>
        <w:tc>
          <w:tcPr>
            <w:tcW w:type="dxa" w:w="4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19"/>
                <w:szCs w:val="19"/>
              </w:rPr>
              <w:t xml:space="preserve">ADB Financial Sector Sri Lanka (Kelaniya office), IFC Sri Lanka (World Bank campus, Colombo 3), GCF National Designated Authority (Ministry of Environment).</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80" w:after="80"/>
            </w:pPr>
            <w:r>
              <w:rPr>
                <w:rFonts w:ascii="Arial" w:cs="Arial" w:eastAsia="Arial" w:hAnsi="Arial"/>
                <w:b w:val="false"/>
                <w:bCs w:val="false"/>
                <w:color w:val="1B3A5C"/>
                <w:sz w:val="18"/>
                <w:szCs w:val="18"/>
              </w:rPr>
              <w:t xml:space="preserve">Introduction via ADB connection or CBSL referral</w:t>
            </w:r>
          </w:p>
        </w:tc>
        <w:tc>
          <w:tcPr>
            <w:tcW w:type="dxa" w:w="19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tcPr>
          <w:p>
            <w:pPr>
              <w:spacing w:before="80" w:after="80"/>
            </w:pPr>
            <w:r>
              <w:rPr>
                <w:rFonts w:ascii="Arial" w:cs="Arial" w:eastAsia="Arial" w:hAnsi="Arial"/>
                <w:b w:val="false"/>
                <w:bCs w:val="false"/>
                <w:color w:val="333333"/>
                <w:sz w:val="18"/>
                <w:szCs w:val="18"/>
              </w:rPr>
              <w:t xml:space="preserve">DFI credit line placement fee</w:t>
            </w:r>
          </w:p>
        </w:tc>
      </w:tr>
      <w:tr>
        <w:tc>
          <w:tcPr>
            <w:tcW w:type="dxa" w:w="2000"/>
            <w:tcBorders>
              <w:top w:val="single" w:color="CCCCCC" w:sz="1"/>
              <w:left w:val="single" w:color="CCCCCC" w:sz="1"/>
              <w:bottom w:val="single" w:color="CCCCCC" w:sz="1"/>
              <w:right w:val="single" w:color="CCCCCC" w:sz="1"/>
            </w:tcBorders>
            <w:shd w:fill="E0F2F2" w:val="clear"/>
            <w:tcMar>
              <w:top w:type="dxa" w:w="100"/>
              <w:left w:type="dxa" w:w="140"/>
              <w:bottom w:type="dxa" w:w="100"/>
              <w:right w:type="dxa" w:w="140"/>
            </w:tcMar>
          </w:tcPr>
          <w:p>
            <w:pPr>
              <w:spacing w:before="80" w:after="80"/>
            </w:pPr>
            <w:r>
              <w:rPr>
                <w:rFonts w:ascii="Arial" w:cs="Arial" w:eastAsia="Arial" w:hAnsi="Arial"/>
                <w:b/>
                <w:bCs/>
                <w:color w:val="0D6E6E"/>
                <w:sz w:val="18"/>
                <w:szCs w:val="18"/>
              </w:rPr>
              <w:t xml:space="preserve">Annual Impact Reporting</w:t>
            </w:r>
          </w:p>
        </w:tc>
        <w:tc>
          <w:tcPr>
            <w:tcW w:type="dxa" w:w="4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80" w:after="80"/>
            </w:pPr>
            <w:r>
              <w:rPr>
                <w:rFonts w:ascii="Arial" w:cs="Arial" w:eastAsia="Arial" w:hAnsi="Arial"/>
                <w:b w:val="false"/>
                <w:bCs w:val="false"/>
                <w:color w:val="333333"/>
                <w:sz w:val="19"/>
                <w:szCs w:val="19"/>
              </w:rPr>
              <w:t xml:space="preserve">CA Sri Lanka ESG reporting specialists, or the same sustainability consultant used for framework authoring. We manage, they execute.</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80" w:after="80"/>
            </w:pPr>
            <w:r>
              <w:rPr>
                <w:rFonts w:ascii="Arial" w:cs="Arial" w:eastAsia="Arial" w:hAnsi="Arial"/>
                <w:b w:val="false"/>
                <w:bCs w:val="false"/>
                <w:color w:val="1B3A5C"/>
                <w:sz w:val="18"/>
                <w:szCs w:val="18"/>
              </w:rPr>
              <w:t xml:space="preserve">Sub-contract</w:t>
            </w:r>
          </w:p>
        </w:tc>
        <w:tc>
          <w:tcPr>
            <w:tcW w:type="dxa" w:w="19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tcPr>
          <w:p>
            <w:pPr>
              <w:spacing w:before="80" w:after="80"/>
            </w:pPr>
            <w:r>
              <w:rPr>
                <w:rFonts w:ascii="Arial" w:cs="Arial" w:eastAsia="Arial" w:hAnsi="Arial"/>
                <w:b w:val="false"/>
                <w:bCs w:val="false"/>
                <w:color w:val="333333"/>
                <w:sz w:val="18"/>
                <w:szCs w:val="18"/>
              </w:rPr>
              <w:t xml:space="preserve">Ongoing annual retainer (LKR 2–4M/year)</w:t>
            </w:r>
          </w:p>
        </w:tc>
      </w:tr>
    </w:tbl>
    <w:p>
      <w:pPr>
        <w:spacing w:before="100" w:after="100"/>
      </w:pPr>
      <w:r>
        <w:rPr>
          <w:rFonts w:ascii="Arial" w:cs="Arial" w:eastAsia="Arial" w:hAnsi="Arial"/>
          <w:b w:val="false"/>
          <w:bCs w:val="false"/>
          <w:color w:val="333333"/>
          <w:sz w:val="20"/>
          <w:szCs w:val="20"/>
        </w:rPr>
        <w:t xml:space="preserve"> </w:t>
      </w:r>
    </w:p>
    <w:p>
      <w:pPr>
        <w:pBdr>
          <w:bottom w:val="single" w:color="0D6E6E" w:sz="4" w:space="1"/>
        </w:pBdr>
        <w:spacing w:before="120" w:after="120"/>
      </w:pPr>
      <w:r>
        <w:rPr>
          <w:rFonts w:ascii="Arial" w:cs="Arial" w:eastAsia="Arial" w:hAnsi="Arial"/>
          <w:b w:val="false"/>
          <w:bCs w:val="false"/>
          <w:color w:val="333333"/>
          <w:sz w:val="20"/>
          <w:szCs w:val="20"/>
        </w:rPr>
        <w:t xml:space="preserve"/>
      </w:r>
    </w:p>
    <w:p>
      <w:pPr>
        <w:pStyle w:val="Heading2"/>
        <w:spacing w:before="240" w:after="100"/>
      </w:pPr>
      <w:r>
        <w:rPr>
          <w:rFonts w:ascii="Arial" w:cs="Arial" w:eastAsia="Arial" w:hAnsi="Arial"/>
          <w:b/>
          <w:bCs/>
          <w:color w:val="0D6E6E"/>
          <w:sz w:val="28"/>
          <w:szCs w:val="28"/>
        </w:rPr>
        <w:t xml:space="preserve">6.  The 90-Day Action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W w:type="dxa" w:w="2016"/>
            <w:tcBorders>
              <w:top w:val="single" w:color="CCCCCC" w:sz="1"/>
              <w:left w:val="single" w:color="CCCCCC" w:sz="1"/>
              <w:bottom w:val="single" w:color="CCCCCC" w:sz="1"/>
              <w:right w:val="single" w:color="CCCCCC" w:sz="1"/>
            </w:tcBorders>
            <w:shd w:fill="1B3A5C" w:val="clear"/>
            <w:tcMar>
              <w:top w:type="dxa" w:w="100"/>
              <w:left w:type="dxa" w:w="100"/>
              <w:bottom w:type="dxa" w:w="60"/>
              <w:right w:type="dxa" w:w="100"/>
            </w:tcMar>
            <w:vAlign w:val="center"/>
          </w:tcPr>
          <w:p>
            <w:pPr>
              <w:spacing w:before="0" w:after="30"/>
              <w:jc w:val="center"/>
            </w:pPr>
            <w:r>
              <w:rPr>
                <w:rFonts w:ascii="Arial" w:cs="Arial" w:eastAsia="Arial" w:hAnsi="Arial"/>
                <w:b/>
                <w:bCs/>
                <w:color w:val="C8960C"/>
                <w:sz w:val="18"/>
                <w:szCs w:val="18"/>
              </w:rPr>
              <w:t xml:space="preserve">Days 1–14</w:t>
            </w:r>
          </w:p>
          <w:p>
            <w:pPr>
              <w:spacing w:before="0" w:after="0"/>
              <w:jc w:val="center"/>
            </w:pPr>
            <w:r>
              <w:rPr>
                <w:rFonts w:ascii="Arial" w:cs="Arial" w:eastAsia="Arial" w:hAnsi="Arial"/>
                <w:b w:val="false"/>
                <w:bCs w:val="false"/>
                <w:color w:val="FFFFFF"/>
                <w:sz w:val="17"/>
                <w:szCs w:val="17"/>
              </w:rPr>
              <w:t xml:space="preserve">Chairman Meeting → Mandate</w:t>
            </w:r>
          </w:p>
        </w:tc>
        <w:tc>
          <w:tcPr>
            <w:tcW w:type="dxa" w:w="2016"/>
            <w:tcBorders>
              <w:top w:val="single" w:color="CCCCCC" w:sz="1"/>
              <w:left w:val="single" w:color="CCCCCC" w:sz="1"/>
              <w:bottom w:val="single" w:color="CCCCCC" w:sz="1"/>
              <w:right w:val="single" w:color="CCCCCC" w:sz="1"/>
            </w:tcBorders>
            <w:shd w:fill="EEF2F8" w:val="clear"/>
            <w:tcMar>
              <w:top w:type="dxa" w:w="100"/>
              <w:left w:type="dxa" w:w="100"/>
              <w:bottom w:type="dxa" w:w="60"/>
              <w:right w:type="dxa" w:w="100"/>
            </w:tcMar>
            <w:vAlign w:val="center"/>
          </w:tcPr>
          <w:p>
            <w:pPr>
              <w:spacing w:before="0" w:after="30"/>
              <w:jc w:val="center"/>
            </w:pPr>
            <w:r>
              <w:rPr>
                <w:rFonts w:ascii="Arial" w:cs="Arial" w:eastAsia="Arial" w:hAnsi="Arial"/>
                <w:b/>
                <w:bCs/>
                <w:color w:val="1B3A5C"/>
                <w:sz w:val="18"/>
                <w:szCs w:val="18"/>
              </w:rPr>
              <w:t xml:space="preserve">Days 15–30</w:t>
            </w:r>
          </w:p>
          <w:p>
            <w:pPr>
              <w:spacing w:before="0" w:after="0"/>
              <w:jc w:val="center"/>
            </w:pPr>
            <w:r>
              <w:rPr>
                <w:rFonts w:ascii="Arial" w:cs="Arial" w:eastAsia="Arial" w:hAnsi="Arial"/>
                <w:b w:val="false"/>
                <w:bCs w:val="false"/>
                <w:color w:val="333333"/>
                <w:sz w:val="17"/>
                <w:szCs w:val="17"/>
              </w:rPr>
              <w:t xml:space="preserve">Framework Drafting</w:t>
            </w:r>
          </w:p>
        </w:tc>
        <w:tc>
          <w:tcPr>
            <w:tcW w:type="dxa" w:w="2016"/>
            <w:tcBorders>
              <w:top w:val="single" w:color="CCCCCC" w:sz="1"/>
              <w:left w:val="single" w:color="CCCCCC" w:sz="1"/>
              <w:bottom w:val="single" w:color="CCCCCC" w:sz="1"/>
              <w:right w:val="single" w:color="CCCCCC" w:sz="1"/>
            </w:tcBorders>
            <w:shd w:fill="EEF2F8" w:val="clear"/>
            <w:tcMar>
              <w:top w:type="dxa" w:w="100"/>
              <w:left w:type="dxa" w:w="100"/>
              <w:bottom w:type="dxa" w:w="60"/>
              <w:right w:type="dxa" w:w="100"/>
            </w:tcMar>
            <w:vAlign w:val="center"/>
          </w:tcPr>
          <w:p>
            <w:pPr>
              <w:spacing w:before="0" w:after="30"/>
              <w:jc w:val="center"/>
            </w:pPr>
            <w:r>
              <w:rPr>
                <w:rFonts w:ascii="Arial" w:cs="Arial" w:eastAsia="Arial" w:hAnsi="Arial"/>
                <w:b/>
                <w:bCs/>
                <w:color w:val="1B3A5C"/>
                <w:sz w:val="18"/>
                <w:szCs w:val="18"/>
              </w:rPr>
              <w:t xml:space="preserve">Days 31–50</w:t>
            </w:r>
          </w:p>
          <w:p>
            <w:pPr>
              <w:spacing w:before="0" w:after="0"/>
              <w:jc w:val="center"/>
            </w:pPr>
            <w:r>
              <w:rPr>
                <w:rFonts w:ascii="Arial" w:cs="Arial" w:eastAsia="Arial" w:hAnsi="Arial"/>
                <w:b w:val="false"/>
                <w:bCs w:val="false"/>
                <w:color w:val="333333"/>
                <w:sz w:val="17"/>
                <w:szCs w:val="17"/>
              </w:rPr>
              <w:t xml:space="preserve">SPO + Rating Kick-off</w:t>
            </w:r>
          </w:p>
        </w:tc>
        <w:tc>
          <w:tcPr>
            <w:tcW w:type="dxa" w:w="2016"/>
            <w:tcBorders>
              <w:top w:val="single" w:color="CCCCCC" w:sz="1"/>
              <w:left w:val="single" w:color="CCCCCC" w:sz="1"/>
              <w:bottom w:val="single" w:color="CCCCCC" w:sz="1"/>
              <w:right w:val="single" w:color="CCCCCC" w:sz="1"/>
            </w:tcBorders>
            <w:shd w:fill="EEF2F8" w:val="clear"/>
            <w:tcMar>
              <w:top w:type="dxa" w:w="100"/>
              <w:left w:type="dxa" w:w="100"/>
              <w:bottom w:type="dxa" w:w="60"/>
              <w:right w:type="dxa" w:w="100"/>
            </w:tcMar>
            <w:vAlign w:val="center"/>
          </w:tcPr>
          <w:p>
            <w:pPr>
              <w:spacing w:before="0" w:after="30"/>
              <w:jc w:val="center"/>
            </w:pPr>
            <w:r>
              <w:rPr>
                <w:rFonts w:ascii="Arial" w:cs="Arial" w:eastAsia="Arial" w:hAnsi="Arial"/>
                <w:b/>
                <w:bCs/>
                <w:color w:val="1B3A5C"/>
                <w:sz w:val="18"/>
                <w:szCs w:val="18"/>
              </w:rPr>
              <w:t xml:space="preserve">Days 51–70</w:t>
            </w:r>
          </w:p>
          <w:p>
            <w:pPr>
              <w:spacing w:before="0" w:after="0"/>
              <w:jc w:val="center"/>
            </w:pPr>
            <w:r>
              <w:rPr>
                <w:rFonts w:ascii="Arial" w:cs="Arial" w:eastAsia="Arial" w:hAnsi="Arial"/>
                <w:b w:val="false"/>
                <w:bCs w:val="false"/>
                <w:color w:val="333333"/>
                <w:sz w:val="17"/>
                <w:szCs w:val="17"/>
              </w:rPr>
              <w:t xml:space="preserve">Arranger + ADB Brief</w:t>
            </w:r>
          </w:p>
        </w:tc>
        <w:tc>
          <w:tcPr>
            <w:tcW w:type="dxa" w:w="2016"/>
            <w:tcBorders>
              <w:top w:val="single" w:color="CCCCCC" w:sz="1"/>
              <w:left w:val="single" w:color="CCCCCC" w:sz="1"/>
              <w:bottom w:val="single" w:color="CCCCCC" w:sz="1"/>
              <w:right w:val="single" w:color="CCCCCC" w:sz="1"/>
            </w:tcBorders>
            <w:shd w:fill="EEF2F8" w:val="clear"/>
            <w:tcMar>
              <w:top w:type="dxa" w:w="100"/>
              <w:left w:type="dxa" w:w="100"/>
              <w:bottom w:type="dxa" w:w="60"/>
              <w:right w:type="dxa" w:w="100"/>
            </w:tcMar>
            <w:vAlign w:val="center"/>
          </w:tcPr>
          <w:p>
            <w:pPr>
              <w:spacing w:before="0" w:after="30"/>
              <w:jc w:val="center"/>
            </w:pPr>
            <w:r>
              <w:rPr>
                <w:rFonts w:ascii="Arial" w:cs="Arial" w:eastAsia="Arial" w:hAnsi="Arial"/>
                <w:b/>
                <w:bCs/>
                <w:color w:val="1B3A5C"/>
                <w:sz w:val="18"/>
                <w:szCs w:val="18"/>
              </w:rPr>
              <w:t xml:space="preserve">Days 71–90</w:t>
            </w:r>
          </w:p>
          <w:p>
            <w:pPr>
              <w:spacing w:before="0" w:after="0"/>
              <w:jc w:val="center"/>
            </w:pPr>
            <w:r>
              <w:rPr>
                <w:rFonts w:ascii="Arial" w:cs="Arial" w:eastAsia="Arial" w:hAnsi="Arial"/>
                <w:b w:val="false"/>
                <w:bCs w:val="false"/>
                <w:color w:val="333333"/>
                <w:sz w:val="17"/>
                <w:szCs w:val="17"/>
              </w:rPr>
              <w:t xml:space="preserve">CSE Filing + Open</w:t>
            </w:r>
          </w:p>
        </w:tc>
      </w:tr>
    </w:tbl>
    <w:p>
      <w:pPr>
        <w:spacing w:before="50" w:after="50"/>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C8960C"/>
                <w:sz w:val="17"/>
                <w:szCs w:val="17"/>
              </w:rPr>
              <w:t xml:space="preserve">Days 1–14</w:t>
            </w:r>
          </w:p>
        </w:tc>
        <w:tc>
          <w:tcPr>
            <w:tcW w:type="dxa" w:w="8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40"/>
            </w:pPr>
            <w:r>
              <w:rPr>
                <w:rFonts w:ascii="Arial" w:cs="Arial" w:eastAsia="Arial" w:hAnsi="Arial"/>
                <w:b/>
                <w:bCs/>
                <w:color w:val="0D6E6E"/>
                <w:sz w:val="20"/>
                <w:szCs w:val="20"/>
              </w:rPr>
              <w:t xml:space="preserve">Chairman Meeting — Mandate</w:t>
            </w:r>
          </w:p>
          <w:p>
            <w:pPr>
              <w:spacing w:before="0"/>
            </w:pPr>
            <w:r>
              <w:rPr>
                <w:rFonts w:ascii="Arial" w:cs="Arial" w:eastAsia="Arial" w:hAnsi="Arial"/>
                <w:b w:val="false"/>
                <w:bCs w:val="false"/>
                <w:color w:val="333333"/>
                <w:sz w:val="20"/>
                <w:szCs w:val="20"/>
              </w:rPr>
              <w:t xml:space="preserve">Walk in with this document. Open with the market data: four oversubscribed bonds in 15 months. Show the BRI case study — same rural mandate, USD 500M internationally. The pitch: 'Every credible financial institution in Sri Lanka has now done this or is doing it. BOC went first among state banks but with a Tier II capital instrument. RDB can go first with a genuine development mandate sustainability bond — the instrument that IFC, ADB, and ESG fund managers actually want to buy. We design it, you sign it, you ring the bell.' First ask: framework advisory mandate, LKR 8M, 50% upfront.</w:t>
            </w:r>
          </w:p>
        </w:tc>
      </w:tr>
    </w:tbl>
    <w:p>
      <w:pPr>
        <w:spacing w:before="25" w:after="25"/>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C8960C"/>
                <w:sz w:val="17"/>
                <w:szCs w:val="17"/>
              </w:rPr>
              <w:t xml:space="preserve">Days 15–30</w:t>
            </w:r>
          </w:p>
        </w:tc>
        <w:tc>
          <w:tcPr>
            <w:tcW w:type="dxa" w:w="8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40"/>
            </w:pPr>
            <w:r>
              <w:rPr>
                <w:rFonts w:ascii="Arial" w:cs="Arial" w:eastAsia="Arial" w:hAnsi="Arial"/>
                <w:b/>
                <w:bCs/>
                <w:color w:val="0D6E6E"/>
                <w:sz w:val="20"/>
                <w:szCs w:val="20"/>
              </w:rPr>
              <w:t xml:space="preserve">Sustainability Bond Framework Drafting</w:t>
            </w:r>
          </w:p>
          <w:p>
            <w:pPr>
              <w:spacing w:before="0"/>
            </w:pPr>
            <w:r>
              <w:rPr>
                <w:rFonts w:ascii="Arial" w:cs="Arial" w:eastAsia="Arial" w:hAnsi="Arial"/>
                <w:b w:val="false"/>
                <w:bCs w:val="false"/>
                <w:color w:val="333333"/>
                <w:sz w:val="20"/>
                <w:szCs w:val="20"/>
              </w:rPr>
              <w:t xml:space="preserve">Draft the Sustainability Bond Framework using ICMA templates. Populate RDB's eligible categories (from the table in Section 2). Interview RDB credit team on existing loan book to quantify how much of the current portfolio qualifies immediately. This gives us the 'available pipeline' number — critical for investor confidence. Target: 40–60% of existing agricultural and SME loan book qualifies under social eligible categories, giving immediate deployment commitment.</w:t>
            </w:r>
          </w:p>
        </w:tc>
      </w:tr>
    </w:tbl>
    <w:p>
      <w:pPr>
        <w:spacing w:before="25" w:after="25"/>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C8960C"/>
                <w:sz w:val="17"/>
                <w:szCs w:val="17"/>
              </w:rPr>
              <w:t xml:space="preserve">Days 31–50</w:t>
            </w:r>
          </w:p>
        </w:tc>
        <w:tc>
          <w:tcPr>
            <w:tcW w:type="dxa" w:w="8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40"/>
            </w:pPr>
            <w:r>
              <w:rPr>
                <w:rFonts w:ascii="Arial" w:cs="Arial" w:eastAsia="Arial" w:hAnsi="Arial"/>
                <w:b/>
                <w:bCs/>
                <w:color w:val="0D6E6E"/>
                <w:sz w:val="20"/>
                <w:szCs w:val="20"/>
              </w:rPr>
              <w:t xml:space="preserve">SPO Engagement + Rating Agency Brief</w:t>
            </w:r>
          </w:p>
          <w:p>
            <w:pPr>
              <w:spacing w:before="0"/>
            </w:pPr>
            <w:r>
              <w:rPr>
                <w:rFonts w:ascii="Arial" w:cs="Arial" w:eastAsia="Arial" w:hAnsi="Arial"/>
                <w:b w:val="false"/>
                <w:bCs w:val="false"/>
                <w:color w:val="333333"/>
                <w:sz w:val="20"/>
                <w:szCs w:val="20"/>
              </w:rPr>
              <w:t xml:space="preserve">Submit draft Framework to Sustainalytics. Their turnaround is 4–6 weeks. Simultaneously brief Fitch Ratings Lanka on the proposed issuance. Fitch will want to see RDB's financial statements, existing credit rating (if any), and the framework. Note: RDB may need a standalone credit rating first — we advise on this. If no rating exists, Lanka Rating Agency can issue one faster than Fitch.</w:t>
            </w:r>
          </w:p>
        </w:tc>
      </w:tr>
    </w:tbl>
    <w:p>
      <w:pPr>
        <w:spacing w:before="25" w:after="25"/>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C8960C"/>
                <w:sz w:val="17"/>
                <w:szCs w:val="17"/>
              </w:rPr>
              <w:t xml:space="preserve">Days 51–70</w:t>
            </w:r>
          </w:p>
        </w:tc>
        <w:tc>
          <w:tcPr>
            <w:tcW w:type="dxa" w:w="8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40"/>
            </w:pPr>
            <w:r>
              <w:rPr>
                <w:rFonts w:ascii="Arial" w:cs="Arial" w:eastAsia="Arial" w:hAnsi="Arial"/>
                <w:b/>
                <w:bCs/>
                <w:color w:val="0D6E6E"/>
                <w:sz w:val="20"/>
                <w:szCs w:val="20"/>
              </w:rPr>
              <w:t xml:space="preserve">Arranger Selection + ADB Cornerstone Conversation</w:t>
            </w:r>
          </w:p>
          <w:p>
            <w:pPr>
              <w:spacing w:before="0"/>
            </w:pPr>
            <w:r>
              <w:rPr>
                <w:rFonts w:ascii="Arial" w:cs="Arial" w:eastAsia="Arial" w:hAnsi="Arial"/>
                <w:b w:val="false"/>
                <w:bCs w:val="false"/>
                <w:color w:val="333333"/>
                <w:sz w:val="20"/>
                <w:szCs w:val="20"/>
              </w:rPr>
              <w:t xml:space="preserve">Brief NDBIB and one other arranger on the mandate. Parallel: write to ADB Financial Sector Sri Lanka (cc: ADB Sri Lanka Country Director) requesting a meeting to discuss ADB cornerstone investor participation. Use the DFCC precedent and the Alliance Finance ADB attendance as context. ADB's presence at the bell-ringing as cornerstone buyer would be the single biggest signal to international ESG investors.</w:t>
            </w:r>
          </w:p>
        </w:tc>
      </w:tr>
    </w:tbl>
    <w:p>
      <w:pPr>
        <w:spacing w:before="25" w:after="25"/>
      </w:pPr>
      <w:r>
        <w:rPr>
          <w:rFonts w:ascii="Arial" w:cs="Arial" w:eastAsia="Arial" w:hAnsi="Arial"/>
          <w:b w:val="false"/>
          <w:bCs w:val="false"/>
          <w:color w:val="333333"/>
          <w:sz w:val="20"/>
          <w:szCs w:val="20"/>
        </w:rP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spacing w:before="80" w:after="80"/>
              <w:jc w:val="center"/>
            </w:pPr>
            <w:r>
              <w:rPr>
                <w:rFonts w:ascii="Arial" w:cs="Arial" w:eastAsia="Arial" w:hAnsi="Arial"/>
                <w:b/>
                <w:bCs/>
                <w:color w:val="C8960C"/>
                <w:sz w:val="17"/>
                <w:szCs w:val="17"/>
              </w:rPr>
              <w:t xml:space="preserve">Days 71–90</w:t>
            </w:r>
          </w:p>
        </w:tc>
        <w:tc>
          <w:tcPr>
            <w:tcW w:type="dxa" w:w="8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40"/>
            </w:pPr>
            <w:r>
              <w:rPr>
                <w:rFonts w:ascii="Arial" w:cs="Arial" w:eastAsia="Arial" w:hAnsi="Arial"/>
                <w:b/>
                <w:bCs/>
                <w:color w:val="0D6E6E"/>
                <w:sz w:val="20"/>
                <w:szCs w:val="20"/>
              </w:rPr>
              <w:t xml:space="preserve">CSE GSS+ Filing + Bond Opens</w:t>
            </w:r>
          </w:p>
          <w:p>
            <w:pPr>
              <w:spacing w:before="0"/>
            </w:pPr>
            <w:r>
              <w:rPr>
                <w:rFonts w:ascii="Arial" w:cs="Arial" w:eastAsia="Arial" w:hAnsi="Arial"/>
                <w:b w:val="false"/>
                <w:bCs w:val="false"/>
                <w:color w:val="333333"/>
                <w:sz w:val="20"/>
                <w:szCs w:val="20"/>
              </w:rPr>
              <w:t xml:space="preserve">Submit GSS+ listing application with SPO, rating, framework, and legal documentation. CSE review takes 2–3 weeks. Bond opens. Based on all precedents, expect oversubscription within 1–5 days. Bell-ringing ceremony at CSE — the Chairman's moment. This is the day the story changes for RDB.</w:t>
            </w:r>
          </w:p>
        </w:tc>
      </w:tr>
    </w:tbl>
    <w:p>
      <w:pPr>
        <w:spacing w:before="25" w:after="25"/>
      </w:pPr>
      <w:r>
        <w:rPr>
          <w:rFonts w:ascii="Arial" w:cs="Arial" w:eastAsia="Arial" w:hAnsi="Arial"/>
          <w:b w:val="false"/>
          <w:bCs w:val="false"/>
          <w:color w:val="333333"/>
          <w:sz w:val="20"/>
          <w:szCs w:val="20"/>
        </w:rPr>
        <w:t xml:space="preserve"> </w:t>
      </w:r>
    </w:p>
    <w:p>
      <w:pPr>
        <w:spacing w:before="50" w:after="50"/>
      </w:pPr>
      <w:r>
        <w:rPr>
          <w:rFonts w:ascii="Arial" w:cs="Arial" w:eastAsia="Arial" w:hAnsi="Arial"/>
          <w:b w:val="false"/>
          <w:bCs w:val="false"/>
          <w:color w:val="333333"/>
          <w:sz w:val="20"/>
          <w:szCs w:val="20"/>
        </w:rPr>
        <w:t xml:space="preserve"> </w:t>
      </w:r>
    </w:p>
    <w:p>
      <w:pPr>
        <w:pBdr>
          <w:bottom w:val="single" w:color="0D6E6E" w:sz="4" w:space="1"/>
        </w:pBdr>
        <w:spacing w:before="120" w:after="120"/>
      </w:pPr>
      <w:r>
        <w:rPr>
          <w:rFonts w:ascii="Arial" w:cs="Arial" w:eastAsia="Arial" w:hAnsi="Arial"/>
          <w:b w:val="false"/>
          <w:bCs w:val="false"/>
          <w:color w:val="333333"/>
          <w:sz w:val="20"/>
          <w:szCs w:val="20"/>
        </w:rPr>
        <w:t xml:space="preserve"/>
      </w:r>
    </w:p>
    <w:p>
      <w:pPr>
        <w:pStyle w:val="Heading2"/>
        <w:spacing w:before="240" w:after="100"/>
      </w:pPr>
      <w:r>
        <w:rPr>
          <w:rFonts w:ascii="Arial" w:cs="Arial" w:eastAsia="Arial" w:hAnsi="Arial"/>
          <w:b/>
          <w:bCs/>
          <w:color w:val="0D6E6E"/>
          <w:sz w:val="28"/>
          <w:szCs w:val="28"/>
        </w:rPr>
        <w:t xml:space="preserve">7.  Key Risks &amp; Mitigations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c>
          <w:tcPr>
            <w:tcW w:type="dxa" w:w="2400"/>
            <w:tcBorders>
              <w:top w:val="single" w:color="CCCCCC" w:sz="1"/>
              <w:left w:val="single" w:color="CCCCCC" w:sz="1"/>
              <w:bottom w:val="single" w:color="CCCCCC" w:sz="1"/>
              <w:right w:val="single" w:color="CCCCCC" w:sz="1"/>
            </w:tcBorders>
            <w:shd w:fill="333333"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Risk</w:t>
            </w:r>
          </w:p>
        </w:tc>
        <w:tc>
          <w:tcPr>
            <w:tcW w:type="dxa" w:w="3840"/>
            <w:tcBorders>
              <w:top w:val="single" w:color="CCCCCC" w:sz="1"/>
              <w:left w:val="single" w:color="CCCCCC" w:sz="1"/>
              <w:bottom w:val="single" w:color="CCCCCC" w:sz="1"/>
              <w:right w:val="single" w:color="CCCCCC" w:sz="1"/>
            </w:tcBorders>
            <w:shd w:fill="333333"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Why It Could Happen</w:t>
            </w:r>
          </w:p>
        </w:tc>
        <w:tc>
          <w:tcPr>
            <w:tcW w:type="dxa" w:w="3840"/>
            <w:tcBorders>
              <w:top w:val="single" w:color="CCCCCC" w:sz="1"/>
              <w:left w:val="single" w:color="CCCCCC" w:sz="1"/>
              <w:bottom w:val="single" w:color="CCCCCC" w:sz="1"/>
              <w:right w:val="single" w:color="CCCCCC" w:sz="1"/>
            </w:tcBorders>
            <w:shd w:fill="333333" w:val="clear"/>
            <w:tcMar>
              <w:top w:type="dxa" w:w="100"/>
              <w:left w:type="dxa" w:w="140"/>
              <w:bottom w:type="dxa" w:w="100"/>
              <w:right w:type="dxa" w:w="140"/>
            </w:tcMar>
            <w:vAlign w:val="center"/>
          </w:tcPr>
          <w:p>
            <w:pPr>
              <w:spacing w:before="80" w:after="80"/>
              <w:jc w:val="center"/>
            </w:pPr>
            <w:r>
              <w:rPr>
                <w:rFonts w:ascii="Arial" w:cs="Arial" w:eastAsia="Arial" w:hAnsi="Arial"/>
                <w:b/>
                <w:bCs/>
                <w:color w:val="FFFFFF"/>
                <w:sz w:val="19"/>
                <w:szCs w:val="19"/>
              </w:rPr>
              <w:t xml:space="preserve">Mitigation</w:t>
            </w:r>
          </w:p>
        </w:tc>
      </w:tr>
      <w:tr>
        <w:tc>
          <w:tcPr>
            <w:tcW w:type="dxa" w:w="2400"/>
            <w:tcBorders>
              <w:top w:val="single" w:color="CCCCCC" w:sz="1"/>
              <w:left w:val="single" w:color="CCCCCC" w:sz="1"/>
              <w:bottom w:val="single" w:color="CCCCCC" w:sz="1"/>
              <w:right w:val="single" w:color="CCCCCC" w:sz="1"/>
            </w:tcBorders>
            <w:shd w:fill="FDF0F0" w:val="clear"/>
            <w:tcMar>
              <w:top w:type="dxa" w:w="100"/>
              <w:left w:type="dxa" w:w="140"/>
              <w:bottom w:type="dxa" w:w="100"/>
              <w:right w:type="dxa" w:w="140"/>
            </w:tcMar>
            <w:vAlign w:val="top"/>
          </w:tcPr>
          <w:p>
            <w:pPr>
              <w:spacing w:before="80" w:after="80"/>
            </w:pPr>
            <w:r>
              <w:rPr>
                <w:rFonts w:ascii="Arial" w:cs="Arial" w:eastAsia="Arial" w:hAnsi="Arial"/>
                <w:b/>
                <w:bCs/>
                <w:color w:val="7A0000"/>
                <w:sz w:val="18"/>
                <w:szCs w:val="18"/>
              </w:rPr>
              <w:t xml:space="preserve">RDB has no standalone credit rating</w:t>
            </w:r>
          </w:p>
        </w:tc>
        <w:tc>
          <w:tcPr>
            <w:tcW w:type="dxa" w:w="3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RDB funds via CBSL/Treasury. It may never have sought a market credit rating, which Fitch requires before rating the bond.</w:t>
            </w:r>
          </w:p>
        </w:tc>
        <w:tc>
          <w:tcPr>
            <w:tcW w:type="dxa" w:w="384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Lanka Rating Agency can issue an initial credit rating in 4–6 weeks. We budget this into the transaction timeline. State ownership is a significant rating support — government-guaranteed institutions rarely rate below BBB+.</w:t>
            </w:r>
          </w:p>
        </w:tc>
      </w:tr>
      <w:tr>
        <w:tc>
          <w:tcPr>
            <w:tcW w:type="dxa" w:w="2400"/>
            <w:tcBorders>
              <w:top w:val="single" w:color="CCCCCC" w:sz="1"/>
              <w:left w:val="single" w:color="CCCCCC" w:sz="1"/>
              <w:bottom w:val="single" w:color="CCCCCC" w:sz="1"/>
              <w:right w:val="single" w:color="CCCCCC" w:sz="1"/>
            </w:tcBorders>
            <w:shd w:fill="FDF0F0" w:val="clear"/>
            <w:tcMar>
              <w:top w:type="dxa" w:w="100"/>
              <w:left w:type="dxa" w:w="140"/>
              <w:bottom w:type="dxa" w:w="100"/>
              <w:right w:type="dxa" w:w="140"/>
            </w:tcMar>
            <w:vAlign w:val="top"/>
          </w:tcPr>
          <w:p>
            <w:pPr>
              <w:spacing w:before="80" w:after="80"/>
            </w:pPr>
            <w:r>
              <w:rPr>
                <w:rFonts w:ascii="Arial" w:cs="Arial" w:eastAsia="Arial" w:hAnsi="Arial"/>
                <w:b/>
                <w:bCs/>
                <w:color w:val="7A0000"/>
                <w:sz w:val="18"/>
                <w:szCs w:val="18"/>
              </w:rPr>
              <w:t xml:space="preserve">Government approval bottleneck</w:t>
            </w:r>
          </w:p>
        </w:tc>
        <w:tc>
          <w:tcPr>
            <w:tcW w:type="dxa" w:w="3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Any bond issuance by a state bank requires Ministry of Finance and/or Cabinet approval. This can be slow.</w:t>
            </w:r>
          </w:p>
        </w:tc>
        <w:tc>
          <w:tcPr>
            <w:tcW w:type="dxa" w:w="384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We brief the Ministry through the Chairman from Day 1. BOC's recent issuance provides the approval template — we reference it explicitly. Budget 30–60 days for ministerial clearance as a parallel track.</w:t>
            </w:r>
          </w:p>
        </w:tc>
      </w:tr>
      <w:tr>
        <w:tc>
          <w:tcPr>
            <w:tcW w:type="dxa" w:w="2400"/>
            <w:tcBorders>
              <w:top w:val="single" w:color="CCCCCC" w:sz="1"/>
              <w:left w:val="single" w:color="CCCCCC" w:sz="1"/>
              <w:bottom w:val="single" w:color="CCCCCC" w:sz="1"/>
              <w:right w:val="single" w:color="CCCCCC" w:sz="1"/>
            </w:tcBorders>
            <w:shd w:fill="FDF0F0" w:val="clear"/>
            <w:tcMar>
              <w:top w:type="dxa" w:w="100"/>
              <w:left w:type="dxa" w:w="140"/>
              <w:bottom w:type="dxa" w:w="100"/>
              <w:right w:type="dxa" w:w="140"/>
            </w:tcMar>
            <w:vAlign w:val="top"/>
          </w:tcPr>
          <w:p>
            <w:pPr>
              <w:spacing w:before="80" w:after="80"/>
            </w:pPr>
            <w:r>
              <w:rPr>
                <w:rFonts w:ascii="Arial" w:cs="Arial" w:eastAsia="Arial" w:hAnsi="Arial"/>
                <w:b/>
                <w:bCs/>
                <w:color w:val="7A0000"/>
                <w:sz w:val="18"/>
                <w:szCs w:val="18"/>
              </w:rPr>
              <w:t xml:space="preserve">NDBIB or arranger capacity</w:t>
            </w:r>
          </w:p>
        </w:tc>
        <w:tc>
          <w:tcPr>
            <w:tcW w:type="dxa" w:w="3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NDBIB may be busy with other issuances. Arranging capacity is finite in Sri Lanka.</w:t>
            </w:r>
          </w:p>
        </w:tc>
        <w:tc>
          <w:tcPr>
            <w:tcW w:type="dxa" w:w="384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We approach two arrangers simultaneously. Acuity Partners (JKH) is a strong backup. Alternatively, a foreign arranger (Standard Chartered Sri Lanka, HSBC Sri Lanka) can access international ESG investors directly.</w:t>
            </w:r>
          </w:p>
        </w:tc>
      </w:tr>
      <w:tr>
        <w:tc>
          <w:tcPr>
            <w:tcW w:type="dxa" w:w="2400"/>
            <w:tcBorders>
              <w:top w:val="single" w:color="CCCCCC" w:sz="1"/>
              <w:left w:val="single" w:color="CCCCCC" w:sz="1"/>
              <w:bottom w:val="single" w:color="CCCCCC" w:sz="1"/>
              <w:right w:val="single" w:color="CCCCCC" w:sz="1"/>
            </w:tcBorders>
            <w:shd w:fill="FDF0F0" w:val="clear"/>
            <w:tcMar>
              <w:top w:type="dxa" w:w="100"/>
              <w:left w:type="dxa" w:w="140"/>
              <w:bottom w:type="dxa" w:w="100"/>
              <w:right w:type="dxa" w:w="140"/>
            </w:tcMar>
            <w:vAlign w:val="top"/>
          </w:tcPr>
          <w:p>
            <w:pPr>
              <w:spacing w:before="80" w:after="80"/>
            </w:pPr>
            <w:r>
              <w:rPr>
                <w:rFonts w:ascii="Arial" w:cs="Arial" w:eastAsia="Arial" w:hAnsi="Arial"/>
                <w:b/>
                <w:bCs/>
                <w:color w:val="7A0000"/>
                <w:sz w:val="18"/>
                <w:szCs w:val="18"/>
              </w:rPr>
              <w:t xml:space="preserve">Market conditions shift</w:t>
            </w:r>
          </w:p>
        </w:tc>
        <w:tc>
          <w:tcPr>
            <w:tcW w:type="dxa" w:w="3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Interest rate environment or investor appetite may change between mandate and issuance.</w:t>
            </w:r>
          </w:p>
        </w:tc>
        <w:tc>
          <w:tcPr>
            <w:tcW w:type="dxa" w:w="384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The 8–12 week timeline is short enough to avoid most market risk. We include a rate re-pricing clause in the arranger mandate to allow adjustment.</w:t>
            </w:r>
          </w:p>
        </w:tc>
      </w:tr>
      <w:tr>
        <w:tc>
          <w:tcPr>
            <w:tcW w:type="dxa" w:w="2400"/>
            <w:tcBorders>
              <w:top w:val="single" w:color="CCCCCC" w:sz="1"/>
              <w:left w:val="single" w:color="CCCCCC" w:sz="1"/>
              <w:bottom w:val="single" w:color="CCCCCC" w:sz="1"/>
              <w:right w:val="single" w:color="CCCCCC" w:sz="1"/>
            </w:tcBorders>
            <w:shd w:fill="FDF0F0" w:val="clear"/>
            <w:tcMar>
              <w:top w:type="dxa" w:w="100"/>
              <w:left w:type="dxa" w:w="140"/>
              <w:bottom w:type="dxa" w:w="100"/>
              <w:right w:type="dxa" w:w="140"/>
            </w:tcMar>
            <w:vAlign w:val="top"/>
          </w:tcPr>
          <w:p>
            <w:pPr>
              <w:spacing w:before="80" w:after="80"/>
            </w:pPr>
            <w:r>
              <w:rPr>
                <w:rFonts w:ascii="Arial" w:cs="Arial" w:eastAsia="Arial" w:hAnsi="Arial"/>
                <w:b/>
                <w:bCs/>
                <w:color w:val="7A0000"/>
                <w:sz w:val="18"/>
                <w:szCs w:val="18"/>
              </w:rPr>
              <w:t xml:space="preserve">IFC/ADB pass on cornerstone</w:t>
            </w:r>
          </w:p>
        </w:tc>
        <w:tc>
          <w:tcPr>
            <w:tcW w:type="dxa" w:w="3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DFIs may observe but not invest at the bond level.</w:t>
            </w:r>
          </w:p>
        </w:tc>
        <w:tc>
          <w:tcPr>
            <w:tcW w:type="dxa" w:w="384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top"/>
          </w:tcPr>
          <w:p>
            <w:pPr>
              <w:spacing w:before="80" w:after="80"/>
            </w:pPr>
            <w:r>
              <w:rPr>
                <w:rFonts w:ascii="Arial" w:cs="Arial" w:eastAsia="Arial" w:hAnsi="Arial"/>
                <w:b w:val="false"/>
                <w:bCs w:val="false"/>
                <w:color w:val="333333"/>
                <w:sz w:val="19"/>
                <w:szCs w:val="19"/>
              </w:rPr>
              <w:t xml:space="preserve">Cornerstone DFI participation is a bonus, not a requirement. The bond succeeds on domestic investor demand alone — all five precedents prove it. DFI credit line is pursued separately post-issuance regardless.</w:t>
            </w:r>
          </w:p>
        </w:tc>
      </w:tr>
    </w:tbl>
    <w:p>
      <w:pPr>
        <w:spacing w:before="100" w:after="100"/>
      </w:pPr>
      <w:r>
        <w:rPr>
          <w:rFonts w:ascii="Arial" w:cs="Arial" w:eastAsia="Arial" w:hAnsi="Arial"/>
          <w:b w:val="false"/>
          <w:bCs w:val="false"/>
          <w:color w:val="333333"/>
          <w:sz w:val="20"/>
          <w:szCs w:val="20"/>
        </w:rPr>
        <w:t xml:space="preserve"> </w:t>
      </w:r>
    </w:p>
    <w:p>
      <w:pPr>
        <w:pBdr>
          <w:bottom w:val="single" w:color="0D6E6E" w:sz="4" w:space="1"/>
        </w:pBdr>
        <w:spacing w:before="120" w:after="120"/>
      </w:pPr>
      <w:r>
        <w:rPr>
          <w:rFonts w:ascii="Arial" w:cs="Arial" w:eastAsia="Arial" w:hAnsi="Arial"/>
          <w:b w:val="false"/>
          <w:bCs w:val="false"/>
          <w:color w:val="333333"/>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1B3A5C" w:val="clear"/>
            <w:tcMar>
              <w:top w:type="dxa" w:w="220"/>
              <w:left w:type="dxa" w:w="260"/>
              <w:bottom w:type="dxa" w:w="220"/>
              <w:right w:type="dxa" w:w="260"/>
            </w:tcMar>
          </w:tcPr>
          <w:p>
            <w:pPr>
              <w:spacing w:before="80" w:after="80"/>
            </w:pPr>
            <w:r>
              <w:rPr>
                <w:rFonts w:ascii="Arial" w:cs="Arial" w:eastAsia="Arial" w:hAnsi="Arial"/>
                <w:b/>
                <w:bCs/>
                <w:color w:val="C8960C"/>
                <w:sz w:val="26"/>
                <w:szCs w:val="26"/>
              </w:rPr>
              <w:t xml:space="preserve">THE BOND IS NOT THE DESTINATION. THE BOND IS THE KEY.</w:t>
            </w:r>
          </w:p>
          <w:p>
            <w:pPr>
              <w:spacing w:before="50" w:after="50"/>
            </w:pPr>
            <w:r>
              <w:rPr>
                <w:rFonts w:ascii="Arial" w:cs="Arial" w:eastAsia="Arial" w:hAnsi="Arial"/>
                <w:b w:val="false"/>
                <w:bCs w:val="false"/>
                <w:color w:val="333333"/>
                <w:sz w:val="20"/>
                <w:szCs w:val="20"/>
              </w:rPr>
              <w:t xml:space="preserve"> </w:t>
            </w:r>
          </w:p>
          <w:p>
            <w:pPr>
              <w:spacing w:before="80" w:after="80"/>
            </w:pPr>
            <w:r>
              <w:rPr>
                <w:rFonts w:ascii="Arial" w:cs="Arial" w:eastAsia="Arial" w:hAnsi="Arial"/>
                <w:b w:val="false"/>
                <w:bCs w:val="false"/>
                <w:color w:val="FFFFFF"/>
                <w:sz w:val="20"/>
                <w:szCs w:val="20"/>
              </w:rPr>
              <w:t xml:space="preserve">Every Sri Lankan GSS+ issuer to date has been a private or commercial institution. RDB is the first chance for a genuine state development bank to enter the market — with a rural poverty mandate, 6 million borrowers, and government backing. That story is not available to DFCC, HNB, BOC, or Alliance Finance. It is exclusively available to RDB.</w:t>
            </w:r>
          </w:p>
          <w:p>
            <w:pPr>
              <w:spacing w:before="80" w:after="80"/>
            </w:pPr>
            <w:r>
              <w:rPr>
                <w:rFonts w:ascii="Arial" w:cs="Arial" w:eastAsia="Arial" w:hAnsi="Arial"/>
                <w:b w:val="false"/>
                <w:bCs w:val="false"/>
                <w:color w:val="FFFFFF"/>
                <w:sz w:val="20"/>
                <w:szCs w:val="20"/>
              </w:rPr>
              <w:t xml:space="preserve">But the bond itself is only the first outcome. The real sequence is: (1) Bond → documented green framework → (2) IFC/ADB/GCF credit line application → (3) USD 50–250M concessional capital at 3–5% interest → (4) LKR 300M+ per year in funding cost savings → (5) GCF Direct Access Entity status.</w:t>
            </w:r>
          </w:p>
          <w:p>
            <w:pPr>
              <w:spacing w:before="80" w:after="80"/>
            </w:pPr>
            <w:r>
              <w:rPr>
                <w:rFonts w:ascii="Arial" w:cs="Arial" w:eastAsia="Arial" w:hAnsi="Arial"/>
                <w:b/>
                <w:bCs/>
                <w:color w:val="C8960C"/>
                <w:sz w:val="22"/>
                <w:szCs w:val="22"/>
              </w:rPr>
              <w:t xml:space="preserve">Our fee is paid on steps 1 and 2. The value we create for RDB compounds through steps 3–5 for the next decade.</w:t>
            </w:r>
          </w:p>
        </w:tc>
      </w:tr>
    </w:tbl>
    <w:p>
      <w:pPr>
        <w:spacing w:before="50" w:after="50"/>
      </w:pPr>
      <w:r>
        <w:rPr>
          <w:rFonts w:ascii="Arial" w:cs="Arial" w:eastAsia="Arial" w:hAnsi="Arial"/>
          <w:b w:val="false"/>
          <w:bCs w:val="false"/>
          <w:color w:val="333333"/>
          <w:sz w:val="20"/>
          <w:szCs w:val="20"/>
        </w:rPr>
        <w:t xml:space="preserve"> </w:t>
      </w:r>
    </w:p>
    <w:p>
      <w:pPr>
        <w:spacing w:before="80" w:after="80"/>
      </w:pPr>
      <w:r>
        <w:rPr>
          <w:rFonts w:ascii="Arial" w:cs="Arial" w:eastAsia="Arial" w:hAnsi="Arial"/>
          <w:b w:val="false"/>
          <w:bCs w:val="false"/>
          <w:color w:val="888888"/>
          <w:sz w:val="18"/>
          <w:szCs w:val="18"/>
        </w:rPr>
        <w:t xml:space="preserve">Document prepared February 2026. For internal use only. Data sourced from CSE, DFCC, Alliance Finance, HNB, BOC, ADB, IFC, LuxSE, Fitch Ratings, and verified Sri Lanka media sources.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B3A5C"/>
      <w:sz w:val="38"/>
      <w:szCs w:val="38"/>
    </w:rPr>
  </w:style>
  <w:style w:type="paragraph" w:styleId="Heading2">
    <w:name w:val="Heading 2"/>
    <w:basedOn w:val="Normal"/>
    <w:next w:val="Normal"/>
    <w:qFormat/>
    <w:pPr>
      <w:spacing w:before="240" w:after="100"/>
      <w:outlineLvl w:val="1"/>
    </w:pPr>
    <w:rPr>
      <w:rFonts w:ascii="Arial" w:cs="Arial" w:eastAsia="Arial" w:hAnsi="Arial"/>
      <w:b/>
      <w:bCs/>
      <w:color w:val="0D6E6E"/>
      <w:sz w:val="28"/>
      <w:szCs w:val="28"/>
    </w:rPr>
  </w:style>
  <w:style w:type="paragraph" w:styleId="Heading3">
    <w:name w:val="Heading 3"/>
    <w:basedOn w:val="Normal"/>
    <w:next w:val="Normal"/>
    <w:qFormat/>
    <w:pPr>
      <w:spacing w:before="160" w:after="80"/>
      <w:outlineLvl w:val="2"/>
    </w:pPr>
    <w:rPr>
      <w:rFonts w:ascii="Arial" w:cs="Arial" w:eastAsia="Arial" w:hAnsi="Arial"/>
      <w:b/>
      <w:bCs/>
      <w:color w:val="1A7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2026-02-22T17:20:00.540Z</dcterms:created>
  <dcterms:modified xsi:type="dcterms:W3CDTF">2026-02-22T17:20:00.541Z</dcterms:modified>
</cp:coreProperties>
</file>

<file path=docProps/custom.xml><?xml version="1.0" encoding="utf-8"?>
<Properties xmlns="http://schemas.openxmlformats.org/officeDocument/2006/custom-properties" xmlns:vt="http://schemas.openxmlformats.org/officeDocument/2006/docPropsVTypes"/>
</file>