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5C" w:val="clear"/>
            <w:tcMar>
              <w:top w:type="dxa" w:w="400"/>
              <w:left w:type="dxa" w:w="400"/>
              <w:bottom w:type="dxa" w:w="400"/>
              <w:right w:type="dxa" w:w="400"/>
            </w:tcMar>
          </w:tcPr>
          <w:p>
            <w:pPr>
              <w:spacing w:before="80" w:after="80"/>
            </w:pPr>
            <w:r>
              <w:rPr>
                <w:rFonts w:ascii="Arial" w:cs="Arial" w:eastAsia="Arial" w:hAnsi="Arial"/>
                <w:b/>
                <w:bCs/>
                <w:color w:val="C8960C"/>
                <w:sz w:val="22"/>
                <w:szCs w:val="22"/>
              </w:rPr>
              <w:t xml:space="preserve">RDB × SUSTAINABILITY BROKER</w:t>
            </w:r>
          </w:p>
          <w:p>
            <w:pPr>
              <w:spacing w:before="60" w:after="0"/>
            </w:pPr>
            <w:r>
              <w:rPr>
                <w:rFonts w:ascii="Arial" w:cs="Arial" w:eastAsia="Arial" w:hAnsi="Arial"/>
                <w:b/>
                <w:bCs/>
                <w:color w:val="FFFFFF"/>
                <w:sz w:val="48"/>
                <w:szCs w:val="48"/>
              </w:rPr>
              <w:t xml:space="preserve">Green Loan Product Design</w:t>
            </w:r>
          </w:p>
          <w:p>
            <w:pPr>
              <w:spacing w:before="0" w:after="120"/>
            </w:pPr>
            <w:r>
              <w:rPr>
                <w:rFonts w:ascii="Arial" w:cs="Arial" w:eastAsia="Arial" w:hAnsi="Arial"/>
                <w:b/>
                <w:bCs/>
                <w:color w:val="FFFFFF"/>
                <w:sz w:val="48"/>
                <w:szCs w:val="48"/>
              </w:rPr>
              <w:t xml:space="preserve">&amp; Borrower Pipeline</w:t>
            </w:r>
          </w:p>
          <w:p>
            <w:pPr>
              <w:spacing w:before="0" w:after="60"/>
            </w:pPr>
            <w:r>
              <w:rPr>
                <w:rFonts w:ascii="Arial" w:cs="Arial" w:eastAsia="Arial" w:hAnsi="Arial"/>
                <w:color w:val="BBBBBB"/>
                <w:sz w:val="22"/>
                <w:szCs w:val="22"/>
              </w:rPr>
              <w:t xml:space="preserve">Case Studies + Full Business Model</w:t>
            </w:r>
          </w:p>
          <w:p>
            <w:pPr>
              <w:spacing w:before="80" w:after="80"/>
            </w:pPr>
            <w:r>
              <w:rPr>
                <w:rFonts w:ascii="Arial" w:cs="Arial" w:eastAsia="Arial" w:hAnsi="Arial"/>
                <w:color w:val="888888"/>
                <w:sz w:val="20"/>
                <w:szCs w:val="20"/>
              </w:rPr>
              <w:t xml:space="preserve">February 2026  ·  For Internal Use Only</w:t>
            </w:r>
          </w:p>
        </w:tc>
      </w:tr>
    </w:tbl>
    <w:p>
      <w:pPr>
        <w:spacing w:before="120" w:after="12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0F2F2" w:val="clear"/>
            <w:tcMar>
              <w:top w:type="dxa" w:w="160"/>
              <w:left w:type="dxa" w:w="200"/>
              <w:bottom w:type="dxa" w:w="160"/>
              <w:right w:type="dxa" w:w="200"/>
            </w:tcMar>
          </w:tcPr>
          <w:p>
            <w:pPr>
              <w:spacing w:before="80" w:after="80"/>
            </w:pPr>
            <w:r>
              <w:rPr>
                <w:rFonts w:ascii="Arial" w:cs="Arial" w:eastAsia="Arial" w:hAnsi="Arial"/>
                <w:b/>
                <w:bCs/>
                <w:color w:val="0D6E6E"/>
                <w:sz w:val="22"/>
                <w:szCs w:val="22"/>
              </w:rPr>
              <w:t xml:space="preserve">The Core Idea in One Paragraph</w:t>
            </w:r>
          </w:p>
          <w:p>
            <w:pPr>
              <w:spacing w:before="80" w:after="80"/>
            </w:pPr>
            <w:r>
              <w:rPr>
                <w:rFonts w:ascii="Arial" w:cs="Arial" w:eastAsia="Arial" w:hAnsi="Arial"/>
                <w:color w:val="333333"/>
                <w:sz w:val="20"/>
                <w:szCs w:val="20"/>
              </w:rPr>
              <w:t xml:space="preserve">RDB has 6 million rural customers, 272 branches, and an existing green loan product (E-Friend) that sits largely unused. The new Chairman is a direct relationship. CBSL mandates all licensed banks to assess climate risk and grow green portfolios. IFC, ADB and the Green Climate Fund all have concessional funding lines that flow to development banks with credible green frameworks — but RDB has never accessed them. The gap: RDB has the customers and the mandate, but no green loan design, no borrower pre-screening capability, and no DFI relationship. You fill all three gaps. You design the products, pre-screen the borrowers, connect the certifiers, and earn fees from multiple sides of the transaction. Zero commodity risk. Zero delivery risk. Pure facilitation.</w:t>
            </w:r>
          </w:p>
        </w:tc>
      </w:tr>
    </w:tbl>
    <w:p>
      <w:pPr>
        <w:spacing w:before="120" w:after="120"/>
      </w:pPr>
      <w:r>
        <w:rPr>
          <w:rFonts w:ascii="Arial" w:cs="Arial" w:eastAsia="Arial" w:hAnsi="Arial"/>
          <w:color w:val="333333"/>
          <w:sz w:val="20"/>
          <w:szCs w:val="20"/>
        </w:rPr>
        <w:t xml:space="preserve"> </w:t>
      </w:r>
    </w:p>
    <w:p>
      <w:pPr>
        <w:pBdr>
          <w:bottom w:val="single" w:color="0D6E6E" w:sz="4" w:space="1"/>
        </w:pBdr>
        <w:spacing w:before="120" w:after="120"/>
      </w:pPr>
      <w:r>
        <w:rPr>
          <w:rFonts w:ascii="Arial" w:cs="Arial" w:eastAsia="Arial" w:hAnsi="Arial"/>
          <w:color w:val="333333"/>
          <w:sz w:val="20"/>
          <w:szCs w:val="20"/>
        </w:rPr>
        <w:t xml:space="preserve"/>
      </w:r>
    </w:p>
    <w:p>
      <w:pPr>
        <w:pStyle w:val="Heading1"/>
        <w:spacing w:before="300" w:after="120"/>
      </w:pPr>
      <w:r>
        <w:rPr>
          <w:rFonts w:ascii="Arial" w:cs="Arial" w:eastAsia="Arial" w:hAnsi="Arial"/>
          <w:b/>
          <w:bCs/>
          <w:color w:val="1B3A5C"/>
          <w:sz w:val="36"/>
          <w:szCs w:val="36"/>
        </w:rPr>
        <w:t xml:space="preserve">PART 1 — FIVE CASE STUDIES</w:t>
      </w:r>
    </w:p>
    <w:p>
      <w:pPr>
        <w:spacing w:before="80" w:after="80"/>
      </w:pPr>
      <w:r>
        <w:rPr>
          <w:rFonts w:ascii="Arial" w:cs="Arial" w:eastAsia="Arial" w:hAnsi="Arial"/>
          <w:color w:val="333333"/>
          <w:sz w:val="20"/>
          <w:szCs w:val="20"/>
        </w:rPr>
        <w:t xml:space="preserve">The following case studies are selected from Bangladesh, the Netherlands, the United States, and Sri Lanka. Each one maps directly to a specific element of the RDB model we are proposing.</w:t>
      </w:r>
    </w:p>
    <w:p>
      <w:pPr>
        <w:spacing w:before="60" w:after="60"/>
      </w:pPr>
      <w:r>
        <w:rPr>
          <w:rFonts w:ascii="Arial" w:cs="Arial" w:eastAsia="Arial" w:hAnsi="Arial"/>
          <w:color w:val="333333"/>
          <w:sz w:val="20"/>
          <w:szCs w:val="20"/>
        </w:rPr>
        <w:t xml:space="preserve"> </w:t>
      </w:r>
    </w:p>
    <w:p>
      <w:pPr>
        <w:spacing w:before="60" w:after="60"/>
      </w:pPr>
      <w:r>
        <w:rPr>
          <w:rFonts w:ascii="Arial" w:cs="Arial" w:eastAsia="Arial" w:hAnsi="Arial"/>
          <w:color w:val="333333"/>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00"/>
              <w:bottom w:type="dxa" w:w="120"/>
              <w:right w:type="dxa" w:w="200"/>
            </w:tcMar>
          </w:tcPr>
          <w:p>
            <w:pPr>
              <w:spacing w:before="80" w:after="80"/>
            </w:pPr>
            <w:r>
              <w:rPr>
                <w:rFonts w:ascii="Arial" w:cs="Arial" w:eastAsia="Arial" w:hAnsi="Arial"/>
                <w:b/>
                <w:bCs/>
                <w:color w:val="C8960C"/>
                <w:sz w:val="18"/>
                <w:szCs w:val="18"/>
              </w:rPr>
              <w:t xml:space="preserve">CASE STUDY 1</w:t>
            </w:r>
          </w:p>
          <w:p>
            <w:pPr>
              <w:spacing w:before="80" w:after="80"/>
            </w:pPr>
            <w:r>
              <w:rPr>
                <w:rFonts w:ascii="Arial" w:cs="Arial" w:eastAsia="Arial" w:hAnsi="Arial"/>
                <w:b/>
                <w:bCs/>
                <w:color w:val="FFFFFF"/>
                <w:sz w:val="26"/>
                <w:szCs w:val="26"/>
              </w:rPr>
              <w:t xml:space="preserve">IDCOL Solar Home System Programme</w:t>
            </w:r>
          </w:p>
          <w:p>
            <w:pPr>
              <w:spacing w:before="0" w:after="60"/>
            </w:pPr>
            <w:r>
              <w:rPr>
                <w:rFonts w:ascii="Arial" w:cs="Arial" w:eastAsia="Arial" w:hAnsi="Arial"/>
                <w:i/>
                <w:iCs/>
                <w:color w:val="AAAAAA"/>
                <w:sz w:val="18"/>
                <w:szCs w:val="18"/>
              </w:rPr>
              <w:t xml:space="preserve">Bangladesh  ·  State-Owned Intermediary · Rural Borrower Pipeline · DFI Funding Gateway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Infrastructure Development Company Limited (IDCOL) — a government non-bank financial institution under the Bangladesh Ministry of Finance, similar in structure to RDB.</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IDCOL did not lend directly to rural households. Instead, it acted as a wholesale intermediary: it received concessional loans from World Bank, ADB, and GCF, then on-lent to accredited Partner Organisations (NGOs, MFIs, rural co-ops) who in turn financed individual solar home systems for 4.1 million households.</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Broker Layer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IDCOL set technical standards and certified which products qualified. Partner Organisations had to meet IDCOL's eligibility criteria before receiving the wholesale credit line. This created a quality-controlled, pre-screened pipeline of borrowers — exactly the role we are proposing to play for RDB.</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Scale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USD 416M raised from DFIs. 4.1 million solar units installed. 20 million people reached. IDCOL itself earned arrangement fees and management margins on the DFI concessional lines it administered.</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IDCOL became Bangladesh's first Green Climate Fund Direct Access Entity. It now channels GCF finance directly into Bangladesh's garment and textile industries for green transformation — the same pathway open to RDB if it builds a credible green framework.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C" w:val="clear"/>
            <w:tcMar>
              <w:top w:type="dxa" w:w="100"/>
              <w:left w:type="dxa" w:w="160"/>
              <w:bottom w:type="dxa" w:w="100"/>
              <w:right w:type="dxa" w:w="16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color w:val="333333"/>
                <w:sz w:val="20"/>
                <w:szCs w:val="20"/>
              </w:rPr>
              <w:t xml:space="preserve">→  RDB is IDCOL. We are the Partner Organisation layer — the certified pre-screener who delivers bankable, eligible borrowers to RDB's loan desk.</w:t>
            </w:r>
          </w:p>
          <w:p>
            <w:pPr>
              <w:spacing w:before="40" w:after="40"/>
            </w:pPr>
            <w:r>
              <w:rPr>
                <w:rFonts w:ascii="Arial" w:cs="Arial" w:eastAsia="Arial" w:hAnsi="Arial"/>
                <w:color w:val="333333"/>
                <w:sz w:val="20"/>
                <w:szCs w:val="20"/>
              </w:rPr>
              <w:t xml:space="preserve">→  IDCOL's success was built on three things: DFI relationships, technical eligibility criteria, and trusted intermediaries. We can bring all three to RDB.</w:t>
            </w:r>
          </w:p>
          <w:p>
            <w:pPr>
              <w:spacing w:before="40" w:after="40"/>
            </w:pPr>
            <w:r>
              <w:rPr>
                <w:rFonts w:ascii="Arial" w:cs="Arial" w:eastAsia="Arial" w:hAnsi="Arial"/>
                <w:color w:val="333333"/>
                <w:sz w:val="20"/>
                <w:szCs w:val="20"/>
              </w:rPr>
              <w:t xml:space="preserve">→  IDCOL took 12 months to design the framework and sign its first DFI line. We can compress that to 6 months with RDB's state-bank credibility.</w:t>
            </w:r>
          </w:p>
          <w:p>
            <w:pPr>
              <w:spacing w:before="40" w:after="40"/>
            </w:pPr>
            <w:r>
              <w:rPr>
                <w:rFonts w:ascii="Arial" w:cs="Arial" w:eastAsia="Arial" w:hAnsi="Arial"/>
                <w:color w:val="333333"/>
                <w:sz w:val="20"/>
                <w:szCs w:val="20"/>
              </w:rPr>
              <w:t xml:space="preserve">→  DFCC already obtained GCF accreditation in 2023. RDB can position to be the second — and the first state development bank — to hold it.</w:t>
            </w:r>
          </w:p>
        </w:tc>
      </w:tr>
    </w:tbl>
    <w:p>
      <w:pPr>
        <w:spacing w:before="60" w:after="60"/>
      </w:pPr>
      <w:r>
        <w:rPr>
          <w:rFonts w:ascii="Arial" w:cs="Arial" w:eastAsia="Arial" w:hAnsi="Arial"/>
          <w:color w:val="333333"/>
          <w:sz w:val="20"/>
          <w:szCs w:val="20"/>
        </w:rPr>
        <w:t xml:space="preserve"> </w:t>
      </w:r>
    </w:p>
    <w:p>
      <w:pPr>
        <w:spacing w:before="60" w:after="60"/>
      </w:pPr>
      <w:r>
        <w:rPr>
          <w:rFonts w:ascii="Arial" w:cs="Arial" w:eastAsia="Arial" w:hAnsi="Arial"/>
          <w:color w:val="333333"/>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00"/>
              <w:bottom w:type="dxa" w:w="120"/>
              <w:right w:type="dxa" w:w="200"/>
            </w:tcMar>
          </w:tcPr>
          <w:p>
            <w:pPr>
              <w:spacing w:before="80" w:after="80"/>
            </w:pPr>
            <w:r>
              <w:rPr>
                <w:rFonts w:ascii="Arial" w:cs="Arial" w:eastAsia="Arial" w:hAnsi="Arial"/>
                <w:b/>
                <w:bCs/>
                <w:color w:val="C8960C"/>
                <w:sz w:val="18"/>
                <w:szCs w:val="18"/>
              </w:rPr>
              <w:t xml:space="preserve">CASE STUDY 2</w:t>
            </w:r>
          </w:p>
          <w:p>
            <w:pPr>
              <w:spacing w:before="80" w:after="80"/>
            </w:pPr>
            <w:r>
              <w:rPr>
                <w:rFonts w:ascii="Arial" w:cs="Arial" w:eastAsia="Arial" w:hAnsi="Arial"/>
                <w:b/>
                <w:bCs/>
                <w:color w:val="FFFFFF"/>
                <w:sz w:val="26"/>
                <w:szCs w:val="26"/>
              </w:rPr>
              <w:t xml:space="preserve">Rabo AgriFinance — Organic Transition Loan</w:t>
            </w:r>
          </w:p>
          <w:p>
            <w:pPr>
              <w:spacing w:before="0" w:after="60"/>
            </w:pPr>
            <w:r>
              <w:rPr>
                <w:rFonts w:ascii="Arial" w:cs="Arial" w:eastAsia="Arial" w:hAnsi="Arial"/>
                <w:i/>
                <w:iCs/>
                <w:color w:val="AAAAAA"/>
                <w:sz w:val="18"/>
                <w:szCs w:val="18"/>
              </w:rPr>
              <w:t xml:space="preserve">United States  ·  Certification-Linked Lending · Preferential Rate for Certified Borrowers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Rabo AgriFinance (subsidiary of Rabobank), the largest agricultural lender in the United States.</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Rabo designed a dedicated Organic Transition Loan product for US farmers seeking organic certification. The product specifically accounts for the 3-year conversion period during which farmers lose yield but cannot yet sell at organic premium prices. Repayment is structured to align with when certified income begins.</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Partner Layer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The product was developed in collaboration with Pipeline Foods — an organic commodity supply chain company that provided the market intelligence on what organic certification requires and which farmers were most likely to succeed. Pipeline Foods effectively pre-screened and referred borrowers to Rabo. This is the exact broker-referral model we propose for RDB.</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Organic premiums of 110–150% over conventional crop prices justified the loan structure. Rabo earned both the interest income and the strategic differentiation of owning the organic farming credit market.</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The product was designated a Green Loan under ICMA Green Loan Principles. It created a repeatable, scalable pipeline of certified borrowers referred to Rabo by a specialist intermediary — with zero additional marketing cost to the bank.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C" w:val="clear"/>
            <w:tcMar>
              <w:top w:type="dxa" w:w="100"/>
              <w:left w:type="dxa" w:w="160"/>
              <w:bottom w:type="dxa" w:w="100"/>
              <w:right w:type="dxa" w:w="16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color w:val="333333"/>
                <w:sz w:val="20"/>
                <w:szCs w:val="20"/>
              </w:rPr>
              <w:t xml:space="preserve">→  We are Pipeline Foods. RDB is Rabo. We pre-screen RDB's agricultural borrowers for certification eligibility and refer ready borrowers to RDB's green loan desk.</w:t>
            </w:r>
          </w:p>
          <w:p>
            <w:pPr>
              <w:spacing w:before="40" w:after="40"/>
            </w:pPr>
            <w:r>
              <w:rPr>
                <w:rFonts w:ascii="Arial" w:cs="Arial" w:eastAsia="Arial" w:hAnsi="Arial"/>
                <w:color w:val="333333"/>
                <w:sz w:val="20"/>
                <w:szCs w:val="20"/>
              </w:rPr>
              <w:t xml:space="preserve">→  RDB's 272 rural branches already have agricultural borrowers who could be on RA, GlobalG.A.P. or organic certification pathways — they just do not know it yet.</w:t>
            </w:r>
          </w:p>
          <w:p>
            <w:pPr>
              <w:spacing w:before="40" w:after="40"/>
            </w:pPr>
            <w:r>
              <w:rPr>
                <w:rFonts w:ascii="Arial" w:cs="Arial" w:eastAsia="Arial" w:hAnsi="Arial"/>
                <w:color w:val="333333"/>
                <w:sz w:val="20"/>
                <w:szCs w:val="20"/>
              </w:rPr>
              <w:t xml:space="preserve">→  The Rabo model shows that a bank does not need sustainability expertise internally. It needs one trusted intermediary partner who handles the technical pre-screening. That is us.</w:t>
            </w:r>
          </w:p>
          <w:p>
            <w:pPr>
              <w:spacing w:before="40" w:after="40"/>
            </w:pPr>
            <w:r>
              <w:rPr>
                <w:rFonts w:ascii="Arial" w:cs="Arial" w:eastAsia="Arial" w:hAnsi="Arial"/>
                <w:color w:val="333333"/>
                <w:sz w:val="20"/>
                <w:szCs w:val="20"/>
              </w:rPr>
              <w:t xml:space="preserve">→  Certification-linked loan rates (1–3% below standard) incentivise farmers to get certified, driving our certification brokerage fee.</w:t>
            </w:r>
          </w:p>
        </w:tc>
      </w:tr>
    </w:tbl>
    <w:p>
      <w:pPr>
        <w:spacing w:before="60" w:after="60"/>
      </w:pPr>
      <w:r>
        <w:rPr>
          <w:rFonts w:ascii="Arial" w:cs="Arial" w:eastAsia="Arial" w:hAnsi="Arial"/>
          <w:color w:val="333333"/>
          <w:sz w:val="20"/>
          <w:szCs w:val="20"/>
        </w:rPr>
        <w:t xml:space="preserve"> </w:t>
      </w:r>
    </w:p>
    <w:p>
      <w:pPr>
        <w:spacing w:before="60" w:after="60"/>
      </w:pPr>
      <w:r>
        <w:rPr>
          <w:rFonts w:ascii="Arial" w:cs="Arial" w:eastAsia="Arial" w:hAnsi="Arial"/>
          <w:color w:val="333333"/>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00"/>
              <w:bottom w:type="dxa" w:w="120"/>
              <w:right w:type="dxa" w:w="200"/>
            </w:tcMar>
          </w:tcPr>
          <w:p>
            <w:pPr>
              <w:spacing w:before="80" w:after="80"/>
            </w:pPr>
            <w:r>
              <w:rPr>
                <w:rFonts w:ascii="Arial" w:cs="Arial" w:eastAsia="Arial" w:hAnsi="Arial"/>
                <w:b/>
                <w:bCs/>
                <w:color w:val="C8960C"/>
                <w:sz w:val="18"/>
                <w:szCs w:val="18"/>
              </w:rPr>
              <w:t xml:space="preserve">CASE STUDY 3</w:t>
            </w:r>
          </w:p>
          <w:p>
            <w:pPr>
              <w:spacing w:before="80" w:after="80"/>
            </w:pPr>
            <w:r>
              <w:rPr>
                <w:rFonts w:ascii="Arial" w:cs="Arial" w:eastAsia="Arial" w:hAnsi="Arial"/>
                <w:b/>
                <w:bCs/>
                <w:color w:val="FFFFFF"/>
                <w:sz w:val="26"/>
                <w:szCs w:val="26"/>
              </w:rPr>
              <w:t xml:space="preserve">Rabobank Biodiversity Monitor + FrieslandCampina</w:t>
            </w:r>
          </w:p>
          <w:p>
            <w:pPr>
              <w:spacing w:before="0" w:after="60"/>
            </w:pPr>
            <w:r>
              <w:rPr>
                <w:rFonts w:ascii="Arial" w:cs="Arial" w:eastAsia="Arial" w:hAnsi="Arial"/>
                <w:i/>
                <w:iCs/>
                <w:color w:val="AAAAAA"/>
                <w:sz w:val="18"/>
                <w:szCs w:val="18"/>
              </w:rPr>
              <w:t xml:space="preserve">Netherlands  ·  Dual Incentive Model · Bank Rate + Buyer Premium · Third-Party Scoring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Rabobank (bank) partnered with FrieslandCampina (dairy buyer) and a third-party scientific tool called the Biodiversity Monitor.</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Dairy farmers who scored well on the Biodiversity Monitor — an independent third-party assessment tool — received two simultaneous rewards: a preferential interest rate reduction from Rabobank AND a higher milk purchase price from FrieslandCampina. The bank and the buyer created a dual incentive, with the Monitor acting as the neutral certifier.</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Why It Works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The bank does not need to verify sustainability performance itself. The third-party certifier does that. The bank just sets the criteria (score above X) and adjusts the rate automatically. This is the lowest-cost green lending model possible — the bank underwrites the finance, the third-party certifier does the assessment, and the broker connects all three.</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Scale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Rabobank now applies this model to its Dutch dairy farming market (its single largest customer segment) and is extending the same scoring framework to international markets where it operates.</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Farmers earn more on both the loan and the milk sale. Rabobank builds a differentiated, lower-risk green loan book. FrieslandCampina secures a certified supply chain. The certifier earns audit fees. The broker earns an introduction and management fee from each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C" w:val="clear"/>
            <w:tcMar>
              <w:top w:type="dxa" w:w="100"/>
              <w:left w:type="dxa" w:w="160"/>
              <w:bottom w:type="dxa" w:w="100"/>
              <w:right w:type="dxa" w:w="16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color w:val="333333"/>
                <w:sz w:val="20"/>
                <w:szCs w:val="20"/>
              </w:rPr>
              <w:t xml:space="preserve">→  For RDB, the equivalent of FrieslandCampina is the EU buyer (M&amp;S, Lipton, Tesco) who pays a premium for certified tea and cinnamon. We connect RDB's agricultural borrowers to both the certifier AND the premium buyer — creating a triple incentive: cheaper loan + certification + higher export price.</w:t>
            </w:r>
          </w:p>
          <w:p>
            <w:pPr>
              <w:spacing w:before="40" w:after="40"/>
            </w:pPr>
            <w:r>
              <w:rPr>
                <w:rFonts w:ascii="Arial" w:cs="Arial" w:eastAsia="Arial" w:hAnsi="Arial"/>
                <w:color w:val="333333"/>
                <w:sz w:val="20"/>
                <w:szCs w:val="20"/>
              </w:rPr>
              <w:t xml:space="preserve">→  RDB does not need to assess biodiversity or sustainability itself. We bring the certifier (RA, GlobalG.A.P.) who does the scoring. RDB just needs to set the rate discount rule.</w:t>
            </w:r>
          </w:p>
          <w:p>
            <w:pPr>
              <w:spacing w:before="40" w:after="40"/>
            </w:pPr>
            <w:r>
              <w:rPr>
                <w:rFonts w:ascii="Arial" w:cs="Arial" w:eastAsia="Arial" w:hAnsi="Arial"/>
                <w:color w:val="333333"/>
                <w:sz w:val="20"/>
                <w:szCs w:val="20"/>
              </w:rPr>
              <w:t xml:space="preserve">→  This model explains why the bank does NOT need internal sustainability staff — it outsources the assessment to a certified partner. That is why our broker model works perfectly.</w:t>
            </w:r>
          </w:p>
        </w:tc>
      </w:tr>
    </w:tbl>
    <w:p>
      <w:pPr>
        <w:spacing w:before="60" w:after="60"/>
      </w:pPr>
      <w:r>
        <w:rPr>
          <w:rFonts w:ascii="Arial" w:cs="Arial" w:eastAsia="Arial" w:hAnsi="Arial"/>
          <w:color w:val="333333"/>
          <w:sz w:val="20"/>
          <w:szCs w:val="20"/>
        </w:rPr>
        <w:t xml:space="preserve"> </w:t>
      </w:r>
    </w:p>
    <w:p>
      <w:pPr>
        <w:spacing w:before="60" w:after="60"/>
      </w:pPr>
      <w:r>
        <w:rPr>
          <w:rFonts w:ascii="Arial" w:cs="Arial" w:eastAsia="Arial" w:hAnsi="Arial"/>
          <w:color w:val="333333"/>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00"/>
              <w:bottom w:type="dxa" w:w="120"/>
              <w:right w:type="dxa" w:w="200"/>
            </w:tcMar>
          </w:tcPr>
          <w:p>
            <w:pPr>
              <w:spacing w:before="80" w:after="80"/>
            </w:pPr>
            <w:r>
              <w:rPr>
                <w:rFonts w:ascii="Arial" w:cs="Arial" w:eastAsia="Arial" w:hAnsi="Arial"/>
                <w:b/>
                <w:bCs/>
                <w:color w:val="C8960C"/>
                <w:sz w:val="18"/>
                <w:szCs w:val="18"/>
              </w:rPr>
              <w:t xml:space="preserve">CASE STUDY 4</w:t>
            </w:r>
          </w:p>
          <w:p>
            <w:pPr>
              <w:spacing w:before="80" w:after="80"/>
            </w:pPr>
            <w:r>
              <w:rPr>
                <w:rFonts w:ascii="Arial" w:cs="Arial" w:eastAsia="Arial" w:hAnsi="Arial"/>
                <w:b/>
                <w:bCs/>
                <w:color w:val="FFFFFF"/>
                <w:sz w:val="26"/>
                <w:szCs w:val="26"/>
              </w:rPr>
              <w:t xml:space="preserve">DFCC Bank — Sri Lanka's First GCF Direct Access Entity</w:t>
            </w:r>
          </w:p>
          <w:p>
            <w:pPr>
              <w:spacing w:before="0" w:after="60"/>
            </w:pPr>
            <w:r>
              <w:rPr>
                <w:rFonts w:ascii="Arial" w:cs="Arial" w:eastAsia="Arial" w:hAnsi="Arial"/>
                <w:i/>
                <w:iCs/>
                <w:color w:val="AAAAAA"/>
                <w:sz w:val="18"/>
                <w:szCs w:val="18"/>
              </w:rPr>
              <w:t xml:space="preserve">Sri Lanka  ·  Green Loan Framework + DFI Accreditation · Blueprint for RDB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DFCC Bank PLC — a Sri Lankan commercial bank established in 1955, now the country's first private sector Green Climate Fund Direct Access Entity.</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In July 2023, DFCC became the first Sri Lankan bank (and first private sector entity) to obtain GCF accreditation, unlocking access to project financing of USD 50–250 million. DFCC had previously built a track record by financing Sri Lanka's first private sector grid-connected small hydro, wind, and solar projects.</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How They Got There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DFCC built a sustainability strategy over several years — integrating environmental and social risk management into their credit process, developing a green loan portfolio, and documenting impact metrics. This track record was what convinced GCF to accredit them. A second party opinion confirming alignment with Green Loan Principles was required.</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Gap This Reveals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RDB is a 100% state-owned development bank with 6 million rural customers and an explicit mandate to serve agriculture, livestock, fisheries and MSMEs — exactly the sectors GCF prioritises. Yet RDB has no GCF accreditation, no documented green loan framework, and has never submitted an impact report. DFCC got there first among private banks. RDB should be first among state development banks.</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Prize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GCF accreditation unlocks USD 50–250M of concessional project finance per approval. At current LKR/USD rates, a single GCF project approval could bring LKR 15–75B of concessional capital into RDB — at rates far below what RDB currently pays to fund its loan book.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C" w:val="clear"/>
            <w:tcMar>
              <w:top w:type="dxa" w:w="100"/>
              <w:left w:type="dxa" w:w="160"/>
              <w:bottom w:type="dxa" w:w="100"/>
              <w:right w:type="dxa" w:w="16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color w:val="333333"/>
                <w:sz w:val="20"/>
                <w:szCs w:val="20"/>
              </w:rPr>
              <w:t xml:space="preserve">→  DFCC's GCF journey confirms it is achievable for a Sri Lankan bank within 2–3 years from a standing start. We can compress that timeline for RDB because we bring the framework design capability DFCC had to build internally.</w:t>
            </w:r>
          </w:p>
          <w:p>
            <w:pPr>
              <w:spacing w:before="40" w:after="40"/>
            </w:pPr>
            <w:r>
              <w:rPr>
                <w:rFonts w:ascii="Arial" w:cs="Arial" w:eastAsia="Arial" w:hAnsi="Arial"/>
                <w:color w:val="333333"/>
                <w:sz w:val="20"/>
                <w:szCs w:val="20"/>
              </w:rPr>
              <w:t xml:space="preserve">→  The GCF application requires a documented green loan framework and proof of past green lending — we help RDB build both, starting now.</w:t>
            </w:r>
          </w:p>
          <w:p>
            <w:pPr>
              <w:spacing w:before="40" w:after="40"/>
            </w:pPr>
            <w:r>
              <w:rPr>
                <w:rFonts w:ascii="Arial" w:cs="Arial" w:eastAsia="Arial" w:hAnsi="Arial"/>
                <w:color w:val="333333"/>
                <w:sz w:val="20"/>
                <w:szCs w:val="20"/>
              </w:rPr>
              <w:t xml:space="preserve">→  Our broker fee on GCF-facilitated capital (even a 0.5% arrangement fee on USD 100M) is LKR 750M+. The accreditation advisory alone is worth LKR 10–20M.</w:t>
            </w:r>
          </w:p>
          <w:p>
            <w:pPr>
              <w:spacing w:before="40" w:after="40"/>
            </w:pPr>
            <w:r>
              <w:rPr>
                <w:rFonts w:ascii="Arial" w:cs="Arial" w:eastAsia="Arial" w:hAnsi="Arial"/>
                <w:color w:val="333333"/>
                <w:sz w:val="20"/>
                <w:szCs w:val="20"/>
              </w:rPr>
              <w:t xml:space="preserve">→  This case study is the most important one for the RDB Chairman conversation. It is evidence that another Sri Lankan bank has already done this and the prize is enormous.</w:t>
            </w:r>
          </w:p>
        </w:tc>
      </w:tr>
    </w:tbl>
    <w:p>
      <w:pPr>
        <w:spacing w:before="60" w:after="60"/>
      </w:pPr>
      <w:r>
        <w:rPr>
          <w:rFonts w:ascii="Arial" w:cs="Arial" w:eastAsia="Arial" w:hAnsi="Arial"/>
          <w:color w:val="333333"/>
          <w:sz w:val="20"/>
          <w:szCs w:val="20"/>
        </w:rPr>
        <w:t xml:space="preserve"> </w:t>
      </w:r>
    </w:p>
    <w:p>
      <w:pPr>
        <w:spacing w:before="60" w:after="60"/>
      </w:pPr>
      <w:r>
        <w:rPr>
          <w:rFonts w:ascii="Arial" w:cs="Arial" w:eastAsia="Arial" w:hAnsi="Arial"/>
          <w:color w:val="333333"/>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00"/>
              <w:bottom w:type="dxa" w:w="120"/>
              <w:right w:type="dxa" w:w="200"/>
            </w:tcMar>
          </w:tcPr>
          <w:p>
            <w:pPr>
              <w:spacing w:before="80" w:after="80"/>
            </w:pPr>
            <w:r>
              <w:rPr>
                <w:rFonts w:ascii="Arial" w:cs="Arial" w:eastAsia="Arial" w:hAnsi="Arial"/>
                <w:b/>
                <w:bCs/>
                <w:color w:val="C8960C"/>
                <w:sz w:val="18"/>
                <w:szCs w:val="18"/>
              </w:rPr>
              <w:t xml:space="preserve">CASE STUDY 5</w:t>
            </w:r>
          </w:p>
          <w:p>
            <w:pPr>
              <w:spacing w:before="80" w:after="80"/>
            </w:pPr>
            <w:r>
              <w:rPr>
                <w:rFonts w:ascii="Arial" w:cs="Arial" w:eastAsia="Arial" w:hAnsi="Arial"/>
                <w:b/>
                <w:bCs/>
                <w:color w:val="FFFFFF"/>
                <w:sz w:val="26"/>
                <w:szCs w:val="26"/>
              </w:rPr>
              <w:t xml:space="preserve">Bangladesh Bank Green Finance Mandate — Regulatory Pull Creates Broker Opportunity</w:t>
            </w:r>
          </w:p>
          <w:p>
            <w:pPr>
              <w:spacing w:before="0" w:after="60"/>
            </w:pPr>
            <w:r>
              <w:rPr>
                <w:rFonts w:ascii="Arial" w:cs="Arial" w:eastAsia="Arial" w:hAnsi="Arial"/>
                <w:i/>
                <w:iCs/>
                <w:color w:val="AAAAAA"/>
                <w:sz w:val="18"/>
                <w:szCs w:val="18"/>
              </w:rPr>
              <w:t xml:space="preserve">Bangladesh  ·  Regulatory Mandate · 5% Green Portfolio Requirement · Broker as Pipeline Filler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Bangladesh Bank (central bank) and all 59 scheduled banks operating under it.</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In January 2016, Bangladesh Bank mandated that all banks and financial institutions must allocate at least 5% of total loan disbursement to direct green finance. This created an immediate problem: banks had the mandate but no pipeline of creditworthy green borrowers. Total direct green finance disbursed reached BDT 503 billion (approx. LKR 1.6 trillion equivalent) by 2016, with private commercial banks contributing 80%.</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Problem It Created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Academic research found that despite the mandate, most banks were struggling to find sufficient bankable green project proposals. Banks had the capital and the regulatory requirement, but lacked the pipeline. This is the exact situation CBSL is creating for Sri Lankan banks through its Sustainability Roadmap 2025–2030.</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 Won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The institutions that moved fastest were those who partnered with specialist intermediaries — NGOs, certification bodies, and advisory firms — who could identify and pre-qualify green borrowers. These intermediaries earned referral fees, technical assessment fees, and ongoing portfolio monitoring retainers.</w:t>
            </w:r>
          </w:p>
        </w:tc>
      </w:tr>
      <w:tr>
        <w:tc>
          <w:tcPr>
            <w:tcW w:type="dxa" w:w="2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Sri Lanka Parallel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color w:val="333333"/>
                <w:sz w:val="20"/>
                <w:szCs w:val="20"/>
              </w:rPr>
              <w:t xml:space="preserve">CBSL's Sustainability Roadmap 2025–2030 is driving the same dynamic in Sri Lanka now. RDB faces a growing implicit requirement to grow its green portfolio — especially to access DFI refinancing lines that are increasingly conditional on environmental criteria. We solve RDB's pipeline problem before it becomes acute.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C" w:val="clear"/>
            <w:tcMar>
              <w:top w:type="dxa" w:w="100"/>
              <w:left w:type="dxa" w:w="160"/>
              <w:bottom w:type="dxa" w:w="100"/>
              <w:right w:type="dxa" w:w="16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color w:val="333333"/>
                <w:sz w:val="20"/>
                <w:szCs w:val="20"/>
              </w:rPr>
              <w:t xml:space="preserve">→  The Bangladesh case shows that regulatory mandates create pipeline problems for banks — and pipeline solutions for brokers. CBSL is creating that same dynamic for RDB right now.</w:t>
            </w:r>
          </w:p>
          <w:p>
            <w:pPr>
              <w:spacing w:before="40" w:after="40"/>
            </w:pPr>
            <w:r>
              <w:rPr>
                <w:rFonts w:ascii="Arial" w:cs="Arial" w:eastAsia="Arial" w:hAnsi="Arial"/>
                <w:color w:val="333333"/>
                <w:sz w:val="20"/>
                <w:szCs w:val="20"/>
              </w:rPr>
              <w:t xml:space="preserve">→  Every DFI credit line that RDB wants (ADB, IFC, GCF) will increasingly require proof of green portfolio quality. We build that portfolio for them.</w:t>
            </w:r>
          </w:p>
          <w:p>
            <w:pPr>
              <w:spacing w:before="40" w:after="40"/>
            </w:pPr>
            <w:r>
              <w:rPr>
                <w:rFonts w:ascii="Arial" w:cs="Arial" w:eastAsia="Arial" w:hAnsi="Arial"/>
                <w:color w:val="333333"/>
                <w:sz w:val="20"/>
                <w:szCs w:val="20"/>
              </w:rPr>
              <w:t xml:space="preserve">→  The Bangladesh intermediaries who earned fees here were NOT banks. They were exactly the kind of networked, specialist broker that we are. The model is proven.</w:t>
            </w:r>
          </w:p>
        </w:tc>
      </w:tr>
    </w:tbl>
    <w:p>
      <w:pPr>
        <w:spacing w:before="60" w:after="60"/>
      </w:pPr>
      <w:r>
        <w:rPr>
          <w:rFonts w:ascii="Arial" w:cs="Arial" w:eastAsia="Arial" w:hAnsi="Arial"/>
          <w:color w:val="333333"/>
          <w:sz w:val="20"/>
          <w:szCs w:val="20"/>
        </w:rPr>
        <w:t xml:space="preserve"> </w:t>
      </w:r>
    </w:p>
    <w:p>
      <w:r>
        <w:br w:type="page"/>
      </w:r>
    </w:p>
    <w:p>
      <w:pPr>
        <w:pStyle w:val="Heading1"/>
        <w:spacing w:before="300" w:after="120"/>
      </w:pPr>
      <w:r>
        <w:rPr>
          <w:rFonts w:ascii="Arial" w:cs="Arial" w:eastAsia="Arial" w:hAnsi="Arial"/>
          <w:b/>
          <w:bCs/>
          <w:color w:val="1B3A5C"/>
          <w:sz w:val="36"/>
          <w:szCs w:val="36"/>
        </w:rPr>
        <w:t xml:space="preserve">PART 2 — THE BUSINESS MODEL</w:t>
      </w:r>
    </w:p>
    <w:p>
      <w:pPr>
        <w:spacing w:before="80" w:after="80"/>
      </w:pPr>
      <w:r>
        <w:rPr>
          <w:rFonts w:ascii="Arial" w:cs="Arial" w:eastAsia="Arial" w:hAnsi="Arial"/>
          <w:color w:val="333333"/>
          <w:sz w:val="20"/>
          <w:szCs w:val="20"/>
        </w:rPr>
        <w:t xml:space="preserve">This section sets out the full broker model for the RDB Green Loan Product Design and Borrower Pipeline opportunity. Every element is designed around the core principle: </w:t>
      </w:r>
      <w:r>
        <w:rPr>
          <w:rFonts w:ascii="Arial" w:cs="Arial" w:eastAsia="Arial" w:hAnsi="Arial"/>
          <w:i/>
          <w:iCs/>
          <w:color w:val="333333"/>
          <w:sz w:val="20"/>
          <w:szCs w:val="20"/>
        </w:rPr>
        <w:t xml:space="preserve">you design and connect, you never deliver.</w:t>
      </w:r>
    </w:p>
    <w:p>
      <w:pPr>
        <w:spacing w:before="60" w:after="60"/>
      </w:pPr>
      <w:r>
        <w:rPr>
          <w:rFonts w:ascii="Arial" w:cs="Arial" w:eastAsia="Arial" w:hAnsi="Arial"/>
          <w:color w:val="333333"/>
          <w:sz w:val="20"/>
          <w:szCs w:val="20"/>
        </w:rPr>
        <w:t xml:space="preserve"> </w:t>
      </w:r>
    </w:p>
    <w:p>
      <w:pPr>
        <w:pBdr>
          <w:bottom w:val="single" w:color="0D6E6E" w:sz="4" w:space="1"/>
        </w:pBdr>
        <w:spacing w:before="120" w:after="120"/>
      </w:pPr>
      <w:r>
        <w:rPr>
          <w:rFonts w:ascii="Arial" w:cs="Arial" w:eastAsia="Arial" w:hAnsi="Arial"/>
          <w:color w:val="333333"/>
          <w:sz w:val="20"/>
          <w:szCs w:val="20"/>
        </w:rPr>
        <w:t xml:space="preserve"/>
      </w:r>
    </w:p>
    <w:p>
      <w:pPr>
        <w:spacing w:before="60" w:after="60"/>
      </w:pPr>
      <w:r>
        <w:rPr>
          <w:rFonts w:ascii="Arial" w:cs="Arial" w:eastAsia="Arial" w:hAnsi="Arial"/>
          <w:color w:val="333333"/>
          <w:sz w:val="20"/>
          <w:szCs w:val="20"/>
        </w:rPr>
        <w:t xml:space="preserve"> </w:t>
      </w:r>
    </w:p>
    <w:p>
      <w:pPr>
        <w:pStyle w:val="Heading2"/>
        <w:spacing w:before="240" w:after="100"/>
      </w:pPr>
      <w:r>
        <w:rPr>
          <w:rFonts w:ascii="Arial" w:cs="Arial" w:eastAsia="Arial" w:hAnsi="Arial"/>
          <w:b/>
          <w:bCs/>
          <w:color w:val="0D6E6E"/>
          <w:sz w:val="28"/>
          <w:szCs w:val="28"/>
        </w:rPr>
        <w:t xml:space="preserve">1.  What We Are Doing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8" w:val="clear"/>
            <w:tcMar>
              <w:top w:type="dxa" w:w="160"/>
              <w:left w:type="dxa" w:w="200"/>
              <w:bottom w:type="dxa" w:w="160"/>
              <w:right w:type="dxa" w:w="200"/>
            </w:tcMar>
          </w:tcPr>
          <w:p>
            <w:pPr>
              <w:spacing w:before="0" w:after="80"/>
            </w:pPr>
            <w:r>
              <w:rPr>
                <w:rFonts w:ascii="Arial" w:cs="Arial" w:eastAsia="Arial" w:hAnsi="Arial"/>
                <w:b/>
                <w:bCs/>
                <w:color w:val="1B3A5C"/>
                <w:sz w:val="22"/>
                <w:szCs w:val="22"/>
              </w:rPr>
              <w:t xml:space="preserve">The Three Problems We Solve for RDB</w:t>
            </w:r>
          </w:p>
          <w:p>
            <w:pPr>
              <w:spacing w:before="40" w:after="40"/>
            </w:pPr>
            <w:r>
              <w:rPr>
                <w:rFonts w:ascii="Arial" w:cs="Arial" w:eastAsia="Arial" w:hAnsi="Arial"/>
                <w:b/>
                <w:bCs/>
                <w:color w:val="0D6E6E"/>
                <w:sz w:val="20"/>
                <w:szCs w:val="20"/>
              </w:rPr>
              <w:t xml:space="preserve">Problem 1: </w:t>
            </w:r>
            <w:r>
              <w:rPr>
                <w:rFonts w:ascii="Arial" w:cs="Arial" w:eastAsia="Arial" w:hAnsi="Arial"/>
                <w:color w:val="333333"/>
                <w:sz w:val="20"/>
                <w:szCs w:val="20"/>
              </w:rPr>
              <w:t xml:space="preserve">RDB has a green loan product (E-Friend) but no structured eligibility framework. Any borrower claiming to be 'green' qualifies, making the portfolio unmeasurable and unpitchable to DFIs.</w:t>
            </w:r>
          </w:p>
          <w:p>
            <w:pPr>
              <w:spacing w:before="40" w:after="40"/>
            </w:pPr>
            <w:r>
              <w:rPr>
                <w:rFonts w:ascii="Arial" w:cs="Arial" w:eastAsia="Arial" w:hAnsi="Arial"/>
                <w:b/>
                <w:bCs/>
                <w:color w:val="0D6E6E"/>
                <w:sz w:val="20"/>
                <w:szCs w:val="20"/>
              </w:rPr>
              <w:t xml:space="preserve">Problem 2: </w:t>
            </w:r>
            <w:r>
              <w:rPr>
                <w:rFonts w:ascii="Arial" w:cs="Arial" w:eastAsia="Arial" w:hAnsi="Arial"/>
                <w:color w:val="333333"/>
                <w:sz w:val="20"/>
                <w:szCs w:val="20"/>
              </w:rPr>
              <w:t xml:space="preserve">RDB has no mechanism to identify which of its 6 million customers are ready for, or could benefit from, a green loan. There is no pre-screening, no certification link, no borrower development pipeline.</w:t>
            </w:r>
          </w:p>
          <w:p>
            <w:pPr>
              <w:spacing w:before="40" w:after="80"/>
            </w:pPr>
            <w:r>
              <w:rPr>
                <w:rFonts w:ascii="Arial" w:cs="Arial" w:eastAsia="Arial" w:hAnsi="Arial"/>
                <w:b/>
                <w:bCs/>
                <w:color w:val="0D6E6E"/>
                <w:sz w:val="20"/>
                <w:szCs w:val="20"/>
              </w:rPr>
              <w:t xml:space="preserve">Problem 3: </w:t>
            </w:r>
            <w:r>
              <w:rPr>
                <w:rFonts w:ascii="Arial" w:cs="Arial" w:eastAsia="Arial" w:hAnsi="Arial"/>
                <w:color w:val="333333"/>
                <w:sz w:val="20"/>
                <w:szCs w:val="20"/>
              </w:rPr>
              <w:t xml:space="preserve">RDB has never applied for GCF, ADB green line, or IFC sustainability financing. Without a documented green framework and impact reporting, it cannot. It is leaving billions in concessional capital on the table.</w:t>
            </w:r>
          </w:p>
          <w:p>
            <w:pPr>
              <w:spacing w:before="0" w:after="80"/>
            </w:pPr>
            <w:r>
              <w:rPr>
                <w:rFonts w:ascii="Arial" w:cs="Arial" w:eastAsia="Arial" w:hAnsi="Arial"/>
                <w:b/>
                <w:bCs/>
                <w:color w:val="1B3A5C"/>
                <w:sz w:val="22"/>
                <w:szCs w:val="22"/>
              </w:rPr>
              <w:t xml:space="preserve">What We Deliver:</w:t>
            </w:r>
          </w:p>
          <w:p>
            <w:pPr>
              <w:spacing w:before="30" w:after="30"/>
            </w:pPr>
            <w:r>
              <w:rPr>
                <w:rFonts w:ascii="Arial" w:cs="Arial" w:eastAsia="Arial" w:hAnsi="Arial"/>
                <w:color w:val="333333"/>
                <w:sz w:val="20"/>
                <w:szCs w:val="20"/>
              </w:rPr>
              <w:t xml:space="preserve">→  A structured Green Loan Product Suite for RDB (5 products, with eligibility criteria, pricing rules, and use-of-proceeds documentation).</w:t>
            </w:r>
          </w:p>
          <w:p>
            <w:pPr>
              <w:spacing w:before="30" w:after="30"/>
            </w:pPr>
            <w:r>
              <w:rPr>
                <w:rFonts w:ascii="Arial" w:cs="Arial" w:eastAsia="Arial" w:hAnsi="Arial"/>
                <w:color w:val="333333"/>
                <w:sz w:val="20"/>
                <w:szCs w:val="20"/>
              </w:rPr>
              <w:t xml:space="preserve">→  A Borrower Pre-Screening Pipeline powered by our certification partner network (RA, GlobalG.A.P., SLSEA, GSTC). Pre-qualified borrowers are delivered to RDB's loan desk ready to sign.</w:t>
            </w:r>
          </w:p>
          <w:p>
            <w:pPr>
              <w:spacing w:before="30" w:after="80"/>
            </w:pPr>
            <w:r>
              <w:rPr>
                <w:rFonts w:ascii="Arial" w:cs="Arial" w:eastAsia="Arial" w:hAnsi="Arial"/>
                <w:color w:val="333333"/>
                <w:sz w:val="20"/>
                <w:szCs w:val="20"/>
              </w:rPr>
              <w:t xml:space="preserve">→  A Green Framework Document aligned to IFC Green Loan Principles and CBSL Green Taxonomy, usable immediately for DFI applications and CSE green bond issuance.</w:t>
            </w:r>
          </w:p>
        </w:tc>
      </w:tr>
    </w:tbl>
    <w:p>
      <w:pPr>
        <w:spacing w:before="60" w:after="60"/>
      </w:pPr>
      <w:r>
        <w:rPr>
          <w:rFonts w:ascii="Arial" w:cs="Arial" w:eastAsia="Arial" w:hAnsi="Arial"/>
          <w:color w:val="333333"/>
          <w:sz w:val="20"/>
          <w:szCs w:val="20"/>
        </w:rPr>
        <w:t xml:space="preserve"> </w:t>
      </w:r>
    </w:p>
    <w:p>
      <w:pPr>
        <w:pStyle w:val="Heading2"/>
        <w:spacing w:before="240" w:after="100"/>
      </w:pPr>
      <w:r>
        <w:rPr>
          <w:rFonts w:ascii="Arial" w:cs="Arial" w:eastAsia="Arial" w:hAnsi="Arial"/>
          <w:b/>
          <w:bCs/>
          <w:color w:val="0D6E6E"/>
          <w:sz w:val="28"/>
          <w:szCs w:val="28"/>
        </w:rPr>
        <w:t xml:space="preserve">2.  The Five Green Loan Products We Design for RDB</w:t>
      </w:r>
    </w:p>
    <w:p>
      <w:pPr>
        <w:spacing w:before="80" w:after="80"/>
      </w:pPr>
      <w:r>
        <w:rPr>
          <w:rFonts w:ascii="Arial" w:cs="Arial" w:eastAsia="Arial" w:hAnsi="Arial"/>
          <w:color w:val="333333"/>
          <w:sz w:val="20"/>
          <w:szCs w:val="20"/>
        </w:rPr>
        <w:t xml:space="preserve">We design these products on behalf of RDB. Each product has a defined eligible borrower category, use of proceeds, environmental metric, and preferential rate trigger. RDB approves and owns them. We earn a product design fee per product and an ongoing pipeline referral fee per loan disbursed.</w:t>
      </w:r>
    </w:p>
    <w:p>
      <w:pPr>
        <w:spacing w:before="60" w:after="6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80"/>
        <w:gridCol w:w="2000"/>
        <w:gridCol w:w="200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Target Borrowers</w:t>
            </w:r>
          </w:p>
        </w:tc>
        <w:tc>
          <w:tcPr>
            <w:tcW w:type="dxa" w:w="20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Use of Proceeds</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Green Metric</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Rate Trigger</w:t>
            </w:r>
          </w:p>
        </w:tc>
      </w:tr>
      <w:tr>
        <w:tc>
          <w:tcPr>
            <w:tcW w:type="dxa" w:w="18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RDB GreenAgri Loan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Smallholder tea, cinnamon, vegetable farmers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Certification costs (RA, GlobalG.A.P.), organic input switchover, water-efficient irrigation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Third-party certification achieved or in progress</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1A7A4A"/>
                <w:sz w:val="19"/>
                <w:szCs w:val="19"/>
              </w:rPr>
              <w:t xml:space="preserve">1.5–2.5% below standard agri rate</w:t>
            </w:r>
          </w:p>
        </w:tc>
      </w:tr>
      <w:tr>
        <w:tc>
          <w:tcPr>
            <w:tcW w:type="dxa" w:w="18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RDB Solar &amp; Energy Loan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MSME factories, hotels, small businesses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Rooftop solar installation, energy-efficient equipment, SLSEA-approved systems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kWh renewable generated or efficiency % gain</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1A7A4A"/>
                <w:sz w:val="19"/>
                <w:szCs w:val="19"/>
              </w:rPr>
              <w:t xml:space="preserve">1–2% below standard MSME rate</w:t>
            </w:r>
          </w:p>
        </w:tc>
      </w:tr>
      <w:tr>
        <w:tc>
          <w:tcPr>
            <w:tcW w:type="dxa" w:w="18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RDB EcoTourism Upgrade Loan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Boutique hotels, guesthouses, eco-lodges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GSTC certification costs, sustainable construction upgrades, waste management systems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GSTC certification achieved or enrolled</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1A7A4A"/>
                <w:sz w:val="19"/>
                <w:szCs w:val="19"/>
              </w:rPr>
              <w:t xml:space="preserve">1.5% below standard SME rate</w:t>
            </w:r>
          </w:p>
        </w:tc>
      </w:tr>
      <w:tr>
        <w:tc>
          <w:tcPr>
            <w:tcW w:type="dxa" w:w="18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RDB CleanFisheries Loan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Coastal fishermen, aquaculture operators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Switch from illegal gear to certified sustainable equipment; ASC certification costs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Marine Stewardship Council or ASC certification</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1A7A4A"/>
                <w:sz w:val="19"/>
                <w:szCs w:val="19"/>
              </w:rPr>
              <w:t xml:space="preserve">2% below standard + grace period</w:t>
            </w:r>
          </w:p>
        </w:tc>
      </w:tr>
      <w:tr>
        <w:tc>
          <w:tcPr>
            <w:tcW w:type="dxa" w:w="18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RDB GreenSME Loan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EPR-liable FMCG and manufacturing SMEs</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EPR compliance infrastructure, waste reduction equipment, packaging redesign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CEA-verified waste diversion rate</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1A7A4A"/>
                <w:sz w:val="19"/>
                <w:szCs w:val="19"/>
              </w:rPr>
              <w:t xml:space="preserve">1% below standard + CEA reporting support</w:t>
            </w:r>
          </w:p>
        </w:tc>
      </w:tr>
    </w:tbl>
    <w:p>
      <w:pPr>
        <w:spacing w:before="120" w:after="120"/>
      </w:pPr>
      <w:r>
        <w:rPr>
          <w:rFonts w:ascii="Arial" w:cs="Arial" w:eastAsia="Arial" w:hAnsi="Arial"/>
          <w:color w:val="333333"/>
          <w:sz w:val="20"/>
          <w:szCs w:val="20"/>
        </w:rPr>
        <w:t xml:space="preserve"> </w:t>
      </w:r>
    </w:p>
    <w:p>
      <w:pPr>
        <w:pStyle w:val="Heading2"/>
        <w:spacing w:before="240" w:after="100"/>
      </w:pPr>
      <w:r>
        <w:rPr>
          <w:rFonts w:ascii="Arial" w:cs="Arial" w:eastAsia="Arial" w:hAnsi="Arial"/>
          <w:b/>
          <w:bCs/>
          <w:color w:val="0D6E6E"/>
          <w:sz w:val="28"/>
          <w:szCs w:val="28"/>
        </w:rPr>
        <w:t xml:space="preserve">3.  Revenue Streams &amp; Fee Model</w:t>
      </w:r>
    </w:p>
    <w:p>
      <w:pPr>
        <w:spacing w:before="80" w:after="80"/>
      </w:pPr>
      <w:r>
        <w:rPr>
          <w:rFonts w:ascii="Arial" w:cs="Arial" w:eastAsia="Arial" w:hAnsi="Arial"/>
          <w:color w:val="333333"/>
          <w:sz w:val="20"/>
          <w:szCs w:val="20"/>
        </w:rPr>
        <w:t xml:space="preserve">There are four distinct revenue streams in this model. None of them require capital at risk. Each is earned before or alongside delivery.</w:t>
      </w:r>
    </w:p>
    <w:p>
      <w:pPr>
        <w:spacing w:before="60" w:after="6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1800"/>
        <w:gridCol w:w="1800"/>
      </w:tblGrid>
      <w:tr>
        <w:tc>
          <w:tcPr>
            <w:tcW w:type="dxa" w:w="220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Revenue Stream</w:t>
            </w:r>
          </w:p>
        </w:tc>
        <w:tc>
          <w:tcPr>
            <w:tcW w:type="dxa" w:w="428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Fee</w:t>
            </w:r>
          </w:p>
        </w:tc>
        <w:tc>
          <w:tcPr>
            <w:tcW w:type="dxa" w:w="180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Product Design Retainer</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RDB pays a fixed retainer for us to design each of the 5 green loan products — eligibility framework, use-of-proceeds policy, CBSL Green Taxonomy alignment, IFC GLP alignment document. RDB owns the output. We design it.</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A7A4A"/>
                <w:sz w:val="19"/>
                <w:szCs w:val="19"/>
              </w:rPr>
              <w:t xml:space="preserve">LKR 3–8M per product (LKR 15–40M for the full suite)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555555"/>
                <w:sz w:val="18"/>
                <w:szCs w:val="18"/>
              </w:rPr>
              <w:t xml:space="preserve">Month 1–3, invoiced on delivery of each product document</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Borrower Pipeline Referral Fee</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For every borrower we pre-screen and refer to RDB's green loan desk who subsequently receives a disbursement, we earn a referral fee. This is the IDCOL / Pipeline Foods model — the bank only pays for successful referrals.</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A7A4A"/>
                <w:sz w:val="19"/>
                <w:szCs w:val="19"/>
              </w:rPr>
              <w:t xml:space="preserve">LKR 50–150K per loan disbursed (0.5–1% of loan value up to LKR 5M cap)</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555555"/>
                <w:sz w:val="18"/>
                <w:szCs w:val="18"/>
              </w:rPr>
              <w:t xml:space="preserve">Per disbursement, invoiced monthly in arrears</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Certification Broker Margin</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When we refer a borrower to RDB for a GreenAgri or EcoTourism loan, we also manage their certification process (RA, GlobalG.A.P., GSTC). We earn the brokerage margin on the certification service, separately from RDB. This is described in the main broker brief.</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A7A4A"/>
                <w:sz w:val="19"/>
                <w:szCs w:val="19"/>
              </w:rPr>
              <w:t xml:space="preserve">60–75% margin on certification service fee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555555"/>
                <w:sz w:val="18"/>
                <w:szCs w:val="18"/>
              </w:rPr>
              <w:t xml:space="preserve">Invoiced on gap analysis signing (see main brief)</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GCF / DFI Arrangement Fee</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When RDB applies for an IFC green line or GCF concessional facility, we act as the structuring advisor — preparing the green framework document, impact report, and application dossier. We earn an advisory fee and, if successful, a placement commission on capital raised.</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bCs/>
                <w:color w:val="1A7A4A"/>
                <w:sz w:val="19"/>
                <w:szCs w:val="19"/>
              </w:rPr>
              <w:t xml:space="preserve">LKR 10–25M advisory + 0.3–0.5% placement on capital raised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color w:val="555555"/>
                <w:sz w:val="18"/>
                <w:szCs w:val="18"/>
              </w:rPr>
              <w:t xml:space="preserve">Advisory invoiced on engagement; placement on disbursement</w:t>
            </w:r>
          </w:p>
        </w:tc>
      </w:tr>
    </w:tbl>
    <w:p>
      <w:pPr>
        <w:spacing w:before="120" w:after="120"/>
      </w:pPr>
      <w:r>
        <w:rPr>
          <w:rFonts w:ascii="Arial" w:cs="Arial" w:eastAsia="Arial" w:hAnsi="Arial"/>
          <w:color w:val="333333"/>
          <w:sz w:val="20"/>
          <w:szCs w:val="20"/>
        </w:rPr>
        <w:t xml:space="preserve"> </w:t>
      </w:r>
    </w:p>
    <w:p>
      <w:pPr>
        <w:pStyle w:val="Heading3"/>
        <w:spacing w:before="180" w:after="80"/>
      </w:pPr>
      <w:r>
        <w:rPr>
          <w:rFonts w:ascii="Arial" w:cs="Arial" w:eastAsia="Arial" w:hAnsi="Arial"/>
          <w:b/>
          <w:bCs/>
          <w:color w:val="1A7A4A"/>
          <w:sz w:val="24"/>
          <w:szCs w:val="24"/>
        </w:rPr>
        <w:t xml:space="preserve">Revenue Projections —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2F8" w:val="clear"/>
            <w:tcMar>
              <w:top w:type="dxa" w:w="120"/>
              <w:left w:type="dxa" w:w="120"/>
              <w:bottom w:type="dxa" w:w="120"/>
              <w:right w:type="dxa" w:w="120"/>
            </w:tcMar>
            <w:vAlign w:val="center"/>
          </w:tcPr>
          <w:p>
            <w:pPr>
              <w:spacing w:before="60" w:after="0"/>
              <w:jc w:val="center"/>
            </w:pPr>
            <w:r>
              <w:rPr>
                <w:rFonts w:ascii="Arial" w:cs="Arial" w:eastAsia="Arial" w:hAnsi="Arial"/>
                <w:b/>
                <w:bCs/>
                <w:color w:val="1B3A5C"/>
                <w:sz w:val="30"/>
                <w:szCs w:val="30"/>
              </w:rPr>
              <w:t xml:space="preserve">LKR 15–40M</w:t>
            </w:r>
          </w:p>
          <w:p>
            <w:pPr>
              <w:spacing w:before="0" w:after="60"/>
              <w:jc w:val="center"/>
            </w:pPr>
            <w:r>
              <w:rPr>
                <w:rFonts w:ascii="Arial" w:cs="Arial" w:eastAsia="Arial" w:hAnsi="Arial"/>
                <w:color w:val="333333"/>
                <w:sz w:val="18"/>
                <w:szCs w:val="18"/>
              </w:rPr>
              <w:t xml:space="preserve">Product Design Fees (5 products)</w:t>
            </w:r>
          </w:p>
        </w:tc>
        <w:tc>
          <w:tcPr>
            <w:tcW w:type="dxa" w:w="2340"/>
            <w:tcBorders>
              <w:top w:val="single" w:color="CCCCCC" w:sz="1"/>
              <w:left w:val="single" w:color="CCCCCC" w:sz="1"/>
              <w:bottom w:val="single" w:color="CCCCCC" w:sz="1"/>
              <w:right w:val="single" w:color="CCCCCC" w:sz="1"/>
            </w:tcBorders>
            <w:shd w:fill="E0F2F2" w:val="clear"/>
            <w:tcMar>
              <w:top w:type="dxa" w:w="120"/>
              <w:left w:type="dxa" w:w="120"/>
              <w:bottom w:type="dxa" w:w="120"/>
              <w:right w:type="dxa" w:w="120"/>
            </w:tcMar>
            <w:vAlign w:val="center"/>
          </w:tcPr>
          <w:p>
            <w:pPr>
              <w:spacing w:before="60" w:after="0"/>
              <w:jc w:val="center"/>
            </w:pPr>
            <w:r>
              <w:rPr>
                <w:rFonts w:ascii="Arial" w:cs="Arial" w:eastAsia="Arial" w:hAnsi="Arial"/>
                <w:b/>
                <w:bCs/>
                <w:color w:val="0D6E6E"/>
                <w:sz w:val="30"/>
                <w:szCs w:val="30"/>
              </w:rPr>
              <w:t xml:space="preserve">LKR 20–60M</w:t>
            </w:r>
          </w:p>
          <w:p>
            <w:pPr>
              <w:spacing w:before="0" w:after="60"/>
              <w:jc w:val="center"/>
            </w:pPr>
            <w:r>
              <w:rPr>
                <w:rFonts w:ascii="Arial" w:cs="Arial" w:eastAsia="Arial" w:hAnsi="Arial"/>
                <w:color w:val="333333"/>
                <w:sz w:val="18"/>
                <w:szCs w:val="18"/>
              </w:rPr>
              <w:t xml:space="preserve">Pipeline Referral Fees (Year 1)</w:t>
            </w:r>
          </w:p>
        </w:tc>
        <w:tc>
          <w:tcPr>
            <w:tcW w:type="dxa" w:w="2340"/>
            <w:tcBorders>
              <w:top w:val="single" w:color="CCCCCC" w:sz="1"/>
              <w:left w:val="single" w:color="CCCCCC" w:sz="1"/>
              <w:bottom w:val="single" w:color="CCCCCC" w:sz="1"/>
              <w:right w:val="single" w:color="CCCCCC" w:sz="1"/>
            </w:tcBorders>
            <w:shd w:fill="EEF2F8" w:val="clear"/>
            <w:tcMar>
              <w:top w:type="dxa" w:w="120"/>
              <w:left w:type="dxa" w:w="120"/>
              <w:bottom w:type="dxa" w:w="120"/>
              <w:right w:type="dxa" w:w="120"/>
            </w:tcMar>
            <w:vAlign w:val="center"/>
          </w:tcPr>
          <w:p>
            <w:pPr>
              <w:spacing w:before="60" w:after="0"/>
              <w:jc w:val="center"/>
            </w:pPr>
            <w:r>
              <w:rPr>
                <w:rFonts w:ascii="Arial" w:cs="Arial" w:eastAsia="Arial" w:hAnsi="Arial"/>
                <w:b/>
                <w:bCs/>
                <w:color w:val="1B3A5C"/>
                <w:sz w:val="30"/>
                <w:szCs w:val="30"/>
              </w:rPr>
              <w:t xml:space="preserve">LKR 10–25M</w:t>
            </w:r>
          </w:p>
          <w:p>
            <w:pPr>
              <w:spacing w:before="0" w:after="60"/>
              <w:jc w:val="center"/>
            </w:pPr>
            <w:r>
              <w:rPr>
                <w:rFonts w:ascii="Arial" w:cs="Arial" w:eastAsia="Arial" w:hAnsi="Arial"/>
                <w:color w:val="333333"/>
                <w:sz w:val="18"/>
                <w:szCs w:val="18"/>
              </w:rPr>
              <w:t xml:space="preserve">GCF / DFI Advisory (one mandate)</w:t>
            </w:r>
          </w:p>
        </w:tc>
        <w:tc>
          <w:tcPr>
            <w:tcW w:type="dxa" w:w="2340"/>
            <w:tcBorders>
              <w:top w:val="single" w:color="CCCCCC" w:sz="1"/>
              <w:left w:val="single" w:color="CCCCCC" w:sz="1"/>
              <w:bottom w:val="single" w:color="CCCCCC" w:sz="1"/>
              <w:right w:val="single" w:color="CCCCCC" w:sz="1"/>
            </w:tcBorders>
            <w:shd w:fill="FDF6E3" w:val="clear"/>
            <w:tcMar>
              <w:top w:type="dxa" w:w="120"/>
              <w:left w:type="dxa" w:w="120"/>
              <w:bottom w:type="dxa" w:w="120"/>
              <w:right w:type="dxa" w:w="120"/>
            </w:tcMar>
            <w:vAlign w:val="center"/>
          </w:tcPr>
          <w:p>
            <w:pPr>
              <w:spacing w:before="60" w:after="0"/>
              <w:jc w:val="center"/>
            </w:pPr>
            <w:r>
              <w:rPr>
                <w:rFonts w:ascii="Arial" w:cs="Arial" w:eastAsia="Arial" w:hAnsi="Arial"/>
                <w:b/>
                <w:bCs/>
                <w:color w:val="0D6E6E"/>
                <w:sz w:val="30"/>
                <w:szCs w:val="30"/>
              </w:rPr>
              <w:t xml:space="preserve">LKR 45–125M</w:t>
            </w:r>
          </w:p>
          <w:p>
            <w:pPr>
              <w:spacing w:before="0" w:after="60"/>
              <w:jc w:val="center"/>
            </w:pPr>
            <w:r>
              <w:rPr>
                <w:rFonts w:ascii="Arial" w:cs="Arial" w:eastAsia="Arial" w:hAnsi="Arial"/>
                <w:color w:val="333333"/>
                <w:sz w:val="18"/>
                <w:szCs w:val="18"/>
              </w:rPr>
              <w:t xml:space="preserve">Total 18-Month Conservative</w:t>
            </w:r>
          </w:p>
        </w:tc>
      </w:tr>
    </w:tbl>
    <w:p>
      <w:pPr>
        <w:spacing w:before="80" w:after="0"/>
      </w:pPr>
      <w:r>
        <w:rPr>
          <w:rFonts w:ascii="Arial" w:cs="Arial" w:eastAsia="Arial" w:hAnsi="Arial"/>
          <w:color w:val="555555"/>
          <w:sz w:val="18"/>
          <w:szCs w:val="18"/>
        </w:rPr>
        <w:t xml:space="preserve">Conservative: 5 product designs + 200 referred loans (LKR 2M avg) + 1 DFI advisory. Upside: 500 referred loans + GCF placement commission on USD 50M+ facility = LKR 200M+.</w:t>
      </w:r>
    </w:p>
    <w:p>
      <w:pPr>
        <w:spacing w:before="120" w:after="120"/>
      </w:pPr>
      <w:r>
        <w:rPr>
          <w:rFonts w:ascii="Arial" w:cs="Arial" w:eastAsia="Arial" w:hAnsi="Arial"/>
          <w:color w:val="333333"/>
          <w:sz w:val="20"/>
          <w:szCs w:val="20"/>
        </w:rPr>
        <w:t xml:space="preserve"> </w:t>
      </w:r>
    </w:p>
    <w:p>
      <w:pPr>
        <w:pBdr>
          <w:bottom w:val="single" w:color="0D6E6E" w:sz="4" w:space="1"/>
        </w:pBdr>
        <w:spacing w:before="120" w:after="120"/>
      </w:pPr>
      <w:r>
        <w:rPr>
          <w:rFonts w:ascii="Arial" w:cs="Arial" w:eastAsia="Arial" w:hAnsi="Arial"/>
          <w:color w:val="333333"/>
          <w:sz w:val="20"/>
          <w:szCs w:val="20"/>
        </w:rPr>
        <w:t xml:space="preserve"/>
      </w:r>
    </w:p>
    <w:p>
      <w:pPr>
        <w:pStyle w:val="Heading2"/>
        <w:spacing w:before="240" w:after="100"/>
      </w:pPr>
      <w:r>
        <w:rPr>
          <w:rFonts w:ascii="Arial" w:cs="Arial" w:eastAsia="Arial" w:hAnsi="Arial"/>
          <w:b/>
          <w:bCs/>
          <w:color w:val="0D6E6E"/>
          <w:sz w:val="28"/>
          <w:szCs w:val="28"/>
        </w:rPr>
        <w:t xml:space="preserve">4.  Delivery Partner Map</w:t>
      </w:r>
    </w:p>
    <w:p>
      <w:pPr>
        <w:spacing w:before="80" w:after="80"/>
      </w:pPr>
      <w:r>
        <w:rPr>
          <w:rFonts w:ascii="Arial" w:cs="Arial" w:eastAsia="Arial" w:hAnsi="Arial"/>
          <w:color w:val="333333"/>
          <w:sz w:val="20"/>
          <w:szCs w:val="20"/>
        </w:rPr>
        <w:t xml:space="preserve">We never deliver any technical service directly. Every technical element is delivered by a named, credentialed partner. Our role is to originate, structure, and manage the relationship.</w:t>
      </w:r>
    </w:p>
    <w:p>
      <w:pPr>
        <w:spacing w:before="60" w:after="6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1800"/>
        <w:gridCol w:w="18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Service</w:t>
            </w:r>
          </w:p>
        </w:tc>
        <w:tc>
          <w:tcPr>
            <w:tcW w:type="dxa" w:w="42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Delivery Partner</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MOU Needed?</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How We Earn</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Green Loan Product Design (framework)</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Sustainalytics / DNV (Second Party Opinion for IFC GLP alignment). CA Sri Lanka / CBSL Green Taxonomy team for local compliance check. We draft; they validate.</w:t>
            </w:r>
          </w:p>
        </w:tc>
        <w:tc>
          <w:tcPr>
            <w:tcW w:type="dxa" w:w="1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i/>
                <w:iCs/>
                <w:color w:val="1B3A5C"/>
                <w:sz w:val="19"/>
                <w:szCs w:val="19"/>
              </w:rPr>
              <w:t xml:space="preserve">Yes — Sustainalytics MOU</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Product design retainer from RDB + SPO pass-through</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Agricultural Certification Pre-Screening</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Rainforest Alliance accredited auditors, GlobalG.A.P. regional office, SLSI pre-audit team. We manage the workflow; they do the technical assessment.</w:t>
            </w:r>
          </w:p>
        </w:tc>
        <w:tc>
          <w:tcPr>
            <w:tcW w:type="dxa" w:w="1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i/>
                <w:iCs/>
                <w:color w:val="1B3A5C"/>
                <w:sz w:val="19"/>
                <w:szCs w:val="19"/>
              </w:rPr>
              <w:t xml:space="preserve">Yes — RA + SLSI MOU</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Certification broker margin (60–75%)</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Solar / Energy Audit Pre-Screening</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SLSEA-registered energy auditors (already exist, just need MOU). Intertek Sri Lanka for verification letters.</w:t>
            </w:r>
          </w:p>
        </w:tc>
        <w:tc>
          <w:tcPr>
            <w:tcW w:type="dxa" w:w="1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i/>
                <w:iCs/>
                <w:color w:val="1B3A5C"/>
                <w:sz w:val="19"/>
                <w:szCs w:val="19"/>
              </w:rPr>
              <w:t xml:space="preserve">Yes — SLSEA MOU</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Referral fee from auditor + RDB pipeline fee</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GCF / IFC Application Preparation</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GIZ SWITCH-Asia programme (co-funds framework development). World Bank IFC Sri Lanka office (TA available for state banks). South Pole or Climate Bonds Initiative for technical validation.</w:t>
            </w:r>
          </w:p>
        </w:tc>
        <w:tc>
          <w:tcPr>
            <w:tcW w:type="dxa" w:w="1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i/>
                <w:iCs/>
                <w:color w:val="1B3A5C"/>
                <w:sz w:val="19"/>
                <w:szCs w:val="19"/>
              </w:rPr>
              <w:t xml:space="preserve">Introduction only</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Advisory fee from RDB</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Impact Reporting</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CA Sri Lanka ESG reporting specialists, local sustainability consultants (Integrum, others) for annual green portfolio impact report.</w:t>
            </w:r>
          </w:p>
        </w:tc>
        <w:tc>
          <w:tcPr>
            <w:tcW w:type="dxa" w:w="18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i/>
                <w:iCs/>
                <w:color w:val="1B3A5C"/>
                <w:sz w:val="19"/>
                <w:szCs w:val="19"/>
              </w:rPr>
              <w:t xml:space="preserve">No — subcontract</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Subcontract margin (40–50%)</w:t>
            </w:r>
          </w:p>
        </w:tc>
      </w:tr>
    </w:tbl>
    <w:p>
      <w:pPr>
        <w:spacing w:before="120" w:after="120"/>
      </w:pPr>
      <w:r>
        <w:rPr>
          <w:rFonts w:ascii="Arial" w:cs="Arial" w:eastAsia="Arial" w:hAnsi="Arial"/>
          <w:color w:val="333333"/>
          <w:sz w:val="20"/>
          <w:szCs w:val="20"/>
        </w:rPr>
        <w:t xml:space="preserve"> </w:t>
      </w:r>
    </w:p>
    <w:p>
      <w:pPr>
        <w:pBdr>
          <w:bottom w:val="single" w:color="0D6E6E" w:sz="4" w:space="1"/>
        </w:pBdr>
        <w:spacing w:before="120" w:after="120"/>
      </w:pPr>
      <w:r>
        <w:rPr>
          <w:rFonts w:ascii="Arial" w:cs="Arial" w:eastAsia="Arial" w:hAnsi="Arial"/>
          <w:color w:val="333333"/>
          <w:sz w:val="20"/>
          <w:szCs w:val="20"/>
        </w:rPr>
        <w:t xml:space="preserve"/>
      </w:r>
    </w:p>
    <w:p>
      <w:pPr>
        <w:pStyle w:val="Heading2"/>
        <w:spacing w:before="240" w:after="100"/>
      </w:pPr>
      <w:r>
        <w:rPr>
          <w:rFonts w:ascii="Arial" w:cs="Arial" w:eastAsia="Arial" w:hAnsi="Arial"/>
          <w:b/>
          <w:bCs/>
          <w:color w:val="0D6E6E"/>
          <w:sz w:val="28"/>
          <w:szCs w:val="28"/>
        </w:rPr>
        <w:t xml:space="preserve">5.  The First 90 Days — Action Plan</w:t>
      </w:r>
    </w:p>
    <w:p>
      <w:pPr>
        <w:spacing w:before="80" w:after="80"/>
      </w:pPr>
      <w:r>
        <w:rPr>
          <w:rFonts w:ascii="Arial" w:cs="Arial" w:eastAsia="Arial" w:hAnsi="Arial"/>
          <w:color w:val="333333"/>
          <w:sz w:val="20"/>
          <w:szCs w:val="20"/>
        </w:rPr>
        <w:t xml:space="preserve">This is the exact sequence of steps to go from the RDB Chairman conversation to first invoice.</w:t>
      </w:r>
    </w:p>
    <w:p>
      <w:pPr>
        <w:spacing w:before="60" w:after="6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before="80" w:after="80"/>
              <w:jc w:val="center"/>
            </w:pPr>
            <w:r>
              <w:rPr>
                <w:rFonts w:ascii="Arial" w:cs="Arial" w:eastAsia="Arial" w:hAnsi="Arial"/>
                <w:b/>
                <w:bCs/>
                <w:color w:val="C8960C"/>
                <w:sz w:val="18"/>
                <w:szCs w:val="18"/>
              </w:rPr>
              <w:t xml:space="preserve">Days 1–14</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40"/>
            </w:pPr>
            <w:r>
              <w:rPr>
                <w:rFonts w:ascii="Arial" w:cs="Arial" w:eastAsia="Arial" w:hAnsi="Arial"/>
                <w:b/>
                <w:bCs/>
                <w:color w:val="0D6E6E"/>
                <w:sz w:val="21"/>
                <w:szCs w:val="21"/>
              </w:rPr>
              <w:t xml:space="preserve">The Chairman Meeting</w:t>
            </w:r>
          </w:p>
          <w:p>
            <w:pPr>
              <w:spacing w:before="0" w:after="0"/>
            </w:pPr>
            <w:r>
              <w:rPr>
                <w:rFonts w:ascii="Arial" w:cs="Arial" w:eastAsia="Arial" w:hAnsi="Arial"/>
                <w:color w:val="333333"/>
                <w:sz w:val="20"/>
                <w:szCs w:val="20"/>
              </w:rPr>
              <w:t xml:space="preserve">Walk in with this document and the DFCC/GCF case study on page 1. The opening pitch is: 'RDB is leaving billions in concessional capital on the table because it has no green framework. DFCC got GCF accreditation in 2023. We can put RDB on that path — and generate a differentiated loan product suite that helps grow your rural portfolio at the same time.' Agree an MOU for green loan product design. No money changes hands yet.</w:t>
            </w:r>
          </w:p>
        </w:tc>
      </w:tr>
    </w:tbl>
    <w:p>
      <w:pPr>
        <w:spacing w:before="30" w:after="3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before="80" w:after="80"/>
              <w:jc w:val="center"/>
            </w:pPr>
            <w:r>
              <w:rPr>
                <w:rFonts w:ascii="Arial" w:cs="Arial" w:eastAsia="Arial" w:hAnsi="Arial"/>
                <w:b/>
                <w:bCs/>
                <w:color w:val="C8960C"/>
                <w:sz w:val="18"/>
                <w:szCs w:val="18"/>
              </w:rPr>
              <w:t xml:space="preserve">Days 15–30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40"/>
            </w:pPr>
            <w:r>
              <w:rPr>
                <w:rFonts w:ascii="Arial" w:cs="Arial" w:eastAsia="Arial" w:hAnsi="Arial"/>
                <w:b/>
                <w:bCs/>
                <w:color w:val="0D6E6E"/>
                <w:sz w:val="21"/>
                <w:szCs w:val="21"/>
              </w:rPr>
              <w:t xml:space="preserve">Lock In Delivery Partners</w:t>
            </w:r>
          </w:p>
          <w:p>
            <w:pPr>
              <w:spacing w:before="0" w:after="0"/>
            </w:pPr>
            <w:r>
              <w:rPr>
                <w:rFonts w:ascii="Arial" w:cs="Arial" w:eastAsia="Arial" w:hAnsi="Arial"/>
                <w:color w:val="333333"/>
                <w:sz w:val="20"/>
                <w:szCs w:val="20"/>
              </w:rPr>
              <w:t xml:space="preserve">Approach Rainforest Alliance Sri Lanka coordinator, SLSEA registered auditor (3 of them), and Sustainalytics/DNV for informal MOU discussions. These are email conversations, not contracts. You need enough to say to RDB: 'We have certified partners for every product in the suite.'</w:t>
            </w:r>
          </w:p>
        </w:tc>
      </w:tr>
    </w:tbl>
    <w:p>
      <w:pPr>
        <w:spacing w:before="30" w:after="3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before="80" w:after="80"/>
              <w:jc w:val="center"/>
            </w:pPr>
            <w:r>
              <w:rPr>
                <w:rFonts w:ascii="Arial" w:cs="Arial" w:eastAsia="Arial" w:hAnsi="Arial"/>
                <w:b/>
                <w:bCs/>
                <w:color w:val="C8960C"/>
                <w:sz w:val="18"/>
                <w:szCs w:val="18"/>
              </w:rPr>
              <w:t xml:space="preserve">Days 31–60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40"/>
            </w:pPr>
            <w:r>
              <w:rPr>
                <w:rFonts w:ascii="Arial" w:cs="Arial" w:eastAsia="Arial" w:hAnsi="Arial"/>
                <w:b/>
                <w:bCs/>
                <w:color w:val="0D6E6E"/>
                <w:sz w:val="21"/>
                <w:szCs w:val="21"/>
              </w:rPr>
              <w:t xml:space="preserve">Design the First Two Products</w:t>
            </w:r>
          </w:p>
          <w:p>
            <w:pPr>
              <w:spacing w:before="0" w:after="0"/>
            </w:pPr>
            <w:r>
              <w:rPr>
                <w:rFonts w:ascii="Arial" w:cs="Arial" w:eastAsia="Arial" w:hAnsi="Arial"/>
                <w:color w:val="333333"/>
                <w:sz w:val="20"/>
                <w:szCs w:val="20"/>
              </w:rPr>
              <w:t xml:space="preserve">Deliver the GreenAgri Loan and Solar/Energy Loan product documents to RDB. Each document is 8–12 pages: eligible borrower criteria, use of proceeds, rate matrix, CBSL taxonomy alignment, reporting template. Invoice the product design fee on delivery. First LKR 6–16M.</w:t>
            </w:r>
          </w:p>
        </w:tc>
      </w:tr>
    </w:tbl>
    <w:p>
      <w:pPr>
        <w:spacing w:before="30" w:after="3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before="80" w:after="80"/>
              <w:jc w:val="center"/>
            </w:pPr>
            <w:r>
              <w:rPr>
                <w:rFonts w:ascii="Arial" w:cs="Arial" w:eastAsia="Arial" w:hAnsi="Arial"/>
                <w:b/>
                <w:bCs/>
                <w:color w:val="C8960C"/>
                <w:sz w:val="18"/>
                <w:szCs w:val="18"/>
              </w:rPr>
              <w:t xml:space="preserve">Days 61–90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40"/>
            </w:pPr>
            <w:r>
              <w:rPr>
                <w:rFonts w:ascii="Arial" w:cs="Arial" w:eastAsia="Arial" w:hAnsi="Arial"/>
                <w:b/>
                <w:bCs/>
                <w:color w:val="0D6E6E"/>
                <w:sz w:val="21"/>
                <w:szCs w:val="21"/>
              </w:rPr>
              <w:t xml:space="preserve">Launch the First Borrower Campaign</w:t>
            </w:r>
          </w:p>
          <w:p>
            <w:pPr>
              <w:spacing w:before="0" w:after="0"/>
            </w:pPr>
            <w:r>
              <w:rPr>
                <w:rFonts w:ascii="Arial" w:cs="Arial" w:eastAsia="Arial" w:hAnsi="Arial"/>
                <w:color w:val="333333"/>
                <w:sz w:val="20"/>
                <w:szCs w:val="20"/>
              </w:rPr>
              <w:t xml:space="preserve">Use RDB's branch network: identify 3 pilot branches (Kandy region tea belt ideal). Brief branch managers on the GreenAgri Loan eligibility criteria. Identify 20–30 existing RDB agricultural borrowers who are candidates for certification (using RA certification gap framework). Refer first 5–10 to the RA pre-audit. Invoice pipeline referral fees when first loans are disbursed.</w:t>
            </w:r>
          </w:p>
        </w:tc>
      </w:tr>
    </w:tbl>
    <w:p>
      <w:pPr>
        <w:spacing w:before="30" w:after="30"/>
      </w:pPr>
      <w:r>
        <w:rPr>
          <w:rFonts w:ascii="Arial" w:cs="Arial" w:eastAsia="Arial" w:hAnsi="Arial"/>
          <w:color w:val="333333"/>
          <w:sz w:val="20"/>
          <w:szCs w:val="20"/>
        </w:rPr>
        <w:t xml:space="preserve"> </w:t>
      </w:r>
    </w:p>
    <w:p>
      <w:pPr>
        <w:spacing w:before="60" w:after="60"/>
      </w:pPr>
      <w:r>
        <w:rPr>
          <w:rFonts w:ascii="Arial" w:cs="Arial" w:eastAsia="Arial" w:hAnsi="Arial"/>
          <w:color w:val="333333"/>
          <w:sz w:val="20"/>
          <w:szCs w:val="20"/>
        </w:rPr>
        <w:t xml:space="preserve"> </w:t>
      </w:r>
    </w:p>
    <w:p>
      <w:pPr>
        <w:pBdr>
          <w:bottom w:val="single" w:color="0D6E6E" w:sz="4" w:space="1"/>
        </w:pBdr>
        <w:spacing w:before="120" w:after="120"/>
      </w:pPr>
      <w:r>
        <w:rPr>
          <w:rFonts w:ascii="Arial" w:cs="Arial" w:eastAsia="Arial" w:hAnsi="Arial"/>
          <w:color w:val="333333"/>
          <w:sz w:val="20"/>
          <w:szCs w:val="20"/>
        </w:rPr>
        <w:t xml:space="preserve"/>
      </w:r>
    </w:p>
    <w:p>
      <w:pPr>
        <w:pStyle w:val="Heading2"/>
        <w:spacing w:before="240" w:after="100"/>
      </w:pPr>
      <w:r>
        <w:rPr>
          <w:rFonts w:ascii="Arial" w:cs="Arial" w:eastAsia="Arial" w:hAnsi="Arial"/>
          <w:b/>
          <w:bCs/>
          <w:color w:val="0D6E6E"/>
          <w:sz w:val="28"/>
          <w:szCs w:val="28"/>
        </w:rPr>
        <w:t xml:space="preserve">6.  What RDB Gets vs What We Get</w:t>
      </w:r>
    </w:p>
    <w:p>
      <w:pPr>
        <w:spacing w:before="60" w:after="6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RDB Gets</w:t>
            </w:r>
          </w:p>
        </w:tc>
        <w:tc>
          <w:tcPr>
            <w:tcW w:type="dxa" w:w="50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We Get</w:t>
            </w:r>
          </w:p>
        </w:tc>
      </w:tr>
      <w:tr>
        <w:tc>
          <w:tcPr>
            <w:tcW w:type="dxa" w:w="5040"/>
            <w:tcBorders>
              <w:top w:val="single" w:color="CCCCCC" w:sz="1"/>
              <w:left w:val="single" w:color="CCCCCC" w:sz="1"/>
              <w:bottom w:val="single" w:color="CCCCCC" w:sz="1"/>
              <w:right w:val="single" w:color="CCCCCC" w:sz="1"/>
            </w:tcBorders>
            <w:shd w:fill="E0F2F2" w:val="clear"/>
            <w:tcMar>
              <w:top w:type="dxa" w:w="120"/>
              <w:left w:type="dxa" w:w="160"/>
              <w:bottom w:type="dxa" w:w="120"/>
              <w:right w:type="dxa" w:w="160"/>
            </w:tcMar>
          </w:tcPr>
          <w:p>
            <w:pPr>
              <w:spacing w:before="30" w:after="30"/>
            </w:pPr>
            <w:r>
              <w:rPr>
                <w:rFonts w:ascii="Arial" w:cs="Arial" w:eastAsia="Arial" w:hAnsi="Arial"/>
                <w:color w:val="333333"/>
                <w:sz w:val="20"/>
                <w:szCs w:val="20"/>
              </w:rPr>
              <w:t xml:space="preserve">→  5 structured green loan products with full documentation</w:t>
            </w:r>
          </w:p>
          <w:p>
            <w:pPr>
              <w:spacing w:before="30" w:after="30"/>
            </w:pPr>
            <w:r>
              <w:rPr>
                <w:rFonts w:ascii="Arial" w:cs="Arial" w:eastAsia="Arial" w:hAnsi="Arial"/>
                <w:color w:val="333333"/>
                <w:sz w:val="20"/>
                <w:szCs w:val="20"/>
              </w:rPr>
              <w:t xml:space="preserve">→  A pre-screened pipeline of bankable green borrowers from Day 60</w:t>
            </w:r>
          </w:p>
          <w:p>
            <w:pPr>
              <w:spacing w:before="30" w:after="30"/>
            </w:pPr>
            <w:r>
              <w:rPr>
                <w:rFonts w:ascii="Arial" w:cs="Arial" w:eastAsia="Arial" w:hAnsi="Arial"/>
                <w:color w:val="333333"/>
                <w:sz w:val="20"/>
                <w:szCs w:val="20"/>
              </w:rPr>
              <w:t xml:space="preserve">→  CBSL Green Taxonomy and IFC GLP-aligned framework — usable for DFI applications immediately</w:t>
            </w:r>
          </w:p>
          <w:p>
            <w:pPr>
              <w:spacing w:before="30" w:after="30"/>
            </w:pPr>
            <w:r>
              <w:rPr>
                <w:rFonts w:ascii="Arial" w:cs="Arial" w:eastAsia="Arial" w:hAnsi="Arial"/>
                <w:color w:val="333333"/>
                <w:sz w:val="20"/>
                <w:szCs w:val="20"/>
              </w:rPr>
              <w:t xml:space="preserve">→  A credible path to GCF Direct Access Entity status (2–3 year horizon)</w:t>
            </w:r>
          </w:p>
          <w:p>
            <w:pPr>
              <w:spacing w:before="30" w:after="30"/>
            </w:pPr>
            <w:r>
              <w:rPr>
                <w:rFonts w:ascii="Arial" w:cs="Arial" w:eastAsia="Arial" w:hAnsi="Arial"/>
                <w:color w:val="333333"/>
                <w:sz w:val="20"/>
                <w:szCs w:val="20"/>
              </w:rPr>
              <w:t xml:space="preserve">→  A new Chairman legacy narrative: 'RDB became Sri Lanka's first state development bank to achieve GCF accreditation'</w:t>
            </w:r>
          </w:p>
          <w:p>
            <w:pPr>
              <w:spacing w:before="30" w:after="30"/>
            </w:pPr>
            <w:r>
              <w:rPr>
                <w:rFonts w:ascii="Arial" w:cs="Arial" w:eastAsia="Arial" w:hAnsi="Arial"/>
                <w:color w:val="333333"/>
                <w:sz w:val="20"/>
                <w:szCs w:val="20"/>
              </w:rPr>
              <w:t xml:space="preserve">→  Zero internal team required — all technical delivery handled by vetted partners we manage</w:t>
            </w:r>
          </w:p>
        </w:tc>
        <w:tc>
          <w:tcPr>
            <w:tcW w:type="dxa" w:w="5040"/>
            <w:tcBorders>
              <w:top w:val="single" w:color="CCCCCC" w:sz="1"/>
              <w:left w:val="single" w:color="CCCCCC" w:sz="1"/>
              <w:bottom w:val="single" w:color="CCCCCC" w:sz="1"/>
              <w:right w:val="single" w:color="CCCCCC" w:sz="1"/>
            </w:tcBorders>
            <w:shd w:fill="EEF2F8" w:val="clear"/>
            <w:tcMar>
              <w:top w:type="dxa" w:w="120"/>
              <w:left w:type="dxa" w:w="160"/>
              <w:bottom w:type="dxa" w:w="120"/>
              <w:right w:type="dxa" w:w="160"/>
            </w:tcMar>
          </w:tcPr>
          <w:p>
            <w:pPr>
              <w:spacing w:before="30" w:after="30"/>
            </w:pPr>
            <w:r>
              <w:rPr>
                <w:rFonts w:ascii="Arial" w:cs="Arial" w:eastAsia="Arial" w:hAnsi="Arial"/>
                <w:color w:val="333333"/>
                <w:sz w:val="20"/>
                <w:szCs w:val="20"/>
              </w:rPr>
              <w:t xml:space="preserve">→  LKR 15–40M product design fees (payable on document delivery)</w:t>
            </w:r>
          </w:p>
          <w:p>
            <w:pPr>
              <w:spacing w:before="30" w:after="30"/>
            </w:pPr>
            <w:r>
              <w:rPr>
                <w:rFonts w:ascii="Arial" w:cs="Arial" w:eastAsia="Arial" w:hAnsi="Arial"/>
                <w:color w:val="333333"/>
                <w:sz w:val="20"/>
                <w:szCs w:val="20"/>
              </w:rPr>
              <w:t xml:space="preserve">→  LKR 50–150K referral fee per green loan disbursed (ongoing, recurring)</w:t>
            </w:r>
          </w:p>
          <w:p>
            <w:pPr>
              <w:spacing w:before="30" w:after="30"/>
            </w:pPr>
            <w:r>
              <w:rPr>
                <w:rFonts w:ascii="Arial" w:cs="Arial" w:eastAsia="Arial" w:hAnsi="Arial"/>
                <w:color w:val="333333"/>
                <w:sz w:val="20"/>
                <w:szCs w:val="20"/>
              </w:rPr>
              <w:t xml:space="preserve">→  60–75% margin on all certification services for RDB-referred borrowers</w:t>
            </w:r>
          </w:p>
          <w:p>
            <w:pPr>
              <w:spacing w:before="30" w:after="30"/>
            </w:pPr>
            <w:r>
              <w:rPr>
                <w:rFonts w:ascii="Arial" w:cs="Arial" w:eastAsia="Arial" w:hAnsi="Arial"/>
                <w:color w:val="333333"/>
                <w:sz w:val="20"/>
                <w:szCs w:val="20"/>
              </w:rPr>
              <w:t xml:space="preserve">→  LKR 10–25M advisory + 0.3–0.5% placement on any GCF / IFC capital raised</w:t>
            </w:r>
          </w:p>
          <w:p>
            <w:pPr>
              <w:spacing w:before="30" w:after="30"/>
            </w:pPr>
            <w:r>
              <w:rPr>
                <w:rFonts w:ascii="Arial" w:cs="Arial" w:eastAsia="Arial" w:hAnsi="Arial"/>
                <w:color w:val="333333"/>
                <w:sz w:val="20"/>
                <w:szCs w:val="20"/>
              </w:rPr>
              <w:t xml:space="preserve">→  Access to RDB's 272-branch rural network as our distribution infrastructure for all other sustainability services</w:t>
            </w:r>
          </w:p>
          <w:p>
            <w:pPr>
              <w:spacing w:before="30" w:after="30"/>
            </w:pPr>
            <w:r>
              <w:rPr>
                <w:rFonts w:ascii="Arial" w:cs="Arial" w:eastAsia="Arial" w:hAnsi="Arial"/>
                <w:color w:val="333333"/>
                <w:sz w:val="20"/>
                <w:szCs w:val="20"/>
              </w:rPr>
              <w:t xml:space="preserve">→  Exclusive status as RDB's green finance partner — no competitor can replicate this relationship</w:t>
            </w:r>
          </w:p>
        </w:tc>
      </w:tr>
    </w:tbl>
    <w:p>
      <w:pPr>
        <w:spacing w:before="120" w:after="120"/>
      </w:pPr>
      <w:r>
        <w:rPr>
          <w:rFonts w:ascii="Arial" w:cs="Arial" w:eastAsia="Arial" w:hAnsi="Arial"/>
          <w:color w:val="333333"/>
          <w:sz w:val="20"/>
          <w:szCs w:val="20"/>
        </w:rPr>
        <w:t xml:space="preserve"> </w:t>
      </w:r>
    </w:p>
    <w:p>
      <w:pPr>
        <w:pBdr>
          <w:bottom w:val="single" w:color="0D6E6E" w:sz="4" w:space="1"/>
        </w:pBdr>
        <w:spacing w:before="120" w:after="120"/>
      </w:pPr>
      <w:r>
        <w:rPr>
          <w:rFonts w:ascii="Arial" w:cs="Arial" w:eastAsia="Arial" w:hAnsi="Arial"/>
          <w:color w:val="333333"/>
          <w:sz w:val="20"/>
          <w:szCs w:val="20"/>
        </w:rPr>
        <w:t xml:space="preserve"/>
      </w:r>
    </w:p>
    <w:p>
      <w:pPr>
        <w:pStyle w:val="Heading2"/>
        <w:spacing w:before="240" w:after="100"/>
      </w:pPr>
      <w:r>
        <w:rPr>
          <w:rFonts w:ascii="Arial" w:cs="Arial" w:eastAsia="Arial" w:hAnsi="Arial"/>
          <w:b/>
          <w:bCs/>
          <w:color w:val="0D6E6E"/>
          <w:sz w:val="28"/>
          <w:szCs w:val="28"/>
        </w:rPr>
        <w:t xml:space="preserve">7.  Key Risks &amp; Mitigations</w:t>
      </w:r>
    </w:p>
    <w:p>
      <w:pPr>
        <w:spacing w:before="60" w:after="60"/>
      </w:pPr>
      <w:r>
        <w:rPr>
          <w:rFonts w:ascii="Arial" w:cs="Arial" w:eastAsia="Arial" w:hAnsi="Arial"/>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c>
          <w:tcPr>
            <w:tcW w:type="dxa" w:w="260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Risk</w:t>
            </w:r>
          </w:p>
        </w:tc>
        <w:tc>
          <w:tcPr>
            <w:tcW w:type="dxa" w:w="37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Why It Could Happen</w:t>
            </w:r>
          </w:p>
        </w:tc>
        <w:tc>
          <w:tcPr>
            <w:tcW w:type="dxa" w:w="37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bCs/>
                <w:color w:val="990000"/>
                <w:sz w:val="19"/>
                <w:szCs w:val="19"/>
              </w:rPr>
              <w:t xml:space="preserve">RDB bureaucracy slows mandate signing</w:t>
            </w:r>
          </w:p>
        </w:tc>
        <w:tc>
          <w:tcPr>
            <w:tcW w:type="dxa" w:w="37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State bank procurement and board approval cycles are slow. A new Chairman helps but does not remove institutional inertia.</w:t>
            </w:r>
          </w:p>
        </w:tc>
        <w:tc>
          <w:tcPr>
            <w:tcW w:type="dxa" w:w="37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Price the first product design at LKR 2–3M (below normal procurement threshold) to fast-track approval. Start with a 30-day paid pilot, not a full suite contract.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bCs/>
                <w:color w:val="990000"/>
                <w:sz w:val="19"/>
                <w:szCs w:val="19"/>
              </w:rPr>
              <w:t xml:space="preserve">RDB credit officers refer borrowers around us</w:t>
            </w:r>
          </w:p>
        </w:tc>
        <w:tc>
          <w:tcPr>
            <w:tcW w:type="dxa" w:w="37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Once branch managers know which certifiers we use, they could approach them directly and cut us out of the pipeline.</w:t>
            </w:r>
          </w:p>
        </w:tc>
        <w:tc>
          <w:tcPr>
            <w:tcW w:type="dxa" w:w="37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Never disclose partner identity or rate agreements to branch staff. All referrals go through our tracking system. Protect the relationship through the Chairman, not the branch level.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bCs/>
                <w:color w:val="990000"/>
                <w:sz w:val="19"/>
                <w:szCs w:val="19"/>
              </w:rPr>
              <w:t xml:space="preserve">DFI accreditation takes longer than 2 years</w:t>
            </w:r>
          </w:p>
        </w:tc>
        <w:tc>
          <w:tcPr>
            <w:tcW w:type="dxa" w:w="37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GCF accreditation is a multi-year process. Advisory fees earned upfront, but placement commission is delayed.</w:t>
            </w:r>
          </w:p>
        </w:tc>
        <w:tc>
          <w:tcPr>
            <w:tcW w:type="dxa" w:w="37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Front-load advisory fees. Pitch GCF as the medium-term prize, not the first 12-month deliverable. The product design and pipeline fees are the short-term revenue; DFI is the upside.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bCs/>
                <w:color w:val="990000"/>
                <w:sz w:val="19"/>
                <w:szCs w:val="19"/>
              </w:rPr>
              <w:t xml:space="preserve">CBSL Green Taxonomy changes eligibility criteria</w:t>
            </w:r>
          </w:p>
        </w:tc>
        <w:tc>
          <w:tcPr>
            <w:tcW w:type="dxa" w:w="37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CBSL has updated its Green Taxonomy and may continue to do so, requiring product redesigns.</w:t>
            </w:r>
          </w:p>
        </w:tc>
        <w:tc>
          <w:tcPr>
            <w:tcW w:type="dxa" w:w="37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color w:val="333333"/>
                <w:sz w:val="19"/>
                <w:szCs w:val="19"/>
              </w:rPr>
              <w:t xml:space="preserve">Build a retainer for annual product review and CBSL alignment updates into the contract from Day 1. Change becomes a revenue event, not a risk.</w:t>
            </w:r>
          </w:p>
        </w:tc>
      </w:tr>
    </w:tbl>
    <w:p>
      <w:pPr>
        <w:spacing w:before="120" w:after="120"/>
      </w:pPr>
      <w:r>
        <w:rPr>
          <w:rFonts w:ascii="Arial" w:cs="Arial" w:eastAsia="Arial" w:hAnsi="Arial"/>
          <w:color w:val="333333"/>
          <w:sz w:val="20"/>
          <w:szCs w:val="20"/>
        </w:rPr>
        <w:t xml:space="preserve"> </w:t>
      </w:r>
    </w:p>
    <w:p>
      <w:pPr>
        <w:pBdr>
          <w:bottom w:val="single" w:color="0D6E6E" w:sz="4" w:space="1"/>
        </w:pBdr>
        <w:spacing w:before="120" w:after="120"/>
      </w:pPr>
      <w:r>
        <w:rPr>
          <w:rFonts w:ascii="Arial" w:cs="Arial" w:eastAsia="Arial" w:hAnsi="Arial"/>
          <w:color w:val="3333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200"/>
              <w:left w:type="dxa" w:w="240"/>
              <w:bottom w:type="dxa" w:w="200"/>
              <w:right w:type="dxa" w:w="240"/>
            </w:tcMar>
          </w:tcPr>
          <w:p>
            <w:pPr>
              <w:spacing w:before="80" w:after="80"/>
            </w:pPr>
            <w:r>
              <w:rPr>
                <w:rFonts w:ascii="Arial" w:cs="Arial" w:eastAsia="Arial" w:hAnsi="Arial"/>
                <w:b/>
                <w:bCs/>
                <w:color w:val="C8960C"/>
                <w:sz w:val="22"/>
                <w:szCs w:val="22"/>
              </w:rPr>
              <w:t xml:space="preserve">WHY THIS OPPORTUNITY ABOVE ALL OTHERS IN THE RDB PORTFOLIO</w:t>
            </w:r>
          </w:p>
          <w:p>
            <w:pPr>
              <w:spacing w:before="60" w:after="60"/>
            </w:pPr>
            <w:r>
              <w:rPr>
                <w:rFonts w:ascii="Arial" w:cs="Arial" w:eastAsia="Arial" w:hAnsi="Arial"/>
                <w:color w:val="333333"/>
                <w:sz w:val="20"/>
                <w:szCs w:val="20"/>
              </w:rPr>
              <w:t xml:space="preserve"> </w:t>
            </w:r>
          </w:p>
          <w:p>
            <w:pPr>
              <w:spacing w:before="0" w:after="80"/>
            </w:pPr>
            <w:r>
              <w:rPr>
                <w:rFonts w:ascii="Arial" w:cs="Arial" w:eastAsia="Arial" w:hAnsi="Arial"/>
                <w:color w:val="FFFFFF"/>
                <w:sz w:val="20"/>
                <w:szCs w:val="20"/>
              </w:rPr>
              <w:t xml:space="preserve">Every other RDB opportunity is additive. This one is foundational. Getting the green loan product design mandate means:</w:t>
            </w:r>
          </w:p>
          <w:p>
            <w:pPr>
              <w:spacing w:before="30" w:after="30"/>
            </w:pPr>
            <w:r>
              <w:rPr>
                <w:rFonts w:ascii="Arial" w:cs="Arial" w:eastAsia="Arial" w:hAnsi="Arial"/>
                <w:color w:val="FFFFFF"/>
                <w:sz w:val="20"/>
                <w:szCs w:val="20"/>
              </w:rPr>
              <w:t xml:space="preserve">→  RDB's 272 branches become our distribution infrastructure for ALL other sustainability services — certification, energy audits, EPR compliance, carbon credits.</w:t>
            </w:r>
          </w:p>
          <w:p>
            <w:pPr>
              <w:spacing w:before="30" w:after="30"/>
            </w:pPr>
            <w:r>
              <w:rPr>
                <w:rFonts w:ascii="Arial" w:cs="Arial" w:eastAsia="Arial" w:hAnsi="Arial"/>
                <w:color w:val="FFFFFF"/>
                <w:sz w:val="20"/>
                <w:szCs w:val="20"/>
              </w:rPr>
              <w:t xml:space="preserve">→  Every RDB borrower who needs certification (for the green loan rate) becomes a client for our main brokerage business (Opp #2, #6, #7, #10 from the main brief).</w:t>
            </w:r>
          </w:p>
          <w:p>
            <w:pPr>
              <w:spacing w:before="30" w:after="30"/>
            </w:pPr>
            <w:r>
              <w:rPr>
                <w:rFonts w:ascii="Arial" w:cs="Arial" w:eastAsia="Arial" w:hAnsi="Arial"/>
                <w:color w:val="FFFFFF"/>
                <w:sz w:val="20"/>
                <w:szCs w:val="20"/>
              </w:rPr>
              <w:t xml:space="preserve">→  The green framework document we build for RDB positions us as the co-author of RDB's sustainability story — locking in a long-term institutional relationship that no competitor can replicate.</w:t>
            </w:r>
          </w:p>
          <w:p>
            <w:pPr>
              <w:spacing w:before="30" w:after="80"/>
            </w:pPr>
            <w:r>
              <w:rPr>
                <w:rFonts w:ascii="Arial" w:cs="Arial" w:eastAsia="Arial" w:hAnsi="Arial"/>
                <w:color w:val="FFFFFF"/>
                <w:sz w:val="20"/>
                <w:szCs w:val="20"/>
              </w:rPr>
              <w:t xml:space="preserve">→  A single GCF placement, if achieved in Year 3, would generate a placement fee larger than the entire 18-month revenue from our other 9 opportunities combined.</w:t>
            </w:r>
          </w:p>
          <w:p>
            <w:pPr>
              <w:spacing w:before="80" w:after="80"/>
            </w:pPr>
            <w:r>
              <w:rPr>
                <w:rFonts w:ascii="Arial" w:cs="Arial" w:eastAsia="Arial" w:hAnsi="Arial"/>
                <w:b/>
                <w:bCs/>
                <w:color w:val="C8960C"/>
                <w:sz w:val="22"/>
                <w:szCs w:val="22"/>
              </w:rPr>
              <w:t xml:space="preserve">Start with the Chairman meeting. Bring the DFCC GCF case study and this document. The first ask is a 30-day paid framework scoping engagement at LKR 2–3M. That is the door.</w:t>
            </w:r>
          </w:p>
        </w:tc>
      </w:tr>
    </w:tbl>
    <w:p>
      <w:pPr>
        <w:spacing w:before="60" w:after="60"/>
      </w:pPr>
      <w:r>
        <w:rPr>
          <w:rFonts w:ascii="Arial" w:cs="Arial" w:eastAsia="Arial" w:hAnsi="Arial"/>
          <w:color w:val="333333"/>
          <w:sz w:val="20"/>
          <w:szCs w:val="20"/>
        </w:rPr>
        <w:t xml:space="preserve"> </w:t>
      </w:r>
    </w:p>
    <w:p>
      <w:pPr>
        <w:spacing w:before="80" w:after="80"/>
      </w:pPr>
      <w:r>
        <w:rPr>
          <w:rFonts w:ascii="Arial" w:cs="Arial" w:eastAsia="Arial" w:hAnsi="Arial"/>
          <w:i/>
          <w:iCs/>
          <w:color w:val="888888"/>
          <w:sz w:val="18"/>
          <w:szCs w:val="18"/>
        </w:rPr>
        <w:t xml:space="preserve">Document prepared February 2026. For internal use only. Data sourced from IDCOL, Rabobank, DFCC, IFC, World Bank, CBSL, and GCF public filings.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D6E6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7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2026-02-22T10:22:14.358Z</dcterms:created>
  <dcterms:modified xsi:type="dcterms:W3CDTF">2026-02-22T10:22:14.359Z</dcterms:modified>
</cp:coreProperties>
</file>

<file path=docProps/custom.xml><?xml version="1.0" encoding="utf-8"?>
<Properties xmlns="http://schemas.openxmlformats.org/officeDocument/2006/custom-properties" xmlns:vt="http://schemas.openxmlformats.org/officeDocument/2006/docPropsVTypes"/>
</file>