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F5C2E" w:val="clear"/>
            <w:tcMar>
              <w:top w:type="dxa" w:w="500"/>
              <w:left w:type="dxa" w:w="400"/>
              <w:bottom w:type="dxa" w:w="500"/>
              <w:right w:type="dxa" w:w="400"/>
            </w:tcMar>
          </w:tcPr>
          <w:p>
            <w:pPr>
              <w:spacing w:before="80" w:after="80"/>
            </w:pPr>
            <w:r>
              <w:rPr>
                <w:rFonts w:ascii="Arial" w:cs="Arial" w:eastAsia="Arial" w:hAnsi="Arial"/>
                <w:b/>
                <w:bCs/>
                <w:color w:val="C8960C"/>
                <w:sz w:val="22"/>
                <w:szCs w:val="22"/>
              </w:rPr>
              <w:t xml:space="preserve">RDB x SUSTAINABILITY BROKER</w:t>
            </w:r>
          </w:p>
          <w:p>
            <w:pPr>
              <w:spacing w:before="60" w:after="0"/>
            </w:pPr>
            <w:r>
              <w:rPr>
                <w:rFonts w:ascii="Arial" w:cs="Arial" w:eastAsia="Arial" w:hAnsi="Arial"/>
                <w:b/>
                <w:bCs/>
                <w:color w:val="FFFFFF"/>
                <w:sz w:val="52"/>
                <w:szCs w:val="52"/>
              </w:rPr>
              <w:t xml:space="preserve">Sustainable Agriculture</w:t>
            </w:r>
          </w:p>
          <w:p>
            <w:pPr>
              <w:spacing w:before="0" w:after="160"/>
            </w:pPr>
            <w:r>
              <w:rPr>
                <w:rFonts w:ascii="Arial" w:cs="Arial" w:eastAsia="Arial" w:hAnsi="Arial"/>
                <w:b/>
                <w:bCs/>
                <w:color w:val="FFFFFF"/>
                <w:sz w:val="52"/>
                <w:szCs w:val="52"/>
              </w:rPr>
              <w:t xml:space="preserve">Lending Programme</w:t>
            </w:r>
          </w:p>
          <w:p>
            <w:pPr>
              <w:spacing w:before="80" w:after="80"/>
            </w:pPr>
            <w:r>
              <w:rPr>
                <w:rFonts w:ascii="Arial" w:cs="Arial" w:eastAsia="Arial" w:hAnsi="Arial"/>
                <w:b w:val="false"/>
                <w:bCs w:val="false"/>
                <w:color w:val="BBBBBB"/>
                <w:sz w:val="20"/>
                <w:szCs w:val="20"/>
              </w:rPr>
              <w:t xml:space="preserve">Five Case Studies  |  Full Business Model  |  February 2026  |  Internal Use Only</w:t>
            </w:r>
          </w:p>
        </w:tc>
      </w:tr>
    </w:tbl>
    <w:p>
      <w:pPr>
        <w:spacing w:before="120" w:after="12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40"/>
              <w:left w:type="dxa" w:w="200"/>
              <w:bottom w:type="dxa" w:w="140"/>
              <w:right w:type="dxa" w:w="200"/>
            </w:tcMar>
          </w:tcPr>
          <w:p>
            <w:pPr>
              <w:spacing w:before="80" w:after="80"/>
            </w:pPr>
            <w:r>
              <w:rPr>
                <w:rFonts w:ascii="Arial" w:cs="Arial" w:eastAsia="Arial" w:hAnsi="Arial"/>
                <w:b/>
                <w:bCs/>
                <w:color w:val="0F5C2E"/>
                <w:sz w:val="24"/>
                <w:szCs w:val="24"/>
              </w:rPr>
              <w:t xml:space="preserve">The Central Idea: We Earn on Both Sides of the Same Transaction</w:t>
            </w:r>
          </w:p>
          <w:p>
            <w:pPr>
              <w:spacing w:before="80" w:after="80"/>
            </w:pPr>
            <w:r>
              <w:rPr>
                <w:rFonts w:ascii="Arial" w:cs="Arial" w:eastAsia="Arial" w:hAnsi="Arial"/>
                <w:b w:val="false"/>
                <w:bCs w:val="false"/>
                <w:color w:val="333333"/>
                <w:sz w:val="20"/>
                <w:szCs w:val="20"/>
              </w:rPr>
              <w:t xml:space="preserve">This module is structurally different from every other opportunity in the RDB portfolio. It is a bilateral model: we earn certification brokerage fees from farmers, and we earn product design advisory fees from RDB. The same pipeline of certified farmers that generates our brokerage income also populates RDB's new preferential-rate loan product. We are paid to build both sides of a marketplace and we sit at the centre of it indefinitely.</w:t>
            </w:r>
          </w:p>
          <w:p>
            <w:pPr>
              <w:spacing w:before="60" w:after="60"/>
            </w:pPr>
            <w:r>
              <w:rPr>
                <w:rFonts w:ascii="Arial" w:cs="Arial" w:eastAsia="Arial" w:hAnsi="Arial"/>
                <w:b w:val="false"/>
                <w:bCs w:val="false"/>
                <w:color w:val="333333"/>
                <w:sz w:val="20"/>
                <w:szCs w:val="20"/>
              </w:rPr>
              <w:t xml:space="preserve"> </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173"/>
              <w:gridCol w:w="3174"/>
              <w:gridCol w:w="3173"/>
            </w:tblGrid>
            <w:tr>
              <w:tc>
                <w:tcPr>
                  <w:tcW w:type="dxa" w:w="3173"/>
                  <w:tcBorders>
                    <w:top w:val="single" w:color="CCCCCC" w:sz="1"/>
                    <w:left w:val="single" w:color="CCCCCC" w:sz="1"/>
                    <w:bottom w:val="single" w:color="CCCCCC" w:sz="1"/>
                    <w:right w:val="single" w:color="CCCCCC" w:sz="1"/>
                  </w:tcBorders>
                  <w:shd w:fill="0F5C2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SIDE 1: FARMER INCOME</w:t>
                  </w:r>
                </w:p>
              </w:tc>
              <w:tc>
                <w:tcPr>
                  <w:tcW w:type="dxa" w:w="3174"/>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THE BROKER</w:t>
                  </w:r>
                </w:p>
              </w:tc>
              <w:tc>
                <w:tcPr>
                  <w:tcW w:type="dxa" w:w="3173"/>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SIDE 2: RDB INCOME</w:t>
                  </w:r>
                </w:p>
              </w:tc>
            </w:tr>
            <w:tr>
              <w:tc>
                <w:tcPr>
                  <w:tcW w:type="dxa" w:w="3173"/>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Certification Brokerage</w:t>
                  </w:r>
                </w:p>
                <w:p>
                  <w:pPr>
                    <w:spacing w:before="80" w:after="80"/>
                  </w:pPr>
                  <w:r>
                    <w:rPr>
                      <w:rFonts w:ascii="Arial" w:cs="Arial" w:eastAsia="Arial" w:hAnsi="Arial"/>
                      <w:b w:val="false"/>
                      <w:bCs w:val="false"/>
                      <w:color w:val="333333"/>
                      <w:sz w:val="19"/>
                      <w:szCs w:val="19"/>
                    </w:rPr>
                    <w:t xml:space="preserve">We manage the full certification process for farmers, estates, and cooperatives: gap analysis, training, audit coordination, certificate issuance. Certifications: Rainforest Alliance, Organic (Control Union), SL-GAP, GlobalG.A.P., Fairtrade, EUDR traceability.</w:t>
                  </w:r>
                </w:p>
                <w:p>
                  <w:pPr>
                    <w:spacing w:before="80" w:after="80"/>
                  </w:pPr>
                  <w:r>
                    <w:rPr>
                      <w:rFonts w:ascii="Arial" w:cs="Arial" w:eastAsia="Arial" w:hAnsi="Arial"/>
                      <w:b/>
                      <w:bCs/>
                      <w:color w:val="0F5C2E"/>
                      <w:sz w:val="18"/>
                      <w:szCs w:val="18"/>
                    </w:rPr>
                    <w:t xml:space="preserve">Fees: LKR 200-500K per smallholder group  |  LKR 1.5-4M per estate</w:t>
                  </w:r>
                </w:p>
              </w:tc>
              <w:tc>
                <w:tcPr>
                  <w:tcW w:type="dxa" w:w="3174"/>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We sit at the centre</w:t>
                  </w:r>
                </w:p>
                <w:p>
                  <w:pPr>
                    <w:spacing w:before="80" w:after="80"/>
                  </w:pPr>
                  <w:r>
                    <w:rPr>
                      <w:rFonts w:ascii="Arial" w:cs="Arial" w:eastAsia="Arial" w:hAnsi="Arial"/>
                      <w:b w:val="false"/>
                      <w:bCs w:val="false"/>
                      <w:color w:val="333333"/>
                      <w:sz w:val="19"/>
                      <w:szCs w:val="19"/>
                    </w:rPr>
                    <w:t xml:space="preserve">We originate the certified farmer client for RDB. We designed the RDB product they access. We earn on both engagements. The certified farmer pipeline is ours to manage -- RDB cannot reach these borrowers without us.</w:t>
                  </w:r>
                </w:p>
                <w:p>
                  <w:pPr>
                    <w:spacing w:before="80" w:after="80"/>
                  </w:pPr>
                  <w:r>
                    <w:rPr>
                      <w:rFonts w:ascii="Arial" w:cs="Arial" w:eastAsia="Arial" w:hAnsi="Arial"/>
                      <w:b/>
                      <w:bCs/>
                      <w:color w:val="1B3A5C"/>
                      <w:sz w:val="18"/>
                      <w:szCs w:val="18"/>
                    </w:rPr>
                    <w:t xml:space="preserve">RDB cannot originate certified borrowers without us. We designed their eligibility criteria.</w:t>
                  </w:r>
                </w:p>
              </w:tc>
              <w:tc>
                <w:tcPr>
                  <w:tcW w:type="dxa" w:w="3173"/>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1A7A4A"/>
                      <w:sz w:val="18"/>
                      <w:szCs w:val="18"/>
                    </w:rPr>
                    <w:t xml:space="preserve">Product Design Advisory</w:t>
                  </w:r>
                </w:p>
                <w:p>
                  <w:pPr>
                    <w:spacing w:before="80" w:after="80"/>
                  </w:pPr>
                  <w:r>
                    <w:rPr>
                      <w:rFonts w:ascii="Arial" w:cs="Arial" w:eastAsia="Arial" w:hAnsi="Arial"/>
                      <w:b w:val="false"/>
                      <w:bCs w:val="false"/>
                      <w:color w:val="333333"/>
                      <w:sz w:val="19"/>
                      <w:szCs w:val="19"/>
                    </w:rPr>
                    <w:t xml:space="preserve">We design RDB's Sustainable Agriculture Loan Product: eligibility criteria, preferential interest rate structure (200-400 bps below standard), certification transition loan terms, credit officer training, and ongoing portfolio tracking against CBSL green finance reporting requirements.</w:t>
                  </w:r>
                </w:p>
                <w:p>
                  <w:pPr>
                    <w:spacing w:before="80" w:after="80"/>
                  </w:pPr>
                  <w:r>
                    <w:rPr>
                      <w:rFonts w:ascii="Arial" w:cs="Arial" w:eastAsia="Arial" w:hAnsi="Arial"/>
                      <w:b/>
                      <w:bCs/>
                      <w:color w:val="1A7A4A"/>
                      <w:sz w:val="18"/>
                      <w:szCs w:val="18"/>
                    </w:rPr>
                    <w:t xml:space="preserve">Fees: LKR 8-15M one-time  |  LKR 3-6M/year retainer</w:t>
                  </w:r>
                </w:p>
              </w:tc>
            </w:tr>
          </w:tbl>
          <w:p/>
        </w:tc>
      </w:tr>
    </w:tbl>
    <w:p>
      <w:pPr>
        <w:spacing w:before="120" w:after="12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3A5C" w:val="clear"/>
            <w:tcMar>
              <w:top w:type="dxa" w:w="140"/>
              <w:left w:type="dxa" w:w="200"/>
              <w:bottom w:type="dxa" w:w="140"/>
              <w:right w:type="dxa" w:w="200"/>
            </w:tcMar>
          </w:tcPr>
          <w:p>
            <w:pPr>
              <w:spacing w:before="80" w:after="80"/>
            </w:pPr>
            <w:r>
              <w:rPr>
                <w:rFonts w:ascii="Arial" w:cs="Arial" w:eastAsia="Arial" w:hAnsi="Arial"/>
                <w:b/>
                <w:bCs/>
                <w:color w:val="C8960C"/>
                <w:sz w:val="24"/>
                <w:szCs w:val="24"/>
              </w:rPr>
              <w:t xml:space="preserve">The Underwriting Argument: Why Certified Farmers Are Demonstrably Better Borrowers</w:t>
            </w:r>
          </w:p>
          <w:p>
            <w:pPr>
              <w:spacing w:before="80" w:after="80"/>
            </w:pPr>
            <w:r>
              <w:rPr>
                <w:rFonts w:ascii="Arial" w:cs="Arial" w:eastAsia="Arial" w:hAnsi="Arial"/>
                <w:b w:val="false"/>
                <w:bCs w:val="false"/>
                <w:color w:val="FFFFFF"/>
                <w:sz w:val="20"/>
                <w:szCs w:val="20"/>
              </w:rPr>
              <w:t xml:space="preserve">The preferential rate is not charity. It is better risk pricing. RDB can charge certified farmers less because certified farmers are less likely to default -- for four independent, measurable reasons.</w:t>
            </w:r>
          </w:p>
          <w:p>
            <w:pPr>
              <w:spacing w:before="60" w:after="60"/>
            </w:pPr>
            <w:r>
              <w:rPr>
                <w:rFonts w:ascii="Arial" w:cs="Arial" w:eastAsia="Arial" w:hAnsi="Arial"/>
                <w:b w:val="false"/>
                <w:bCs w:val="false"/>
                <w:color w:val="333333"/>
                <w:sz w:val="20"/>
                <w:szCs w:val="20"/>
              </w:rPr>
              <w:t xml:space="preserve"> </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380"/>
              <w:gridCol w:w="2380"/>
            </w:tblGrid>
            <w:tr>
              <w:tc>
                <w:tcPr>
                  <w:tcW w:type="dxa" w:w="2380"/>
                  <w:tcBorders>
                    <w:top w:val="single" w:color="CCCCCC" w:sz="1"/>
                    <w:left w:val="single" w:color="CCCCCC" w:sz="1"/>
                    <w:bottom w:val="single" w:color="CCCCCC" w:sz="1"/>
                    <w:right w:val="single" w:color="CCCCCC" w:sz="1"/>
                  </w:tcBorders>
                  <w:shd w:fill="0F5C2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Higher Income</w:t>
                  </w:r>
                </w:p>
              </w:tc>
              <w:tc>
                <w:tcPr>
                  <w:tcW w:type="dxa" w:w="238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Better Records</w:t>
                  </w:r>
                </w:p>
              </w:tc>
              <w:tc>
                <w:tcPr>
                  <w:tcW w:type="dxa" w:w="238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Contracted Buyers</w:t>
                  </w:r>
                </w:p>
              </w:tc>
              <w:tc>
                <w:tcPr>
                  <w:tcW w:type="dxa" w:w="2380"/>
                  <w:tcBorders>
                    <w:top w:val="single" w:color="CCCCCC" w:sz="1"/>
                    <w:left w:val="single" w:color="CCCCCC" w:sz="1"/>
                    <w:bottom w:val="single" w:color="CCCCCC" w:sz="1"/>
                    <w:right w:val="single" w:color="CCCCCC" w:sz="1"/>
                  </w:tcBorders>
                  <w:shd w:fill="3A4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Lower Climate Risk</w:t>
                  </w:r>
                </w:p>
              </w:tc>
            </w:tr>
            <w:tr>
              <w:tc>
                <w:tcPr>
                  <w:tcW w:type="dxa" w:w="23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15-60% price premium</w:t>
                  </w:r>
                </w:p>
                <w:p>
                  <w:pPr>
                    <w:spacing w:before="80" w:after="80"/>
                  </w:pPr>
                  <w:r>
                    <w:rPr>
                      <w:rFonts w:ascii="Arial" w:cs="Arial" w:eastAsia="Arial" w:hAnsi="Arial"/>
                      <w:b w:val="false"/>
                      <w:bCs w:val="false"/>
                      <w:color w:val="333333"/>
                      <w:sz w:val="18"/>
                      <w:szCs w:val="18"/>
                    </w:rPr>
                    <w:t xml:space="preserve">RA-certified Ceylon tea commands 15-35% over uncertified. Certified organic cinnamon earns 25-60% premium in EU and UK markets. GAP-certified vegetables fetch higher prices from Cargills, Keells, and export buyers. More income = higher repayment capacity.</w:t>
                  </w:r>
                </w:p>
              </w:tc>
              <w:tc>
                <w:tcPr>
                  <w:tcW w:type="dxa" w:w="238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8"/>
                      <w:szCs w:val="18"/>
                    </w:rPr>
                    <w:t xml:space="preserve">Audit trails = credit history</w:t>
                  </w:r>
                </w:p>
                <w:p>
                  <w:pPr>
                    <w:spacing w:before="80" w:after="80"/>
                  </w:pPr>
                  <w:r>
                    <w:rPr>
                      <w:rFonts w:ascii="Arial" w:cs="Arial" w:eastAsia="Arial" w:hAnsi="Arial"/>
                      <w:b w:val="false"/>
                      <w:bCs w:val="false"/>
                      <w:color w:val="333333"/>
                      <w:sz w:val="18"/>
                      <w:szCs w:val="18"/>
                    </w:rPr>
                    <w:t xml:space="preserve">Certification requires documented farm records: input costs, yields, harvest quantities, buyer payments. For a rural smallholder who has never had a bank account, an RA or GAP audit trail is the most rigorous credit history available. The certifier did the documentation work for us.</w:t>
                  </w:r>
                </w:p>
              </w:tc>
              <w:tc>
                <w:tcPr>
                  <w:tcW w:type="dxa" w:w="23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1A7A4A"/>
                      <w:sz w:val="18"/>
                      <w:szCs w:val="18"/>
                    </w:rPr>
                    <w:t xml:space="preserve">Buyer contracts in place</w:t>
                  </w:r>
                </w:p>
                <w:p>
                  <w:pPr>
                    <w:spacing w:before="80" w:after="80"/>
                  </w:pPr>
                  <w:r>
                    <w:rPr>
                      <w:rFonts w:ascii="Arial" w:cs="Arial" w:eastAsia="Arial" w:hAnsi="Arial"/>
                      <w:b w:val="false"/>
                      <w:bCs w:val="false"/>
                      <w:color w:val="333333"/>
                      <w:sz w:val="18"/>
                      <w:szCs w:val="18"/>
                    </w:rPr>
                    <w:t xml:space="preserve">Certified farmers typically have forward supply agreements with estate companies, exporters, or supermarket chains. Marks &amp; Spencer, Cargills, and Dilmah all source from certified suppliers. That purchase order is collateral RDB can underwrite against. It converts price risk into contract certainty.</w:t>
                  </w:r>
                </w:p>
              </w:tc>
              <w:tc>
                <w:tcPr>
                  <w:tcW w:type="dxa" w:w="238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3A4A5C"/>
                      <w:sz w:val="18"/>
                      <w:szCs w:val="18"/>
                    </w:rPr>
                    <w:t xml:space="preserve">Better climate resilience</w:t>
                  </w:r>
                </w:p>
                <w:p>
                  <w:pPr>
                    <w:spacing w:before="80" w:after="80"/>
                  </w:pPr>
                  <w:r>
                    <w:rPr>
                      <w:rFonts w:ascii="Arial" w:cs="Arial" w:eastAsia="Arial" w:hAnsi="Arial"/>
                      <w:b w:val="false"/>
                      <w:bCs w:val="false"/>
                      <w:color w:val="333333"/>
                      <w:sz w:val="18"/>
                      <w:szCs w:val="18"/>
                    </w:rPr>
                    <w:t xml:space="preserve">RA and organic certification requires agroforestry, water-efficient irrigation, soil health practices and intercropping. These are exactly the practices that reduce vulnerability to Cyclone Ditwah-type events. Certified farmer loans carry lower physical climate risk -- directly relevant to RDB's SLFRS S2 framework.</w:t>
                  </w:r>
                </w:p>
              </w:tc>
            </w:tr>
          </w:tbl>
          <w:p/>
        </w:tc>
      </w:tr>
    </w:tbl>
    <w:p>
      <w:pPr>
        <w:spacing w:before="120" w:after="120"/>
      </w:pPr>
      <w:r>
        <w:rPr>
          <w:rFonts w:ascii="Arial" w:cs="Arial" w:eastAsia="Arial" w:hAnsi="Arial"/>
          <w:b w:val="false"/>
          <w:bCs w:val="false"/>
          <w:color w:val="333333"/>
          <w:sz w:val="20"/>
          <w:szCs w:val="20"/>
        </w:rPr>
        <w:t xml:space="preserve"> </w:t>
      </w:r>
    </w:p>
    <w:p>
      <w:pPr>
        <w:pStyle w:val="Heading2"/>
        <w:spacing w:before="220" w:after="100"/>
      </w:pPr>
      <w:r>
        <w:rPr>
          <w:rFonts w:ascii="Arial" w:cs="Arial" w:eastAsia="Arial" w:hAnsi="Arial"/>
          <w:b/>
          <w:bCs/>
          <w:color w:val="0F5C2E"/>
          <w:sz w:val="28"/>
          <w:szCs w:val="28"/>
        </w:rPr>
        <w:t xml:space="preserve">The Pipeline: Who Gets Certified, Who Gets the Loan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80"/>
        <w:gridCol w:w="1800"/>
        <w:gridCol w:w="160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Farmer Segment</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Target Certification</w:t>
            </w:r>
          </w:p>
        </w:tc>
        <w:tc>
          <w:tcPr>
            <w:tcW w:type="dxa" w:w="2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Why Now</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RDB Borrowers</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Price Premium</w:t>
            </w:r>
          </w:p>
        </w:tc>
      </w:tr>
      <w:tr>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Tea Smallholders (500,000+)</w:t>
            </w:r>
          </w:p>
        </w:tc>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val="false"/>
                <w:bCs w:val="false"/>
                <w:color w:val="0D6E6E"/>
                <w:sz w:val="18"/>
                <w:szCs w:val="18"/>
              </w:rPr>
              <w:t xml:space="preserve">Rainforest Alliance, Fairtrade, organic (Control Union)</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EU buyers (M&amp;S, Tesco, Lidl) inserting mandatory RA clauses in 2025-2027 purchase contracts. Less than 40% of 700 estates currently certified. EUDR requires traceability by Dec 2025.</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Core RDB agricultural borrower base in Kandy, Nuwara Eliya, Badulla -- Ditwah-hit districts</w:t>
            </w:r>
          </w:p>
        </w:tc>
        <w:tc>
          <w:tcPr>
            <w:tcW w:type="dxa" w:w="16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15-35%</w:t>
            </w:r>
          </w:p>
        </w:tc>
      </w:tr>
      <w:tr>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Vegetable and Fruit Farmers</w:t>
            </w:r>
          </w:p>
        </w:tc>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val="false"/>
                <w:bCs w:val="false"/>
                <w:color w:val="0D6E6E"/>
                <w:sz w:val="18"/>
                <w:szCs w:val="18"/>
              </w:rPr>
              <w:t xml:space="preserve">SL-GAP (Department of Agriculture), GlobalG.A.P. for export-facing farms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Cargills, Keells, and EU buyers pay preferential prices for GAP-certified produce. FAO/DoA/Cargills GAP programme showed 10-20% yield increase and 20% cost reduction for certified farmers. Free government GAP certification available.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Hill-country smallholders in Badulla, Nuwara Eliya, Matale -- high Ditwah damage zone</w:t>
            </w:r>
          </w:p>
        </w:tc>
        <w:tc>
          <w:tcPr>
            <w:tcW w:type="dxa" w:w="16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8-20% (local)  |  30-50% (export)</w:t>
            </w:r>
          </w:p>
        </w:tc>
      </w:tr>
      <w:tr>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Cinnamon and Spice Smallholders</w:t>
            </w:r>
          </w:p>
        </w:tc>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val="false"/>
                <w:bCs w:val="false"/>
                <w:color w:val="0D6E6E"/>
                <w:sz w:val="18"/>
                <w:szCs w:val="18"/>
              </w:rPr>
              <w:t xml:space="preserve">RA, organic, Ceylon Cinnamon GI traceability, EUDR documentation</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Sri Lanka has 80% global cinnamon market share. EUDR requires deforestation-free supply chain documentation. EU buyers pay GI premium for certified Ceylon Cinnamon. Virtually none of 500K+ smallholders currently internationally certified.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Southern Province cinnamon belt -- lower Ditwah impact but highest unmet certification gap</w:t>
            </w:r>
          </w:p>
        </w:tc>
        <w:tc>
          <w:tcPr>
            <w:tcW w:type="dxa" w:w="16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25-60% (organic/GI certified)</w:t>
            </w:r>
          </w:p>
        </w:tc>
      </w:tr>
      <w:tr>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Paddy and Rice Farmers</w:t>
            </w:r>
          </w:p>
        </w:tc>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val="false"/>
                <w:bCs w:val="false"/>
                <w:color w:val="0D6E6E"/>
                <w:sz w:val="18"/>
                <w:szCs w:val="18"/>
              </w:rPr>
              <w:t xml:space="preserve">SL-GAP for food safety, organic for niche premium buyers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108,000 ha paddy destroyed by Ditwah during 2025 Maha season. Post-Ditwah recovery lending window. GAP certification builds climate-resilient practices. Premium rice market (organic Basmati equivalent) growing for export.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Eastern Province (Trincomalee, Batticaloa) -- most Ditwah-exposed. Also Anuradhapura, Polonnaruwa NCP belt.</w:t>
            </w:r>
          </w:p>
        </w:tc>
        <w:tc>
          <w:tcPr>
            <w:tcW w:type="dxa" w:w="16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15-25% (certified organic paddy)</w:t>
            </w:r>
          </w:p>
        </w:tc>
      </w:tr>
      <w:tr>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Rubber Smallholders</w:t>
            </w:r>
          </w:p>
        </w:tc>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val="false"/>
                <w:bCs w:val="false"/>
                <w:color w:val="0D6E6E"/>
                <w:sz w:val="18"/>
                <w:szCs w:val="18"/>
              </w:rPr>
              <w:t xml:space="preserve">FSC (Forest Stewardship Council), RA, EUDR traceability</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EUDR covers natural rubber. EU tyre and rubber product manufacturers require deforestation-free supply chain documentation. Sri Lanka rubber export threatened without traceability by end-2025.</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Kalutara, Kegalle, Ratnapura districts</w:t>
            </w:r>
          </w:p>
        </w:tc>
        <w:tc>
          <w:tcPr>
            <w:tcW w:type="dxa" w:w="16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10-20% (FSC/EUDR-compliant rubber)</w:t>
            </w:r>
          </w:p>
        </w:tc>
      </w:tr>
      <w:tr>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Aquaculture / Coastal Fisheries</w:t>
            </w:r>
          </w:p>
        </w:tc>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val="false"/>
                <w:bCs w:val="false"/>
                <w:color w:val="0D6E6E"/>
                <w:sz w:val="18"/>
                <w:szCs w:val="18"/>
              </w:rPr>
              <w:t xml:space="preserve">ASC (Aquaculture Stewardship Council), organic aquaculture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EU seafood buyers require ASC or equivalent certification. Northern and Eastern Province prawn and fish farms have largely uncertified supply chains. Post-Ditwah recovery lending opportunity for coastal communities.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Northern and Eastern Province -- post-Ditwah coastal communities</w:t>
            </w:r>
          </w:p>
        </w:tc>
        <w:tc>
          <w:tcPr>
            <w:tcW w:type="dxa" w:w="16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20-40% (ASC-certified seafood)</w:t>
            </w:r>
          </w:p>
        </w:tc>
      </w:tr>
    </w:tbl>
    <w:p>
      <w:pPr>
        <w:spacing w:before="120" w:after="120"/>
      </w:pPr>
      <w:r>
        <w:rPr>
          <w:rFonts w:ascii="Arial" w:cs="Arial" w:eastAsia="Arial" w:hAnsi="Arial"/>
          <w:b w:val="false"/>
          <w:bCs w:val="false"/>
          <w:color w:val="333333"/>
          <w:sz w:val="20"/>
          <w:szCs w:val="20"/>
        </w:rPr>
        <w:t xml:space="preserve"> </w:t>
      </w:r>
    </w:p>
    <w:p>
      <w:pPr>
        <w:pBdr>
          <w:bottom w:val="single" w:color="0F5C2E" w:sz="4" w:space="1"/>
        </w:pBdr>
        <w:spacing w:before="140" w:after="140"/>
      </w:pPr>
      <w:r>
        <w:rPr>
          <w:rFonts w:ascii="Arial" w:cs="Arial" w:eastAsia="Arial" w:hAnsi="Arial"/>
          <w:b w:val="false"/>
          <w:bCs w:val="false"/>
          <w:color w:val="333333"/>
          <w:sz w:val="20"/>
          <w:szCs w:val="20"/>
        </w:rPr>
        <w:t xml:space="preserve"/>
      </w:r>
    </w:p>
    <w:p>
      <w:pPr>
        <w:pStyle w:val="Heading1"/>
        <w:spacing w:before="280" w:after="120"/>
      </w:pPr>
      <w:r>
        <w:rPr>
          <w:rFonts w:ascii="Arial" w:cs="Arial" w:eastAsia="Arial" w:hAnsi="Arial"/>
          <w:b/>
          <w:bCs/>
          <w:color w:val="1B3A5C"/>
          <w:sz w:val="38"/>
          <w:szCs w:val="38"/>
        </w:rPr>
        <w:t xml:space="preserve">PART 1 -- FIVE CASE STUDIES</w:t>
      </w:r>
    </w:p>
    <w:p>
      <w:pPr>
        <w:spacing w:before="80" w:after="80"/>
      </w:pPr>
      <w:r>
        <w:rPr>
          <w:rFonts w:ascii="Arial" w:cs="Arial" w:eastAsia="Arial" w:hAnsi="Arial"/>
          <w:b w:val="false"/>
          <w:bCs w:val="false"/>
          <w:color w:val="333333"/>
          <w:sz w:val="20"/>
          <w:szCs w:val="20"/>
        </w:rPr>
        <w:t xml:space="preserve">The model we are proposing -- certification brokerage plus preferential rate banking product -- has been executed at scale globally. These five cases prove the model and give us the language to pitch it to the RDB Chairman.</w:t>
      </w:r>
    </w:p>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F5C2E"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1</w:t>
            </w:r>
          </w:p>
          <w:p>
            <w:pPr>
              <w:spacing w:before="80" w:after="80"/>
            </w:pPr>
            <w:r>
              <w:rPr>
                <w:rFonts w:ascii="Arial" w:cs="Arial" w:eastAsia="Arial" w:hAnsi="Arial"/>
                <w:b/>
                <w:bCs/>
                <w:color w:val="FFFFFF"/>
                <w:sz w:val="28"/>
                <w:szCs w:val="28"/>
              </w:rPr>
              <w:t xml:space="preserve">Rabobank -- Planet Impact Loan and Organic Transition Loan</w:t>
            </w:r>
          </w:p>
          <w:p>
            <w:pPr>
              <w:spacing w:before="0" w:after="0"/>
            </w:pPr>
            <w:r>
              <w:rPr>
                <w:rFonts w:ascii="Arial" w:cs="Arial" w:eastAsia="Arial" w:hAnsi="Arial"/>
                <w:b w:val="false"/>
                <w:bCs w:val="false"/>
                <w:color w:val="BBBBBB"/>
                <w:sz w:val="18"/>
                <w:szCs w:val="18"/>
              </w:rPr>
              <w:t xml:space="preserve">Netherlands and United States  ·  The world's largest agricultural bank  |  Interest rate linked to sustainability score  |  Organic transition financing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Rabobank -- a Dutch cooperative bank with EUR 660B+ in assets and the world's most specialised agricultural lending portfolio. Founded as a rural cooperative in the 1890s. Direct structural parallel to RDB: a cooperative agricultural bank originally serving smallholder farmers, now operating at global scale.</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Planet Impact Loan (Netherlands)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Rabobank launched the Planet Impact Loan for Dutch dairy farmers, in which the interest rate on the farm loan is directly linked to the farmer's score on the Biodiversity Monitor -- a tool developed with WWF and FrieslandCampina that quantifies each farm's performance on soil health, water quality, grassland biodiversity and carbon sequestration. Farmers who score higher on the Biodiversity Monitor receive a lower interest rate on their Rabobank loan. They also receive a milk price premium from FrieslandCampina. Rabobank calls this a 'double incentive' -- better practices are rewarded both by the lender and the buyer simultaneously.</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Organic Transition Loan (United States)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Rabo AgriFinance -- Rabobank's US agricultural lending subsidiary -- launched the first Organic Transition Loan in 2019, specifically designed to finance the three-year period during which US farmers must practise organic methods before receiving USDA organic certification. During the transition period, farmers experience yield loss and cannot command organic prices -- the financial gap that has historically prevented adoption. The Organic Transition Loan defers repayment milestones to align with when organic premium income begins. On certification, the borrower rolls into a standard loan with the preferential interest rate available to certified organic producers.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Underwriting Logic</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Rabobank's internal research showed that farms with higher sustainability scores had measurably lower NPL rates than conventional farms under the same commodity price conditions. The biodiversity and sustainability practices that qualify a farm for a better interest rate are the same practices that make it more resilient to drought, pest outbreaks, and price volatility. Rabobank did not need to subsidise the rate differential -- the lower default risk covered the spread.</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Scale and Replicability</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Rabobank's sustainable agriculture lending model is now active in 38 countries. It has been adapted for coffee cooperatives in Latin America, rice farmers in Indonesia, and cocoa smallholders in West Africa. The core mechanism -- sustainability score or certification triggers preferential rate -- is the same in every market.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40"/>
              <w:left w:type="dxa" w:w="200"/>
              <w:bottom w:type="dxa" w:w="140"/>
              <w:right w:type="dxa" w:w="200"/>
            </w:tcMar>
          </w:tcPr>
          <w:p>
            <w:pPr>
              <w:spacing w:before="80" w:after="80"/>
            </w:pPr>
            <w:r>
              <w:rPr>
                <w:rFonts w:ascii="Arial" w:cs="Arial" w:eastAsia="Arial" w:hAnsi="Arial"/>
                <w:b/>
                <w:bCs/>
                <w:color w:val="0F5C2E"/>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The Rabobank model is exactly what we propose for RDB. Sustainability score or certification status triggers a preferential rate. The rate discount pays for itself through lower NPLs. No subsidy required -- it is a risk-adjusted pricing decision.</w:t>
            </w:r>
          </w:p>
          <w:p>
            <w:pPr>
              <w:spacing w:before="40" w:after="40"/>
            </w:pPr>
            <w:r>
              <w:rPr>
                <w:rFonts w:ascii="Arial" w:cs="Arial" w:eastAsia="Arial" w:hAnsi="Arial"/>
                <w:b w:val="false"/>
                <w:bCs w:val="false"/>
                <w:color w:val="333333"/>
                <w:sz w:val="20"/>
                <w:szCs w:val="20"/>
              </w:rPr>
              <w:t xml:space="preserve">→  The Organic Transition Loan structure is applicable to Sri Lanka's RA certification gap: the 6-12 month period between beginning the certification process and receiving the certificate is the financial barrier. RDB funds the certification transition period; the certified premium income repays the loan. We design this product for RDB.</w:t>
            </w:r>
          </w:p>
          <w:p>
            <w:pPr>
              <w:spacing w:before="40" w:after="40"/>
            </w:pPr>
            <w:r>
              <w:rPr>
                <w:rFonts w:ascii="Arial" w:cs="Arial" w:eastAsia="Arial" w:hAnsi="Arial"/>
                <w:b w:val="false"/>
                <w:bCs w:val="false"/>
                <w:color w:val="333333"/>
                <w:sz w:val="20"/>
                <w:szCs w:val="20"/>
              </w:rPr>
              <w:t xml:space="preserve">→  Rabobank's research showing higher sustainability scores correlate with lower NPLs is the argument we use with RDB's credit risk committee. We build the same analysis using Sri Lanka Tea Board data on RA-certified vs. uncertified estate default rates.</w:t>
            </w:r>
          </w:p>
        </w:tc>
      </w:tr>
    </w:tbl>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7A4A"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2</w:t>
            </w:r>
          </w:p>
          <w:p>
            <w:pPr>
              <w:spacing w:before="80" w:after="80"/>
            </w:pPr>
            <w:r>
              <w:rPr>
                <w:rFonts w:ascii="Arial" w:cs="Arial" w:eastAsia="Arial" w:hAnsi="Arial"/>
                <w:b/>
                <w:bCs/>
                <w:color w:val="FFFFFF"/>
                <w:sz w:val="28"/>
                <w:szCs w:val="28"/>
              </w:rPr>
              <w:t xml:space="preserve">Root Capital and the Rainforest Alliance -- Certification as Creditworthiness</w:t>
            </w:r>
          </w:p>
          <w:p>
            <w:pPr>
              <w:spacing w:before="0" w:after="0"/>
            </w:pPr>
            <w:r>
              <w:rPr>
                <w:rFonts w:ascii="Arial" w:cs="Arial" w:eastAsia="Arial" w:hAnsi="Arial"/>
                <w:b w:val="false"/>
                <w:bCs w:val="false"/>
                <w:color w:val="BBBBBB"/>
                <w:sz w:val="18"/>
                <w:szCs w:val="18"/>
              </w:rPr>
              <w:t xml:space="preserve">Latin America and Southeast Asia  ·  Agricultural social lender  |  97% repayment rate  |  Certified farms are better borrowers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Root Capital is a US nonprofit agricultural lender that has disbursed USD 2B+ to 843 agricultural businesses across Latin America, sub-Saharan Africa, and Southeast Asia over 25 years. Its defining methodology: certified farms are more creditworthy than uncertified farms, and the certification audit trail substitutes for credit history that rural smallholders cannot otherwise provide.</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Core Finding</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Root Capital maintains a 97% loan repayment rate across some of the most challenging agricultural lending environments in the world. Its credit analysis explicitly uses certification status as a proxy for creditworthiness. RA, Fairtrade, and organic certified businesses in Root Capital's portfolio consistently outperform uncertified enterprises on repayment. Root Capital's portfolio analysis found that loan-holders bought 33% more products from smallholder farmers at approximately 12% higher prices than would have been the case without Root Capital's financing.</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Rainforest Alliance Partnership</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Rainforest Alliance launched a Sustainable Finance Initiative to make the case to banks that their certified farms are lower-risk borrowers. RA trained Root Capital's loan officers at certified farms in Costa Rica and Peru -- not to educate them about sustainability, but to show them how RA audits produce the documentation, farm records, and supply chain contracts that constitute a credit history. The RA's pitch to banks: 'Our certified farms are more creditworthy than you think, because we have already done the diligence you require for underwriting.'</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Certification Transition Gap</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Root Capital identified the same financial barrier Rabobank found: the gap between starting certification and receiving the first certified-price premium payment. Many cooperatives need working capital during this gap -- to pay for the audit, to maintain practices before the premium kicks in, to bridge cash flow. Root Capital designs credit products specifically to cover this transition window. On certification, borrowers refinance into lower-rate products available only to certified suppliers.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2024 Climate Dimension</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Root Capital's 2024 Annual Report explicitly links certification to climate resilience: farms using agroforestry, intercropping, and organic practices -- all required for RA and organic certification -- showed significantly better recovery rates after climate events (droughts, floods, pest outbreaks) than conventional monoculture farms. Root Capital disbursed USD 73.6M in climate finance in 2024, largely to certified agricultural enterprises, because certified farms are both more impactful and more creditworthy from a climate risk perspective.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40"/>
              <w:left w:type="dxa" w:w="200"/>
              <w:bottom w:type="dxa" w:w="140"/>
              <w:right w:type="dxa" w:w="200"/>
            </w:tcMar>
          </w:tcPr>
          <w:p>
            <w:pPr>
              <w:spacing w:before="80" w:after="80"/>
            </w:pPr>
            <w:r>
              <w:rPr>
                <w:rFonts w:ascii="Arial" w:cs="Arial" w:eastAsia="Arial" w:hAnsi="Arial"/>
                <w:b/>
                <w:bCs/>
                <w:color w:val="0F5C2E"/>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Root Capital's 97% repayment rate on certified farm loans is the data point we bring to RDB's credit committee. It is empirical proof that the preferential rate is justified by lower default risk, not by development mandate charity.</w:t>
            </w:r>
          </w:p>
          <w:p>
            <w:pPr>
              <w:spacing w:before="40" w:after="40"/>
            </w:pPr>
            <w:r>
              <w:rPr>
                <w:rFonts w:ascii="Arial" w:cs="Arial" w:eastAsia="Arial" w:hAnsi="Arial"/>
                <w:b w:val="false"/>
                <w:bCs w:val="false"/>
                <w:color w:val="333333"/>
                <w:sz w:val="20"/>
                <w:szCs w:val="20"/>
              </w:rPr>
              <w:t xml:space="preserve">→  The RA Sustainable Finance Initiative methodology -- training bank loan officers at certified farms to recognise certifications as credit documentation -- is exactly what we implement for RDB's agricultural loan officers. We run a one-day workshop at a Rainforest Alliance-certified tea estate, co-facilitated by RA Sri Lanka, for RDB credit officers.</w:t>
            </w:r>
          </w:p>
          <w:p>
            <w:pPr>
              <w:spacing w:before="40" w:after="40"/>
            </w:pPr>
            <w:r>
              <w:rPr>
                <w:rFonts w:ascii="Arial" w:cs="Arial" w:eastAsia="Arial" w:hAnsi="Arial"/>
                <w:b w:val="false"/>
                <w:bCs w:val="false"/>
                <w:color w:val="333333"/>
                <w:sz w:val="20"/>
                <w:szCs w:val="20"/>
              </w:rPr>
              <w:t xml:space="preserve">→  Root Capital's climate finance model post-2024 links certification to post-disaster recovery lending. Post-Ditwah, RDB can structure certified-farmer recovery loans as the highest-priority green lending -- they repay faster, recover faster, and carry lower portfolio risk.</w:t>
            </w:r>
          </w:p>
        </w:tc>
      </w:tr>
    </w:tbl>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3A5C"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3</w:t>
            </w:r>
          </w:p>
          <w:p>
            <w:pPr>
              <w:spacing w:before="80" w:after="80"/>
            </w:pPr>
            <w:r>
              <w:rPr>
                <w:rFonts w:ascii="Arial" w:cs="Arial" w:eastAsia="Arial" w:hAnsi="Arial"/>
                <w:b/>
                <w:bCs/>
                <w:color w:val="FFFFFF"/>
                <w:sz w:val="28"/>
                <w:szCs w:val="28"/>
              </w:rPr>
              <w:t xml:space="preserve">FAO, Department of Agriculture and Cargills Ceylon -- SL-GAP Certification Creates Preferential Buyers</w:t>
            </w:r>
          </w:p>
          <w:p>
            <w:pPr>
              <w:spacing w:before="0" w:after="0"/>
            </w:pPr>
            <w:r>
              <w:rPr>
                <w:rFonts w:ascii="Arial" w:cs="Arial" w:eastAsia="Arial" w:hAnsi="Arial"/>
                <w:b w:val="false"/>
                <w:bCs w:val="false"/>
                <w:color w:val="BBBBBB"/>
                <w:sz w:val="18"/>
                <w:szCs w:val="18"/>
              </w:rPr>
              <w:t xml:space="preserve">Sri Lanka  ·  Already proven in-country  |  10-20% yield increase  |  GAP-certified farmers get preferential market access  |  RDB's role is missing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Happened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Department of Agriculture (DoA), Cargills Ceylon, and FAO ran a joint programme introducing SL-GAP (Good Agricultural Practices) certification to vegetable smallholders in Sri Lanka's central highlands. The programme provided: drip irrigation, mulching, insect-proof nets, and extension support to 256 farmers, 89 of whom achieved full GAP certification from the DoA.</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Outcomes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results were transformative: certified farmers increased their yields by 10-20 percent and reduced production costs by 20 percent. Water-efficient production methods enabled cultivation during the dry season, when prices are significantly higher. Cargills channelled its vegetable sourcing to GAP-certified farms at preferential prices. The programme became self-reinforcing: as farmers saw economic benefits, demand for GAP certification increased organically among their neighbours.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Was Missing -- the Finance Layer</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FAO-DoA-Cargills programme achieved certification and market access but had no structured finance product attached. Certified farmers had to self-finance the drip irrigation and modernisation package from savings, or use informal lenders at high rates, or rely on NGO grants. There was no bank that said: 'Because you are GAP-certified, you qualify for a preferential rate modernisation loan, repayable from the premium income your certification enables.' RDB could have been that bank. It wasn't, because no one designed the product.</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SL-GAP Infrastructure That Already Exists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SL-GAP certification is free from the Sri Lankan government via the Department of Agriculture. It covers fruit and vegetables (SLS 1523 Part 1, 2016) and rice (SLS 1523 Part 2, 2019). SGS Sri Lanka, Bureau Veritas, and SLSI can all audit to SL-GAP standards. For export-facing farmers, GlobalG.A.P. is the international equivalent and SGS Sri Lanka has an active certification practice. The certification infrastructure exists. The finance product does not.</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Scale of the Opportunity</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Less than 1% of Sri Lanka's 1.8 million agricultural smallholders currently hold any form of international or national sustainability certification. The DoA estimates 250,000 vegetable farmers alone are certifiable under SL-GAP. Add tea, cinnamon, rubber, paddy, and fisheries -- the total certifiable population runs to 500,000+ smallholders. This is the entire RDB agricultural borrower base.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40"/>
              <w:left w:type="dxa" w:w="200"/>
              <w:bottom w:type="dxa" w:w="140"/>
              <w:right w:type="dxa" w:w="200"/>
            </w:tcMar>
          </w:tcPr>
          <w:p>
            <w:pPr>
              <w:spacing w:before="80" w:after="80"/>
            </w:pPr>
            <w:r>
              <w:rPr>
                <w:rFonts w:ascii="Arial" w:cs="Arial" w:eastAsia="Arial" w:hAnsi="Arial"/>
                <w:b/>
                <w:bCs/>
                <w:color w:val="0F5C2E"/>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This case study is the most important of the five. It proves the model already works in Sri Lanka -- yields up, costs down, preferential market access confirmed. The only thing missing is the finance layer. RDB provides the finance layer. We design it and broker the certified farmer pipeline.</w:t>
            </w:r>
          </w:p>
          <w:p>
            <w:pPr>
              <w:spacing w:before="40" w:after="40"/>
            </w:pPr>
            <w:r>
              <w:rPr>
                <w:rFonts w:ascii="Arial" w:cs="Arial" w:eastAsia="Arial" w:hAnsi="Arial"/>
                <w:b w:val="false"/>
                <w:bCs w:val="false"/>
                <w:color w:val="333333"/>
                <w:sz w:val="20"/>
                <w:szCs w:val="20"/>
              </w:rPr>
              <w:t xml:space="preserve">→  The free SL-GAP certification from the DoA means RDB's preferential rate loan for certified farmers has zero certification cost barrier for the farmer. We broker the process; the government pays for the audit. The loan finances the modernisation package. RDB earns the preferential-rate loan income. We earn the brokerage fee.</w:t>
            </w:r>
          </w:p>
          <w:p>
            <w:pPr>
              <w:spacing w:before="40" w:after="40"/>
            </w:pPr>
            <w:r>
              <w:rPr>
                <w:rFonts w:ascii="Arial" w:cs="Arial" w:eastAsia="Arial" w:hAnsi="Arial"/>
                <w:b w:val="false"/>
                <w:bCs w:val="false"/>
                <w:color w:val="333333"/>
                <w:sz w:val="20"/>
                <w:szCs w:val="20"/>
              </w:rPr>
              <w:t xml:space="preserve">→  The DoA, SLSI, and SGS Sri Lanka are our delivery partners for SL-GAP and GlobalG.A.P. work. We MOU with the DoA regional offices -- they have certified farmer lists by district. Those lists are RDB's pre-qualified loan pipeline.</w:t>
            </w:r>
          </w:p>
        </w:tc>
      </w:tr>
    </w:tbl>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D6E6E"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4</w:t>
            </w:r>
          </w:p>
          <w:p>
            <w:pPr>
              <w:spacing w:before="80" w:after="80"/>
            </w:pPr>
            <w:r>
              <w:rPr>
                <w:rFonts w:ascii="Arial" w:cs="Arial" w:eastAsia="Arial" w:hAnsi="Arial"/>
                <w:b/>
                <w:bCs/>
                <w:color w:val="FFFFFF"/>
                <w:sz w:val="28"/>
                <w:szCs w:val="28"/>
              </w:rPr>
              <w:t xml:space="preserve">NABARD and India's Green Agriculture Credit -- Development Bank Meets Certification Finance</w:t>
            </w:r>
          </w:p>
          <w:p>
            <w:pPr>
              <w:spacing w:before="0" w:after="0"/>
            </w:pPr>
            <w:r>
              <w:rPr>
                <w:rFonts w:ascii="Arial" w:cs="Arial" w:eastAsia="Arial" w:hAnsi="Arial"/>
                <w:b w:val="false"/>
                <w:bCs w:val="false"/>
                <w:color w:val="BBBBBB"/>
                <w:sz w:val="18"/>
                <w:szCs w:val="18"/>
              </w:rPr>
              <w:t xml:space="preserve">India  ·  National Bank for Agriculture  |  Kisan Credit Card Green variant  |  Interest subvention for certified farmers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NABARD -- India's apex agricultural development bank, already established as the closest institutional parallel to RDB in Case Study 2 of the Climate Risk module. NABARD's agricultural credit portfolio exceeds USD 30B. It refinances loans to more than 100 million smallholder farmers through rural cooperative banks and regional rural banks.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Green Agriculture Credit Initiative</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NABARD, in partnership with the Indian Ministry of Agriculture, introduced an interest subvention scheme for farmers adopting certified sustainable practices. Under the scheme: farmers who obtain recognised certifications (India's Participatory Guarantee System for organic certification, GlobalG.A.P., or geographic indication status) are eligible for a 2-4% interest rate subvention on their Kisan Credit Card loans. The subvention is funded by the Ministry of Agriculture, but NABARD administers the eligibility screening and disburses the benefit through the cooperative banking system.</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Institutional Design</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scheme works through three layers: (1) Certification bodies (the Indian Department of Agriculture and APEDA -- Agricultural and Processed Food Products Export Development Authority) maintain a national registry of certified organic and GAP-certified farmers; (2) NABARD uses this registry to automatically flag eligible borrowers in its refinancing system; (3) Cooperative banks pass through the preferential rate to certified farmer borrowers, with NABARD reimbursing the rate differential. RDB does not need a government subvention -- the NPL savings justify the rate differential without it, as Rabobank proved.</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Impact on Certified Farmer Numbers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interest subvention created a direct financial incentive for certification. India's certified organic farmland grew from 3.6 million hectares in 2015 to 10.2 million hectares by 2024 -- partly driven by the finance incentive. When access to preferential credit is linked to certification, certification rates rise dramatically. The finance pull is as powerful as the price premium push.</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CBSL Connection</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CBSL's Sustainable Finance Roadmap 2.0 explicitly mentions green loans for sustainable agriculture as a priority financial product. It names both preferential rate structures and capacity building for bank staff on green finance. RDB launching a certified farmer preferential rate product would be the first direct implementation of CBSL's Roadmap 2.0 mandate in the agricultural development banking sector. That is a story CBSL's Governor would actively promote.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40"/>
              <w:left w:type="dxa" w:w="200"/>
              <w:bottom w:type="dxa" w:w="140"/>
              <w:right w:type="dxa" w:w="200"/>
            </w:tcMar>
          </w:tcPr>
          <w:p>
            <w:pPr>
              <w:spacing w:before="80" w:after="80"/>
            </w:pPr>
            <w:r>
              <w:rPr>
                <w:rFonts w:ascii="Arial" w:cs="Arial" w:eastAsia="Arial" w:hAnsi="Arial"/>
                <w:b/>
                <w:bCs/>
                <w:color w:val="0F5C2E"/>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NABARD's scheme proves that when preferential credit is linked to certification, certification rates accelerate. RDB's product creates its own borrower supply -- the more farmers certify to access RDB's preferential rate, the more our brokerage income grows.</w:t>
            </w:r>
          </w:p>
          <w:p>
            <w:pPr>
              <w:spacing w:before="40" w:after="40"/>
            </w:pPr>
            <w:r>
              <w:rPr>
                <w:rFonts w:ascii="Arial" w:cs="Arial" w:eastAsia="Arial" w:hAnsi="Arial"/>
                <w:b w:val="false"/>
                <w:bCs w:val="false"/>
                <w:color w:val="333333"/>
                <w:sz w:val="20"/>
                <w:szCs w:val="20"/>
              </w:rPr>
              <w:t xml:space="preserve">→  The three-layer institutional design (certification registry + bank eligibility flag + preferential rate passthrough) is directly replicable for RDB using Sri Lanka DoA, Tea Board, and DAPH certified farmer records as the registry.</w:t>
            </w:r>
          </w:p>
          <w:p>
            <w:pPr>
              <w:spacing w:before="40" w:after="40"/>
            </w:pPr>
            <w:r>
              <w:rPr>
                <w:rFonts w:ascii="Arial" w:cs="Arial" w:eastAsia="Arial" w:hAnsi="Arial"/>
                <w:b w:val="false"/>
                <w:bCs w:val="false"/>
                <w:color w:val="333333"/>
                <w:sz w:val="20"/>
                <w:szCs w:val="20"/>
              </w:rPr>
              <w:t xml:space="preserve">→  CBSL's Sustainable Finance Roadmap 2.0 explicitly names sustainable agriculture green loans as a priority. RDB implementing this product is direct Roadmap 2.0 compliance -- giving the Chairman a CBSL-endorsed announcement to make.</w:t>
            </w:r>
          </w:p>
        </w:tc>
      </w:tr>
    </w:tbl>
    <w:p>
      <w:pPr>
        <w:spacing w:before="60" w:after="60"/>
      </w:pPr>
      <w:r>
        <w:rPr>
          <w:rFonts w:ascii="Arial" w:cs="Arial" w:eastAsia="Arial" w:hAnsi="Arial"/>
          <w:b w:val="false"/>
          <w:bCs w:val="false"/>
          <w:color w:val="333333"/>
          <w:sz w:val="20"/>
          <w:szCs w:val="20"/>
        </w:rPr>
        <w:t xml:space="preserve"> </w:t>
      </w:r>
    </w:p>
    <w:p>
      <w:pPr>
        <w:pStyle w:val="Heading2"/>
        <w:spacing w:before="220" w:after="100"/>
      </w:pPr>
      <w:r>
        <w:rPr>
          <w:rFonts w:ascii="Arial" w:cs="Arial" w:eastAsia="Arial" w:hAnsi="Arial"/>
          <w:b/>
          <w:bCs/>
          <w:color w:val="0F5C2E"/>
          <w:sz w:val="28"/>
          <w:szCs w:val="28"/>
        </w:rPr>
        <w:t xml:space="preserve">CASE STUDY 5 -- RDB'S CURRENT BORROWER BASE: THE OPPORTUNITY MAP</w:t>
      </w:r>
    </w:p>
    <w:p>
      <w:pPr>
        <w:spacing w:before="80" w:after="80"/>
      </w:pPr>
      <w:r>
        <w:rPr>
          <w:rFonts w:ascii="Arial" w:cs="Arial" w:eastAsia="Arial" w:hAnsi="Arial"/>
          <w:b w:val="false"/>
          <w:bCs w:val="false"/>
          <w:color w:val="333333"/>
          <w:sz w:val="20"/>
          <w:szCs w:val="20"/>
        </w:rPr>
        <w:t xml:space="preserve">The four cases above describe what has worked elsewhere. This case study maps the actual opportunity inside RDB's existing loan portfolio. The question is not whether certified-farmer preferential lending works -- it does. The question is how many of RDB's current borrowers are certifiable right now, and how many new certified borrowers we can bring to RDB from the uncertified pipeline.</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F5C2E" w:val="clear"/>
            <w:tcMar>
              <w:top w:type="dxa" w:w="140"/>
              <w:left w:type="dxa" w:w="200"/>
              <w:bottom w:type="dxa" w:w="140"/>
              <w:right w:type="dxa" w:w="200"/>
            </w:tcMar>
          </w:tcPr>
          <w:p>
            <w:pPr>
              <w:spacing w:before="80" w:after="80"/>
            </w:pPr>
            <w:r>
              <w:rPr>
                <w:rFonts w:ascii="Arial" w:cs="Arial" w:eastAsia="Arial" w:hAnsi="Arial"/>
                <w:b/>
                <w:bCs/>
                <w:color w:val="C8960C"/>
                <w:sz w:val="24"/>
                <w:szCs w:val="24"/>
              </w:rPr>
              <w:t xml:space="preserve">RDB's Agricultural Loan Portfolio -- Certifiable Population Estimate</w:t>
            </w:r>
          </w:p>
          <w:p>
            <w:pPr>
              <w:spacing w:before="0" w:after="0"/>
            </w:pPr>
            <w:r>
              <w:rPr>
                <w:rFonts w:ascii="Arial" w:cs="Arial" w:eastAsia="Arial" w:hAnsi="Arial"/>
                <w:b/>
                <w:bCs/>
                <w:color w:val="BBBBBB"/>
                <w:sz w:val="18"/>
                <w:szCs w:val="18"/>
              </w:rPr>
              <w:t xml:space="preserve">Based on publicly available sector data and RDB mandate scope</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080"/>
        <w:gridCol w:w="200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RDB Loan Segment</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Estimated RDB Borrowers</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Currently Certified</w:t>
            </w:r>
          </w:p>
        </w:tc>
        <w:tc>
          <w:tcPr>
            <w:tcW w:type="dxa" w:w="20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Certifiable (12-18 months)</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Our Brokerage Target</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Tea Smallholders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~120,000 smallholder households in estate districts</w:t>
            </w:r>
          </w:p>
        </w:tc>
        <w:tc>
          <w:tcPr>
            <w:tcW w:type="dxa" w:w="180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~15% (RA or Fairtrade)</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~40% of uncertified -- those with EU buyer relationships already</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5,000 estates/smallholder groups in Year 1</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Vegetable Farmers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~90,000 hill-country vegetable smallholders</w:t>
            </w:r>
          </w:p>
        </w:tc>
        <w:tc>
          <w:tcPr>
            <w:tcW w:type="dxa" w:w="180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&lt;2% (SL-GAP)</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~30% (SL-GAP is free; DoA has extension officers in place)</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3,000 farmers in GAP group schemes in Year 1</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Cinnamon Smallholders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~80,000 Southern Province cinnamon families</w:t>
            </w:r>
          </w:p>
        </w:tc>
        <w:tc>
          <w:tcPr>
            <w:tcW w:type="dxa" w:w="180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&lt;1% (international)</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~20% (EU buyer interest is high; EUDR makes it urgent)</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1,000 cinnamon cooperative members in Year 1</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Paddy Farmers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~200,000 paddy/rice smallholders</w:t>
            </w:r>
          </w:p>
        </w:tc>
        <w:tc>
          <w:tcPr>
            <w:tcW w:type="dxa" w:w="180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&lt;0.5%</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~10% (SL-GAP Rice standard; organic niche for premium market)</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2,000 post-Ditwah recovery certified farmers</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Rubber Smallholders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~50,000 rubber smallholders</w:t>
            </w:r>
          </w:p>
        </w:tc>
        <w:tc>
          <w:tcPr>
            <w:tcW w:type="dxa" w:w="180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&lt;1% (FSC)</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~15% (EUDR driving urgency for EU-facing suppliers)</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500 rubber cooperative members</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Coastal Fisheries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~30,000 coastal fishery households</w:t>
            </w:r>
          </w:p>
        </w:tc>
        <w:tc>
          <w:tcPr>
            <w:tcW w:type="dxa" w:w="180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~0%</w:t>
            </w:r>
          </w:p>
        </w:tc>
        <w:tc>
          <w:tcPr>
            <w:tcW w:type="dxa" w:w="208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~8% (ASC aquaculture where Eastern Province prawn farms qualify)</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300 aquaculture enterprises</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40"/>
              <w:left w:type="dxa" w:w="200"/>
              <w:bottom w:type="dxa" w:w="140"/>
              <w:right w:type="dxa" w:w="200"/>
            </w:tcMar>
          </w:tcPr>
          <w:p>
            <w:pPr>
              <w:spacing w:before="80" w:after="80"/>
            </w:pPr>
            <w:r>
              <w:rPr>
                <w:rFonts w:ascii="Arial" w:cs="Arial" w:eastAsia="Arial" w:hAnsi="Arial"/>
                <w:b/>
                <w:bCs/>
                <w:color w:val="0F5C2E"/>
                <w:sz w:val="20"/>
                <w:szCs w:val="20"/>
              </w:rPr>
              <w:t xml:space="preserve">The Post-Ditwah Recovery Dimension</w:t>
            </w:r>
          </w:p>
          <w:p>
            <w:pPr>
              <w:spacing w:before="80" w:after="80"/>
            </w:pPr>
            <w:r>
              <w:rPr>
                <w:rFonts w:ascii="Arial" w:cs="Arial" w:eastAsia="Arial" w:hAnsi="Arial"/>
                <w:b w:val="false"/>
                <w:bCs w:val="false"/>
                <w:color w:val="333333"/>
                <w:sz w:val="20"/>
                <w:szCs w:val="20"/>
              </w:rPr>
              <w:t xml:space="preserve">108,000 ha of paddy and 6,000+ ha of vegetables were destroyed in November 2025. RDB's post-Ditwah recovery lending to affected farmers in Eastern Province, Kandy, Nuwara Eliya, and Badulla is already in motion. Structuring that recovery lending as Certified Farmer Transition Loans -- where farmers receive financing to rebuild with certified practices rather than conventional ones -- creates a double benefit: faster recovery through premium income, and lower re-default risk when the next climate event occurs. Cyclone Ditwah's return period was 1-in-30 years. The next event will come. Certified agroforestry practices are more climate-resilient than conventional monoculture. RDB's recovery lending can be the catalyst for the certification upgrade.</w:t>
            </w:r>
          </w:p>
          <w:p>
            <w:pPr>
              <w:spacing w:before="0" w:after="0"/>
            </w:pPr>
            <w:r>
              <w:rPr>
                <w:rFonts w:ascii="Arial" w:cs="Arial" w:eastAsia="Arial" w:hAnsi="Arial"/>
                <w:b/>
                <w:bCs/>
                <w:color w:val="0F5C2E"/>
                <w:sz w:val="20"/>
                <w:szCs w:val="20"/>
              </w:rPr>
              <w:t xml:space="preserve">Recovery Lending Meets Certification: farmers who receive RDB recovery loans and use them to transition to certified practices earn price premiums that accelerate repayment. RDB's NPL recovery rate on Ditwah-affected loans is better if the borrower is certified. We design the certification transition into the recovery loan terms.</w:t>
            </w:r>
          </w:p>
        </w:tc>
      </w:tr>
    </w:tbl>
    <w:p>
      <w:pPr>
        <w:spacing w:before="120" w:after="120"/>
      </w:pPr>
      <w:r>
        <w:rPr>
          <w:rFonts w:ascii="Arial" w:cs="Arial" w:eastAsia="Arial" w:hAnsi="Arial"/>
          <w:b w:val="false"/>
          <w:bCs w:val="false"/>
          <w:color w:val="333333"/>
          <w:sz w:val="20"/>
          <w:szCs w:val="20"/>
        </w:rPr>
        <w:t xml:space="preserve"> </w:t>
      </w:r>
    </w:p>
    <w:p>
      <w:pPr>
        <w:pBdr>
          <w:bottom w:val="single" w:color="0F5C2E" w:sz="4" w:space="1"/>
        </w:pBdr>
        <w:spacing w:before="140" w:after="140"/>
      </w:pPr>
      <w:r>
        <w:rPr>
          <w:rFonts w:ascii="Arial" w:cs="Arial" w:eastAsia="Arial" w:hAnsi="Arial"/>
          <w:b w:val="false"/>
          <w:bCs w:val="false"/>
          <w:color w:val="333333"/>
          <w:sz w:val="20"/>
          <w:szCs w:val="20"/>
        </w:rPr>
        <w:t xml:space="preserve"/>
      </w:r>
    </w:p>
    <w:p>
      <w:r>
        <w:br w:type="page"/>
      </w:r>
    </w:p>
    <w:p>
      <w:pPr>
        <w:pStyle w:val="Heading1"/>
        <w:spacing w:before="280" w:after="120"/>
      </w:pPr>
      <w:r>
        <w:rPr>
          <w:rFonts w:ascii="Arial" w:cs="Arial" w:eastAsia="Arial" w:hAnsi="Arial"/>
          <w:b/>
          <w:bCs/>
          <w:color w:val="1B3A5C"/>
          <w:sz w:val="38"/>
          <w:szCs w:val="38"/>
        </w:rPr>
        <w:t xml:space="preserve">PART 2 -- THE BUSINESS MODEL</w:t>
      </w:r>
    </w:p>
    <w:p>
      <w:pPr>
        <w:spacing w:before="80" w:after="80"/>
      </w:pPr>
      <w:r>
        <w:rPr>
          <w:rFonts w:ascii="Arial" w:cs="Arial" w:eastAsia="Arial" w:hAnsi="Arial"/>
          <w:b w:val="false"/>
          <w:bCs w:val="false"/>
          <w:color w:val="333333"/>
          <w:sz w:val="20"/>
          <w:szCs w:val="20"/>
        </w:rPr>
        <w:t xml:space="preserve">Three revenue streams. Two clients. One pipeline. The broker sits at the centre of a certified agricultural finance marketplace that does not yet exist in Sri Lanka. We build it. We own it.</w:t>
      </w:r>
    </w:p>
    <w:p>
      <w:pPr>
        <w:spacing w:before="60" w:after="60"/>
      </w:pPr>
      <w:r>
        <w:rPr>
          <w:rFonts w:ascii="Arial" w:cs="Arial" w:eastAsia="Arial" w:hAnsi="Arial"/>
          <w:b w:val="false"/>
          <w:bCs w:val="false"/>
          <w:color w:val="333333"/>
          <w:sz w:val="20"/>
          <w:szCs w:val="20"/>
        </w:rPr>
        <w:t xml:space="preserve"> </w:t>
      </w:r>
    </w:p>
    <w:p>
      <w:pPr>
        <w:pBdr>
          <w:bottom w:val="single" w:color="0F5C2E" w:sz="4" w:space="1"/>
        </w:pBdr>
        <w:spacing w:before="140" w:after="140"/>
      </w:pPr>
      <w:r>
        <w:rPr>
          <w:rFonts w:ascii="Arial" w:cs="Arial" w:eastAsia="Arial" w:hAnsi="Arial"/>
          <w:b w:val="false"/>
          <w:bCs w:val="false"/>
          <w:color w:val="333333"/>
          <w:sz w:val="20"/>
          <w:szCs w:val="20"/>
        </w:rPr>
        <w:t xml:space="preserve"/>
      </w:r>
    </w:p>
    <w:p>
      <w:pPr>
        <w:spacing w:before="60" w:after="60"/>
      </w:pPr>
      <w:r>
        <w:rPr>
          <w:rFonts w:ascii="Arial" w:cs="Arial" w:eastAsia="Arial" w:hAnsi="Arial"/>
          <w:b w:val="false"/>
          <w:bCs w:val="false"/>
          <w:color w:val="333333"/>
          <w:sz w:val="20"/>
          <w:szCs w:val="20"/>
        </w:rPr>
        <w:t xml:space="preserve"> </w:t>
      </w:r>
    </w:p>
    <w:p>
      <w:pPr>
        <w:pStyle w:val="Heading2"/>
        <w:spacing w:before="220" w:after="100"/>
      </w:pPr>
      <w:r>
        <w:rPr>
          <w:rFonts w:ascii="Arial" w:cs="Arial" w:eastAsia="Arial" w:hAnsi="Arial"/>
          <w:b/>
          <w:bCs/>
          <w:color w:val="0F5C2E"/>
          <w:sz w:val="28"/>
          <w:szCs w:val="28"/>
        </w:rPr>
        <w:t xml:space="preserve">1.  Three Revenue Streams -- How We Get Paid</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1800"/>
        <w:gridCol w:w="180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Revenue Stream</w:t>
            </w:r>
          </w:p>
        </w:tc>
        <w:tc>
          <w:tcPr>
            <w:tcW w:type="dxa" w:w="4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Description</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Fee Level</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Payer</w:t>
            </w:r>
          </w:p>
        </w:tc>
      </w:tr>
      <w:tr>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0F5C2E"/>
                <w:sz w:val="18"/>
                <w:szCs w:val="18"/>
              </w:rPr>
              <w:t xml:space="preserve">Stream 1A: Estate and Plantation Certification Brokerage</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Full certification management for tea estates, cinnamon estates, and rubber properties: gap analysis against RA or organic standard, corrective action plan, training coordination, audit scheduling with certified body, certificate issuance, and first-year compliance support. Invoiced on mandate signing (50%) and on certificate issuance (50%). Annual re-audit retainer offered at Year 1 completion.</w:t>
            </w:r>
          </w:p>
        </w:tc>
        <w:tc>
          <w:tcPr>
            <w:tcW w:type="dxa" w:w="18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pPr>
              <w:spacing w:before="80" w:after="80"/>
            </w:pPr>
            <w:r>
              <w:rPr>
                <w:rFonts w:ascii="Arial" w:cs="Arial" w:eastAsia="Arial" w:hAnsi="Arial"/>
                <w:b/>
                <w:bCs/>
                <w:color w:val="B05A00"/>
                <w:sz w:val="18"/>
                <w:szCs w:val="18"/>
              </w:rPr>
              <w:t xml:space="preserve">LKR 1.5-4M per estate or property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Estate company, plantation group</w:t>
            </w:r>
          </w:p>
        </w:tc>
      </w:tr>
      <w:tr>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0F5C2E"/>
                <w:sz w:val="18"/>
                <w:szCs w:val="18"/>
              </w:rPr>
              <w:t xml:space="preserve">Stream 1B: Smallholder Group Certification Schemes</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We organise group certification for smallholder cooperatives and farmer societies -- a model where 30-100 farmers share a single audit cost. We design the group scheme structure, aggregate the application, manage the certifier, and coordinate training through the farmer society. Cost per farmer drops 60-80% under group schemes vs. individual applications. Group schemes also allow CBSL quarterly green finance reporting of certified borrowers in bulk.</w:t>
            </w:r>
          </w:p>
        </w:tc>
        <w:tc>
          <w:tcPr>
            <w:tcW w:type="dxa" w:w="18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pPr>
              <w:spacing w:before="80" w:after="80"/>
            </w:pPr>
            <w:r>
              <w:rPr>
                <w:rFonts w:ascii="Arial" w:cs="Arial" w:eastAsia="Arial" w:hAnsi="Arial"/>
                <w:b/>
                <w:bCs/>
                <w:color w:val="B05A00"/>
                <w:sz w:val="18"/>
                <w:szCs w:val="18"/>
              </w:rPr>
              <w:t xml:space="preserve">LKR 200-500K per farmer in group scheme  (vs. LKR 800K-2M individual)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Farmer society, cooperative, or estate company on behalf of smallholders</w:t>
            </w:r>
          </w:p>
        </w:tc>
      </w:tr>
      <w:tr>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0F5C2E"/>
                <w:sz w:val="18"/>
                <w:szCs w:val="18"/>
              </w:rPr>
              <w:t xml:space="preserve">Stream 2: RDB Sustainable Agriculture Loan Product Design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We design RDB's full certified farmer preferential rate loan product: (a) Product structure -- two loan types: Certification Transition Loan (finances the gap between starting certification and first premium payment) and Certified Farmer Working Capital Loan (preferential rate for certified borrowers); (b) Eligibility criteria -- which certifications qualify, how certification status is verified, how renewal is tracked; (c) Interest rate structure -- 200-400 basis points below RDB standard agricultural rate, justified by NPL data; (d) Credit officer training -- half-day field workshop at an RA-certified estate with Rainforest Alliance Sri Lanka co-facilitation; (e) CBSL green loan reporting -- certified farmer loans classified as qualifying green loans in CBSL quarterly reports, supporting Roadmap 2.0 compliance.</w:t>
            </w:r>
          </w:p>
        </w:tc>
        <w:tc>
          <w:tcPr>
            <w:tcW w:type="dxa" w:w="18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pPr>
              <w:spacing w:before="80" w:after="80"/>
            </w:pPr>
            <w:r>
              <w:rPr>
                <w:rFonts w:ascii="Arial" w:cs="Arial" w:eastAsia="Arial" w:hAnsi="Arial"/>
                <w:b/>
                <w:bCs/>
                <w:color w:val="B05A00"/>
                <w:sz w:val="18"/>
                <w:szCs w:val="18"/>
              </w:rPr>
              <w:t xml:space="preserve">LKR 8-15M one-time advisory  +  LKR 3-6M/year retainer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RDB</w:t>
            </w:r>
          </w:p>
        </w:tc>
      </w:tr>
      <w:tr>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0F5C2E"/>
                <w:sz w:val="18"/>
                <w:szCs w:val="18"/>
              </w:rPr>
              <w:t xml:space="preserve">Stream 3: Certified Farmer Introduction Commission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When a farmer who has completed the certification process through our brokerage then accesses an RDB Sustainable Agriculture Loan, we receive an introduction commission from RDB. This is a referral fee, not a loan origination fee -- we introduced a pre-qualified, certified, creditworthy borrower directly into RDB's pipeline. The commission is 0.5-1.0% of the loan principal, or a flat fee of LKR 25,000-50,000 per certified farmer referred. This is the income that scales with volume: 1,000 certified farmers referred to RDB at LKR 30,000 average = LKR 30M from referrals alone.</w:t>
            </w:r>
          </w:p>
        </w:tc>
        <w:tc>
          <w:tcPr>
            <w:tcW w:type="dxa" w:w="18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pPr>
              <w:spacing w:before="80" w:after="80"/>
            </w:pPr>
            <w:r>
              <w:rPr>
                <w:rFonts w:ascii="Arial" w:cs="Arial" w:eastAsia="Arial" w:hAnsi="Arial"/>
                <w:b/>
                <w:bCs/>
                <w:color w:val="B05A00"/>
                <w:sz w:val="18"/>
                <w:szCs w:val="18"/>
              </w:rPr>
              <w:t xml:space="preserve">0.5-1.0% of loan  |  LKR 25-50K flat per referral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RDB (from loan origination economics)</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EEF2F8" w:val="clear"/>
            <w:tcMar>
              <w:top w:type="dxa" w:w="120"/>
              <w:left w:type="dxa" w:w="120"/>
              <w:bottom w:type="dxa" w:w="120"/>
              <w:right w:type="dxa" w:w="120"/>
            </w:tcMar>
            <w:vAlign w:val="center"/>
          </w:tcPr>
          <w:p>
            <w:pPr>
              <w:spacing w:before="0" w:after="20"/>
              <w:jc w:val="center"/>
            </w:pPr>
            <w:r>
              <w:rPr>
                <w:rFonts w:ascii="Arial" w:cs="Arial" w:eastAsia="Arial" w:hAnsi="Arial"/>
                <w:b/>
                <w:bCs/>
                <w:color w:val="1B3A5C"/>
                <w:sz w:val="30"/>
                <w:szCs w:val="30"/>
              </w:rPr>
              <w:t xml:space="preserve">LKR 8-15M</w:t>
            </w:r>
          </w:p>
          <w:p>
            <w:pPr>
              <w:spacing w:before="0" w:after="0"/>
              <w:jc w:val="center"/>
            </w:pPr>
            <w:r>
              <w:rPr>
                <w:rFonts w:ascii="Arial" w:cs="Arial" w:eastAsia="Arial" w:hAnsi="Arial"/>
                <w:b w:val="false"/>
                <w:bCs w:val="false"/>
                <w:color w:val="333333"/>
                <w:sz w:val="17"/>
                <w:szCs w:val="17"/>
              </w:rPr>
              <w:t xml:space="preserve">RDB Product Design (Year 1)</w:t>
            </w:r>
          </w:p>
        </w:tc>
        <w:tc>
          <w:tcPr>
            <w:tcW w:type="dxa" w:w="2520"/>
            <w:tcBorders>
              <w:top w:val="single" w:color="CCCCCC" w:sz="1"/>
              <w:left w:val="single" w:color="CCCCCC" w:sz="1"/>
              <w:bottom w:val="single" w:color="CCCCCC" w:sz="1"/>
              <w:right w:val="single" w:color="CCCCCC" w:sz="1"/>
            </w:tcBorders>
            <w:shd w:fill="E8F4EC" w:val="clear"/>
            <w:tcMar>
              <w:top w:type="dxa" w:w="120"/>
              <w:left w:type="dxa" w:w="120"/>
              <w:bottom w:type="dxa" w:w="120"/>
              <w:right w:type="dxa" w:w="120"/>
            </w:tcMar>
            <w:vAlign w:val="center"/>
          </w:tcPr>
          <w:p>
            <w:pPr>
              <w:spacing w:before="0" w:after="20"/>
              <w:jc w:val="center"/>
            </w:pPr>
            <w:r>
              <w:rPr>
                <w:rFonts w:ascii="Arial" w:cs="Arial" w:eastAsia="Arial" w:hAnsi="Arial"/>
                <w:b/>
                <w:bCs/>
                <w:color w:val="0F5C2E"/>
                <w:sz w:val="30"/>
                <w:szCs w:val="30"/>
              </w:rPr>
              <w:t xml:space="preserve">LKR 15-40M</w:t>
            </w:r>
          </w:p>
          <w:p>
            <w:pPr>
              <w:spacing w:before="0" w:after="0"/>
              <w:jc w:val="center"/>
            </w:pPr>
            <w:r>
              <w:rPr>
                <w:rFonts w:ascii="Arial" w:cs="Arial" w:eastAsia="Arial" w:hAnsi="Arial"/>
                <w:b w:val="false"/>
                <w:bCs w:val="false"/>
                <w:color w:val="333333"/>
                <w:sz w:val="17"/>
                <w:szCs w:val="17"/>
              </w:rPr>
              <w:t xml:space="preserve">Certification Brokerage (Year 1)</w:t>
            </w:r>
          </w:p>
        </w:tc>
        <w:tc>
          <w:tcPr>
            <w:tcW w:type="dxa" w:w="2520"/>
            <w:tcBorders>
              <w:top w:val="single" w:color="CCCCCC" w:sz="1"/>
              <w:left w:val="single" w:color="CCCCCC" w:sz="1"/>
              <w:bottom w:val="single" w:color="CCCCCC" w:sz="1"/>
              <w:right w:val="single" w:color="CCCCCC" w:sz="1"/>
            </w:tcBorders>
            <w:shd w:fill="FDF6E3" w:val="clear"/>
            <w:tcMar>
              <w:top w:type="dxa" w:w="120"/>
              <w:left w:type="dxa" w:w="120"/>
              <w:bottom w:type="dxa" w:w="120"/>
              <w:right w:type="dxa" w:w="120"/>
            </w:tcMar>
            <w:vAlign w:val="center"/>
          </w:tcPr>
          <w:p>
            <w:pPr>
              <w:spacing w:before="0" w:after="20"/>
              <w:jc w:val="center"/>
            </w:pPr>
            <w:r>
              <w:rPr>
                <w:rFonts w:ascii="Arial" w:cs="Arial" w:eastAsia="Arial" w:hAnsi="Arial"/>
                <w:b/>
                <w:bCs/>
                <w:color w:val="B05A00"/>
                <w:sz w:val="30"/>
                <w:szCs w:val="30"/>
              </w:rPr>
              <w:t xml:space="preserve">LKR 3-8M</w:t>
            </w:r>
          </w:p>
          <w:p>
            <w:pPr>
              <w:spacing w:before="0" w:after="0"/>
              <w:jc w:val="center"/>
            </w:pPr>
            <w:r>
              <w:rPr>
                <w:rFonts w:ascii="Arial" w:cs="Arial" w:eastAsia="Arial" w:hAnsi="Arial"/>
                <w:b w:val="false"/>
                <w:bCs w:val="false"/>
                <w:color w:val="333333"/>
                <w:sz w:val="17"/>
                <w:szCs w:val="17"/>
              </w:rPr>
              <w:t xml:space="preserve">Referral Commissions (Year 1)</w:t>
            </w:r>
          </w:p>
        </w:tc>
        <w:tc>
          <w:tcPr>
            <w:tcW w:type="dxa" w:w="2520"/>
            <w:tcBorders>
              <w:top w:val="single" w:color="CCCCCC" w:sz="1"/>
              <w:left w:val="single" w:color="CCCCCC" w:sz="1"/>
              <w:bottom w:val="single" w:color="CCCCCC" w:sz="1"/>
              <w:right w:val="single" w:color="CCCCCC" w:sz="1"/>
            </w:tcBorders>
            <w:shd w:fill="E8F4EC" w:val="clear"/>
            <w:tcMar>
              <w:top w:type="dxa" w:w="120"/>
              <w:left w:type="dxa" w:w="120"/>
              <w:bottom w:type="dxa" w:w="120"/>
              <w:right w:type="dxa" w:w="120"/>
            </w:tcMar>
            <w:vAlign w:val="center"/>
          </w:tcPr>
          <w:p>
            <w:pPr>
              <w:spacing w:before="0" w:after="20"/>
              <w:jc w:val="center"/>
            </w:pPr>
            <w:r>
              <w:rPr>
                <w:rFonts w:ascii="Arial" w:cs="Arial" w:eastAsia="Arial" w:hAnsi="Arial"/>
                <w:b/>
                <w:bCs/>
                <w:color w:val="0F5C2E"/>
                <w:sz w:val="30"/>
                <w:szCs w:val="30"/>
              </w:rPr>
              <w:t xml:space="preserve">LKR 50-120M</w:t>
            </w:r>
          </w:p>
          <w:p>
            <w:pPr>
              <w:spacing w:before="0" w:after="0"/>
              <w:jc w:val="center"/>
            </w:pPr>
            <w:r>
              <w:rPr>
                <w:rFonts w:ascii="Arial" w:cs="Arial" w:eastAsia="Arial" w:hAnsi="Arial"/>
                <w:b w:val="false"/>
                <w:bCs w:val="false"/>
                <w:color w:val="333333"/>
                <w:sz w:val="17"/>
                <w:szCs w:val="17"/>
              </w:rPr>
              <w:t xml:space="preserve">Total 18-Month Revenue</w:t>
            </w:r>
          </w:p>
        </w:tc>
      </w:tr>
    </w:tbl>
    <w:p>
      <w:pPr>
        <w:spacing w:before="120" w:after="120"/>
      </w:pPr>
      <w:r>
        <w:rPr>
          <w:rFonts w:ascii="Arial" w:cs="Arial" w:eastAsia="Arial" w:hAnsi="Arial"/>
          <w:b w:val="false"/>
          <w:bCs w:val="false"/>
          <w:color w:val="333333"/>
          <w:sz w:val="20"/>
          <w:szCs w:val="20"/>
        </w:rPr>
        <w:t xml:space="preserve"> </w:t>
      </w:r>
    </w:p>
    <w:p>
      <w:pPr>
        <w:pBdr>
          <w:bottom w:val="single" w:color="0F5C2E" w:sz="4" w:space="1"/>
        </w:pBdr>
        <w:spacing w:before="140" w:after="140"/>
      </w:pPr>
      <w:r>
        <w:rPr>
          <w:rFonts w:ascii="Arial" w:cs="Arial" w:eastAsia="Arial" w:hAnsi="Arial"/>
          <w:b w:val="false"/>
          <w:bCs w:val="false"/>
          <w:color w:val="333333"/>
          <w:sz w:val="20"/>
          <w:szCs w:val="20"/>
        </w:rPr>
        <w:t xml:space="preserve"/>
      </w:r>
    </w:p>
    <w:p>
      <w:pPr>
        <w:pStyle w:val="Heading2"/>
        <w:spacing w:before="220" w:after="100"/>
      </w:pPr>
      <w:r>
        <w:rPr>
          <w:rFonts w:ascii="Arial" w:cs="Arial" w:eastAsia="Arial" w:hAnsi="Arial"/>
          <w:b/>
          <w:bCs/>
          <w:color w:val="0F5C2E"/>
          <w:sz w:val="28"/>
          <w:szCs w:val="28"/>
        </w:rPr>
        <w:t xml:space="preserve">2.  The Two RDB Loan Products We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0F5C2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PRODUCT A: Certification Transition Loan</w:t>
            </w:r>
          </w:p>
        </w:tc>
        <w:tc>
          <w:tcPr>
            <w:tcW w:type="dxa" w:w="504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PRODUCT B: Certified Farmer Working Capital Loan</w:t>
            </w:r>
          </w:p>
        </w:tc>
      </w:tr>
      <w:tr>
        <w:tc>
          <w:tcPr>
            <w:tcW w:type="dxa" w:w="50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Purpose</w:t>
            </w:r>
          </w:p>
          <w:p>
            <w:pPr>
              <w:spacing w:before="80" w:after="80"/>
            </w:pPr>
            <w:r>
              <w:rPr>
                <w:rFonts w:ascii="Arial" w:cs="Arial" w:eastAsia="Arial" w:hAnsi="Arial"/>
                <w:b w:val="false"/>
                <w:bCs w:val="false"/>
                <w:color w:val="333333"/>
                <w:sz w:val="19"/>
                <w:szCs w:val="19"/>
              </w:rPr>
              <w:t xml:space="preserve">Finance the 6-18 month gap between starting the certification process (paying for gap analysis, training, audit fees, practice changes) and receiving the first certified-price premium income. This is the barrier that prevents most smallholders from attempting certification even when they want to.</w:t>
            </w:r>
          </w:p>
          <w:p>
            <w:pPr>
              <w:spacing w:before="80" w:after="80"/>
            </w:pPr>
            <w:r>
              <w:rPr>
                <w:rFonts w:ascii="Arial" w:cs="Arial" w:eastAsia="Arial" w:hAnsi="Arial"/>
                <w:b/>
                <w:bCs/>
                <w:color w:val="1B3A5C"/>
                <w:sz w:val="18"/>
                <w:szCs w:val="18"/>
              </w:rPr>
              <w:t xml:space="preserve">Loan Size</w:t>
            </w:r>
          </w:p>
          <w:p>
            <w:pPr>
              <w:spacing w:before="80" w:after="80"/>
            </w:pPr>
            <w:r>
              <w:rPr>
                <w:rFonts w:ascii="Arial" w:cs="Arial" w:eastAsia="Arial" w:hAnsi="Arial"/>
                <w:b w:val="false"/>
                <w:bCs w:val="false"/>
                <w:color w:val="333333"/>
                <w:sz w:val="19"/>
                <w:szCs w:val="19"/>
              </w:rPr>
              <w:t xml:space="preserve">LKR 150,000-500,000 per smallholder, or LKR 1.5-5M per cooperative group. Sized to cover: certification fees (partially -- many are free via government), practice change costs (drip irrigation, shade trees, compost inputs), and working capital bridge during transition.</w:t>
            </w:r>
          </w:p>
          <w:p>
            <w:pPr>
              <w:spacing w:before="80" w:after="80"/>
            </w:pPr>
            <w:r>
              <w:rPr>
                <w:rFonts w:ascii="Arial" w:cs="Arial" w:eastAsia="Arial" w:hAnsi="Arial"/>
                <w:b/>
                <w:bCs/>
                <w:color w:val="1B3A5C"/>
                <w:sz w:val="18"/>
                <w:szCs w:val="18"/>
              </w:rPr>
              <w:t xml:space="preserve">Repayment</w:t>
            </w:r>
          </w:p>
          <w:p>
            <w:pPr>
              <w:spacing w:before="80" w:after="80"/>
            </w:pPr>
            <w:r>
              <w:rPr>
                <w:rFonts w:ascii="Arial" w:cs="Arial" w:eastAsia="Arial" w:hAnsi="Arial"/>
                <w:b w:val="false"/>
                <w:bCs w:val="false"/>
                <w:color w:val="333333"/>
                <w:sz w:val="19"/>
                <w:szCs w:val="19"/>
              </w:rPr>
              <w:t xml:space="preserve">Grace period of 6-18 months (aligned to certification timeline). Repayment begins when certified premium income begins. Bullet repayment option: repay certification costs from first premium payment received.</w:t>
            </w:r>
          </w:p>
          <w:p>
            <w:pPr>
              <w:spacing w:before="80" w:after="80"/>
            </w:pPr>
            <w:r>
              <w:rPr>
                <w:rFonts w:ascii="Arial" w:cs="Arial" w:eastAsia="Arial" w:hAnsi="Arial"/>
                <w:b/>
                <w:bCs/>
                <w:color w:val="1B3A5C"/>
                <w:sz w:val="18"/>
                <w:szCs w:val="18"/>
              </w:rPr>
              <w:t xml:space="preserve">Interest Rate</w:t>
            </w:r>
          </w:p>
          <w:p>
            <w:pPr>
              <w:spacing w:before="80" w:after="80"/>
            </w:pPr>
            <w:r>
              <w:rPr>
                <w:rFonts w:ascii="Arial" w:cs="Arial" w:eastAsia="Arial" w:hAnsi="Arial"/>
                <w:b w:val="false"/>
                <w:bCs w:val="false"/>
                <w:color w:val="333333"/>
                <w:sz w:val="19"/>
                <w:szCs w:val="19"/>
              </w:rPr>
              <w:t xml:space="preserve">Standard RDB agricultural rate during transition. On certificate issuance, loan automatically converts to Product B (Certified Farmer Working Capital) at preferential rate. The rate conversion is the financial incentive to complete certification.</w:t>
            </w:r>
          </w:p>
          <w:p>
            <w:pPr>
              <w:spacing w:before="80" w:after="80"/>
            </w:pPr>
            <w:r>
              <w:rPr>
                <w:rFonts w:ascii="Arial" w:cs="Arial" w:eastAsia="Arial" w:hAnsi="Arial"/>
                <w:b/>
                <w:bCs/>
                <w:color w:val="1B3A5C"/>
                <w:sz w:val="18"/>
                <w:szCs w:val="18"/>
              </w:rPr>
              <w:t xml:space="preserve">Collateral</w:t>
            </w:r>
          </w:p>
          <w:p>
            <w:pPr>
              <w:spacing w:before="0" w:after="0"/>
            </w:pPr>
            <w:r>
              <w:rPr>
                <w:rFonts w:ascii="Arial" w:cs="Arial" w:eastAsia="Arial" w:hAnsi="Arial"/>
                <w:b w:val="false"/>
                <w:bCs w:val="false"/>
                <w:color w:val="333333"/>
                <w:sz w:val="19"/>
                <w:szCs w:val="19"/>
              </w:rPr>
              <w:t xml:space="preserve">Certification audit trail (substitutes for traditional collateral). Forward supply agreement with buyer (RA-certified buyers include M&amp;S, Dilmah, Cargills). For group loans: social collateral within the cooperative scheme. No land title required -- accessible to all smallholders.</w:t>
            </w:r>
          </w:p>
        </w:tc>
        <w:tc>
          <w:tcPr>
            <w:tcW w:type="dxa" w:w="50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Purpose</w:t>
            </w:r>
          </w:p>
          <w:p>
            <w:pPr>
              <w:spacing w:before="80" w:after="80"/>
            </w:pPr>
            <w:r>
              <w:rPr>
                <w:rFonts w:ascii="Arial" w:cs="Arial" w:eastAsia="Arial" w:hAnsi="Arial"/>
                <w:b w:val="false"/>
                <w:bCs w:val="false"/>
                <w:color w:val="333333"/>
                <w:sz w:val="19"/>
                <w:szCs w:val="19"/>
              </w:rPr>
              <w:t xml:space="preserve">Annual working capital for certified farmers at preferential interest rates. This is the product that makes certification financially worthwhile -- not just the price premium from buyers, but lower-cost credit from RDB as well. Double incentive: higher income and lower borrowing cost, simultaneously.</w:t>
            </w:r>
          </w:p>
          <w:p>
            <w:pPr>
              <w:spacing w:before="80" w:after="80"/>
            </w:pPr>
            <w:r>
              <w:rPr>
                <w:rFonts w:ascii="Arial" w:cs="Arial" w:eastAsia="Arial" w:hAnsi="Arial"/>
                <w:b/>
                <w:bCs/>
                <w:color w:val="1B3A5C"/>
                <w:sz w:val="18"/>
                <w:szCs w:val="18"/>
              </w:rPr>
              <w:t xml:space="preserve">Loan Size</w:t>
            </w:r>
          </w:p>
          <w:p>
            <w:pPr>
              <w:spacing w:before="80" w:after="80"/>
            </w:pPr>
            <w:r>
              <w:rPr>
                <w:rFonts w:ascii="Arial" w:cs="Arial" w:eastAsia="Arial" w:hAnsi="Arial"/>
                <w:b w:val="false"/>
                <w:bCs w:val="false"/>
                <w:color w:val="333333"/>
                <w:sz w:val="19"/>
                <w:szCs w:val="19"/>
              </w:rPr>
              <w:t xml:space="preserve">LKR 200,000-1M per smallholder, or LKR 2-15M per cooperative or estate. Sized for annual working capital: inputs, labour, processing, transport. Revolving facility preferred -- certified farmers have predictable annual income cycles aligned with harvest and EU buyer payment terms.</w:t>
            </w:r>
          </w:p>
          <w:p>
            <w:pPr>
              <w:spacing w:before="80" w:after="80"/>
            </w:pPr>
            <w:r>
              <w:rPr>
                <w:rFonts w:ascii="Arial" w:cs="Arial" w:eastAsia="Arial" w:hAnsi="Arial"/>
                <w:b/>
                <w:bCs/>
                <w:color w:val="1B3A5C"/>
                <w:sz w:val="18"/>
                <w:szCs w:val="18"/>
              </w:rPr>
              <w:t xml:space="preserve">Repayment</w:t>
            </w:r>
          </w:p>
          <w:p>
            <w:pPr>
              <w:spacing w:before="80" w:after="80"/>
            </w:pPr>
            <w:r>
              <w:rPr>
                <w:rFonts w:ascii="Arial" w:cs="Arial" w:eastAsia="Arial" w:hAnsi="Arial"/>
                <w:b w:val="false"/>
                <w:bCs w:val="false"/>
                <w:color w:val="333333"/>
                <w:sz w:val="19"/>
                <w:szCs w:val="19"/>
              </w:rPr>
              <w:t xml:space="preserve">Aligned to certified harvest and buyer payment cycle. Tea: quarterly (RA premium paid by buyer at each quarter-end). Vegetables: per-season. Cinnamon: semi-annual (aligned to export payment cycle). Paddy: bi-annual (Yala and Maha season).</w:t>
            </w:r>
          </w:p>
          <w:p>
            <w:pPr>
              <w:spacing w:before="80" w:after="80"/>
            </w:pPr>
            <w:r>
              <w:rPr>
                <w:rFonts w:ascii="Arial" w:cs="Arial" w:eastAsia="Arial" w:hAnsi="Arial"/>
                <w:b/>
                <w:bCs/>
                <w:color w:val="1B3A5C"/>
                <w:sz w:val="18"/>
                <w:szCs w:val="18"/>
              </w:rPr>
              <w:t xml:space="preserve">Interest Rate</w:t>
            </w:r>
          </w:p>
          <w:p>
            <w:pPr>
              <w:spacing w:before="80" w:after="80"/>
            </w:pPr>
            <w:r>
              <w:rPr>
                <w:rFonts w:ascii="Arial" w:cs="Arial" w:eastAsia="Arial" w:hAnsi="Arial"/>
                <w:b w:val="false"/>
                <w:bCs w:val="false"/>
                <w:color w:val="333333"/>
                <w:sz w:val="19"/>
                <w:szCs w:val="19"/>
              </w:rPr>
              <w:t xml:space="preserve">200-400 basis points below RDB standard agricultural lending rate. The rate differential is justified by lower NPL profile of certified borrowers. CBSL Roadmap 2.0 green loan classification allows RDB to report these loans in quarterly green finance returns -- improving RDB's compliance profile.</w:t>
            </w:r>
          </w:p>
          <w:p>
            <w:pPr>
              <w:spacing w:before="80" w:after="80"/>
            </w:pPr>
            <w:r>
              <w:rPr>
                <w:rFonts w:ascii="Arial" w:cs="Arial" w:eastAsia="Arial" w:hAnsi="Arial"/>
                <w:b/>
                <w:bCs/>
                <w:color w:val="1B3A5C"/>
                <w:sz w:val="18"/>
                <w:szCs w:val="18"/>
              </w:rPr>
              <w:t xml:space="preserve">Eligibility Trigger</w:t>
            </w:r>
          </w:p>
          <w:p>
            <w:pPr>
              <w:spacing w:before="0" w:after="0"/>
            </w:pPr>
            <w:r>
              <w:rPr>
                <w:rFonts w:ascii="Arial" w:cs="Arial" w:eastAsia="Arial" w:hAnsi="Arial"/>
                <w:b w:val="false"/>
                <w:bCs w:val="false"/>
                <w:color w:val="333333"/>
                <w:sz w:val="19"/>
                <w:szCs w:val="19"/>
              </w:rPr>
              <w:t xml:space="preserve">Valid certification certificate from: Rainforest Alliance, Fairtrade, Control Union (organic), SL-GAP (DoA), GlobalG.A.P., FSC (rubber/forestry), ASC (aquaculture), or EUDR traceability declaration. Eligibility verified annually at certification renewal. Rate is withdrawn if certification lapses.</w:t>
            </w:r>
          </w:p>
        </w:tc>
      </w:tr>
    </w:tbl>
    <w:p>
      <w:pPr>
        <w:spacing w:before="120" w:after="120"/>
      </w:pPr>
      <w:r>
        <w:rPr>
          <w:rFonts w:ascii="Arial" w:cs="Arial" w:eastAsia="Arial" w:hAnsi="Arial"/>
          <w:b w:val="false"/>
          <w:bCs w:val="false"/>
          <w:color w:val="333333"/>
          <w:sz w:val="20"/>
          <w:szCs w:val="20"/>
        </w:rPr>
        <w:t xml:space="preserve"> </w:t>
      </w:r>
    </w:p>
    <w:p>
      <w:pPr>
        <w:pBdr>
          <w:bottom w:val="single" w:color="0F5C2E" w:sz="4" w:space="1"/>
        </w:pBdr>
        <w:spacing w:before="140" w:after="140"/>
      </w:pPr>
      <w:r>
        <w:rPr>
          <w:rFonts w:ascii="Arial" w:cs="Arial" w:eastAsia="Arial" w:hAnsi="Arial"/>
          <w:b w:val="false"/>
          <w:bCs w:val="false"/>
          <w:color w:val="333333"/>
          <w:sz w:val="20"/>
          <w:szCs w:val="20"/>
        </w:rPr>
        <w:t xml:space="preserve"/>
      </w:r>
    </w:p>
    <w:p>
      <w:pPr>
        <w:pStyle w:val="Heading2"/>
        <w:spacing w:before="220" w:after="100"/>
      </w:pPr>
      <w:r>
        <w:rPr>
          <w:rFonts w:ascii="Arial" w:cs="Arial" w:eastAsia="Arial" w:hAnsi="Arial"/>
          <w:b/>
          <w:bCs/>
          <w:color w:val="0F5C2E"/>
          <w:sz w:val="28"/>
          <w:szCs w:val="28"/>
        </w:rPr>
        <w:t xml:space="preserve">3.  Delivery Partner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2000"/>
        <w:gridCol w:w="220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Partner Function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Who / What</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How We Access Them</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Our Role</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RA Certification (Tea, Cinnamon)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Rainforest Alliance (Amsterdam). Accredited auditor network in Sri Lanka. Already working with Hayleys Plantations, Finlays, and Bogawantalawa.</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RA has a Sri Lanka desk. Existing MOU template available from RA's Sustainable Finance Initiative.</w:t>
            </w:r>
          </w:p>
        </w:tc>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We manage client-facing relationship. RA conducts the audit. We invoice the client; pay RA from proceeds.</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Organic Certification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Control Union Certifications (Netherlands) or IMO/SKAL International. Both have Sri Lanka operations and SLSI-accredited local auditors.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Control Union has a Colombo presence. We approach their South Asia desk directly.</w:t>
            </w:r>
          </w:p>
        </w:tc>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We manage the gap analysis and application. Control Union conducts the audit. Group certification coordination is ours.</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SL-GAP (Vegetables, Rice)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Department of Agriculture -- SL-GAP certification is free to farmers. DoA regional offices cover all 25 districts. SGS Sri Lanka can provide GlobalG.A.P. for export-facing farmers.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DoA is a government partner accessible via Ministry of Agriculture relationships. SGS Sri Lanka is commercially accessible.</w:t>
            </w:r>
          </w:p>
        </w:tc>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We coordinate the application and training. DoA conducts the audit at no cost. We earn our fee from the farmer for managing the process, not for the audit itself.</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EUDR Traceability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Bureau Veritas Sri Lanka or SGS Sri Lanka for supply chain mapping and EUDR deforestation-free declarations. Digital traceability: SourceMap or Provenance platforms.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BV and SGS both have Colombo offices. Approach their certification sales desks for MOU on volume referrals.</w:t>
            </w:r>
          </w:p>
        </w:tc>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We design the traceability package. BV/SGS conducts the audit. Farmer or estate pays the fee via our invoice.</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Certified Farmer Registry (RDB Eligibility)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DoA SL-GAP registry, Tea Board licensed exporter certification records, RA's own Find Certified tracker (ra.org), Control Union public database, FSC certificate database.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All registries are public domain or free to access. We build a combined Sri Lanka certified farmer database for RDB's use.</w:t>
            </w:r>
          </w:p>
        </w:tc>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We build and maintain the master certified farmer database that RDB uses to verify borrower eligibility for preferential rate.</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RDB Credit Officer Training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Rainforest Alliance Sri Lanka (co-facilitates field day at certified estate). CA Sri Lanka (sustainability credit assessment training). SLBA capacity building faculty.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RA Sri Lanka is accessible via RA Amsterdam MOU. SLBA capacity building is available on request.</w:t>
            </w:r>
          </w:p>
        </w:tc>
        <w:tc>
          <w:tcPr>
            <w:tcW w:type="dxa" w:w="22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We design the half-day workshop content. RA provides the farm visit context. We lead the credit assessment component.</w:t>
            </w:r>
          </w:p>
        </w:tc>
      </w:tr>
    </w:tbl>
    <w:p>
      <w:pPr>
        <w:spacing w:before="120" w:after="120"/>
      </w:pPr>
      <w:r>
        <w:rPr>
          <w:rFonts w:ascii="Arial" w:cs="Arial" w:eastAsia="Arial" w:hAnsi="Arial"/>
          <w:b w:val="false"/>
          <w:bCs w:val="false"/>
          <w:color w:val="333333"/>
          <w:sz w:val="20"/>
          <w:szCs w:val="20"/>
        </w:rPr>
        <w:t xml:space="preserve"> </w:t>
      </w:r>
    </w:p>
    <w:p>
      <w:pPr>
        <w:pBdr>
          <w:bottom w:val="single" w:color="0F5C2E" w:sz="4" w:space="1"/>
        </w:pBdr>
        <w:spacing w:before="140" w:after="140"/>
      </w:pPr>
      <w:r>
        <w:rPr>
          <w:rFonts w:ascii="Arial" w:cs="Arial" w:eastAsia="Arial" w:hAnsi="Arial"/>
          <w:b w:val="false"/>
          <w:bCs w:val="false"/>
          <w:color w:val="333333"/>
          <w:sz w:val="20"/>
          <w:szCs w:val="20"/>
        </w:rPr>
        <w:t xml:space="preserve"/>
      </w:r>
    </w:p>
    <w:p>
      <w:pPr>
        <w:pStyle w:val="Heading2"/>
        <w:spacing w:before="220" w:after="100"/>
      </w:pPr>
      <w:r>
        <w:rPr>
          <w:rFonts w:ascii="Arial" w:cs="Arial" w:eastAsia="Arial" w:hAnsi="Arial"/>
          <w:b/>
          <w:bCs/>
          <w:color w:val="0F5C2E"/>
          <w:sz w:val="28"/>
          <w:szCs w:val="28"/>
        </w:rPr>
        <w:t xml:space="preserve">4.  The 90-Day Action Plan</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0F5C2E"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1-14</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0F5C2E"/>
                <w:sz w:val="20"/>
                <w:szCs w:val="20"/>
              </w:rPr>
              <w:t xml:space="preserve">RDB Chairman Meeting -- The Double Benefit Pitch</w:t>
            </w:r>
          </w:p>
          <w:p>
            <w:pPr>
              <w:spacing w:before="0" w:after="0"/>
            </w:pPr>
            <w:r>
              <w:rPr>
                <w:rFonts w:ascii="Arial" w:cs="Arial" w:eastAsia="Arial" w:hAnsi="Arial"/>
                <w:b w:val="false"/>
                <w:bCs w:val="false"/>
                <w:color w:val="333333"/>
                <w:sz w:val="20"/>
                <w:szCs w:val="20"/>
              </w:rPr>
              <w:t xml:space="preserve">Open with the bilateral argument: 'We earn fees from farmers getting certified and fees from RDB for the product that pays certified farmers better. We bring RDB pre-qualified, certified, documented borrowers -- the best agricultural credit risk in the country -- and RDB pays us a referral commission per borrower delivered.' Then: the underwriting argument. Certified tea farmers in Sri Lanka had an NPL rate demonstrably lower than conventional farmers in the 2022-2024 period -- we verify this against RDB's own portfolio data in the first 30 days. Present the NABARD interest subvention precedent. Present the Rabobank Planet Impact Loan precedent. First ask: Product Design Advisory mandate, LKR 8M, 50% upfront.</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0F5C2E"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15-30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0F5C2E"/>
                <w:sz w:val="20"/>
                <w:szCs w:val="20"/>
              </w:rPr>
              <w:t xml:space="preserve">Portfolio Audit -- Certifiable Borrowers Inside RDB Right Now</w:t>
            </w:r>
          </w:p>
          <w:p>
            <w:pPr>
              <w:spacing w:before="0" w:after="0"/>
            </w:pPr>
            <w:r>
              <w:rPr>
                <w:rFonts w:ascii="Arial" w:cs="Arial" w:eastAsia="Arial" w:hAnsi="Arial"/>
                <w:b w:val="false"/>
                <w:bCs w:val="false"/>
                <w:color w:val="333333"/>
                <w:sz w:val="20"/>
                <w:szCs w:val="20"/>
              </w:rPr>
              <w:t xml:space="preserve">Work with RDB's credit department to identify existing borrowers who are already certified (these become immediate Certified Farmer Working Capital Loan candidates) and those who are certifiable within 12-18 months (these become Certification Transition Loan candidates). Compare NPL rates for currently certified vs. uncertified RDB agricultural borrowers. This is the internal data that justifies the preferential rate to RDB's credit risk committee -- it is their own portfolio, not a foreign case study.</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0F5C2E"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31-50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0F5C2E"/>
                <w:sz w:val="20"/>
                <w:szCs w:val="20"/>
              </w:rPr>
              <w:t xml:space="preserve">Certification Brokerage Pipeline -- First 20 Estates</w:t>
            </w:r>
          </w:p>
          <w:p>
            <w:pPr>
              <w:spacing w:before="0" w:after="0"/>
            </w:pPr>
            <w:r>
              <w:rPr>
                <w:rFonts w:ascii="Arial" w:cs="Arial" w:eastAsia="Arial" w:hAnsi="Arial"/>
                <w:b w:val="false"/>
                <w:bCs w:val="false"/>
                <w:color w:val="333333"/>
                <w:sz w:val="20"/>
                <w:szCs w:val="20"/>
              </w:rPr>
              <w:t xml:space="preserve">Approach the 20 highest-potential certification candidates: partially certified tea estates in the Hayleys Plantations network (already partially RA-certified -- we offer to complete the portfolio), Bogawantalawa and Kotagala plantation groups (CSE-listed, sustainability-oriented), cinnamon cooperatives in Galle and Matara districts (EU buyer relationships established, EUDR urgency). Sign 3-5 certification brokerage mandates in Month 2. Invoice gap analysis phase immediately on signing.</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0F5C2E"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51-70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0F5C2E"/>
                <w:sz w:val="20"/>
                <w:szCs w:val="20"/>
              </w:rPr>
              <w:t xml:space="preserve">RDB Product Structure Sign-off</w:t>
            </w:r>
          </w:p>
          <w:p>
            <w:pPr>
              <w:spacing w:before="0" w:after="0"/>
            </w:pPr>
            <w:r>
              <w:rPr>
                <w:rFonts w:ascii="Arial" w:cs="Arial" w:eastAsia="Arial" w:hAnsi="Arial"/>
                <w:b w:val="false"/>
                <w:bCs w:val="false"/>
                <w:color w:val="333333"/>
                <w:sz w:val="20"/>
                <w:szCs w:val="20"/>
              </w:rPr>
              <w:t xml:space="preserve">Present completed Sustainable Agriculture Loan Product design to RDB's product committee: loan terms, eligibility criteria, certification registry, interest rate differential, CBSL green loan classification, credit officer training plan. This is a document presentation -- no new infrastructure required from RDB. The eligibility system runs off existing certification registries. The preferential rate is applied via a simple product code in RDB's core banking system. Get product approval in principle by end of Month 2.</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0F5C2E"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71-90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0F5C2E"/>
                <w:sz w:val="20"/>
                <w:szCs w:val="20"/>
              </w:rPr>
              <w:t xml:space="preserve">Certified Farmer Field Workshop + First Loan Referrals</w:t>
            </w:r>
          </w:p>
          <w:p>
            <w:pPr>
              <w:spacing w:before="0" w:after="0"/>
            </w:pPr>
            <w:r>
              <w:rPr>
                <w:rFonts w:ascii="Arial" w:cs="Arial" w:eastAsia="Arial" w:hAnsi="Arial"/>
                <w:b w:val="false"/>
                <w:bCs w:val="false"/>
                <w:color w:val="333333"/>
                <w:sz w:val="20"/>
                <w:szCs w:val="20"/>
              </w:rPr>
              <w:t xml:space="preserve">Run a half-day Certified Farmer Lending workshop for 20-30 RDB agricultural loan officers at an RA-certified tea estate in Nuwara Eliya or Kandy. Co-facilitated with RA Sri Lanka. Loan officers see what a certified farm looks like, what documentation exists, and how to assess certification as credit collateral. Simultaneously, refer first 50-100 certified farmers from our brokerage pipeline to RDB for Certified Farmer Working Capital Loans. First introduction commissions invoiced.</w:t>
            </w:r>
          </w:p>
        </w:tc>
      </w:tr>
    </w:tbl>
    <w:p>
      <w:pPr>
        <w:spacing w:before="30" w:after="3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p>
      <w:pPr>
        <w:pBdr>
          <w:bottom w:val="single" w:color="0F5C2E" w:sz="4" w:space="1"/>
        </w:pBdr>
        <w:spacing w:before="140" w:after="140"/>
      </w:pPr>
      <w:r>
        <w:rPr>
          <w:rFonts w:ascii="Arial" w:cs="Arial" w:eastAsia="Arial" w:hAnsi="Arial"/>
          <w:b w:val="false"/>
          <w:bCs w:val="false"/>
          <w:color w:val="333333"/>
          <w:sz w:val="20"/>
          <w:szCs w:val="20"/>
        </w:rPr>
        <w:t xml:space="preserve"/>
      </w:r>
    </w:p>
    <w:p>
      <w:pPr>
        <w:pStyle w:val="Heading2"/>
        <w:spacing w:before="220" w:after="100"/>
      </w:pPr>
      <w:r>
        <w:rPr>
          <w:rFonts w:ascii="Arial" w:cs="Arial" w:eastAsia="Arial" w:hAnsi="Arial"/>
          <w:b/>
          <w:bCs/>
          <w:color w:val="0F5C2E"/>
          <w:sz w:val="28"/>
          <w:szCs w:val="28"/>
        </w:rPr>
        <w:t xml:space="preserve">5.  Key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Risk</w:t>
            </w:r>
          </w:p>
        </w:tc>
        <w:tc>
          <w:tcPr>
            <w:tcW w:type="dxa" w:w="384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Why It Could Happen</w:t>
            </w:r>
          </w:p>
        </w:tc>
        <w:tc>
          <w:tcPr>
            <w:tcW w:type="dxa" w:w="384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RDB's credit committee rejects the preferential rate -- 'we cannot subsidise certified farmers'</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A development bank may view the rate differential as a subsidy to a specific farmer group rather than as better risk pricing, creating equity concerns among non-certified borrowers.</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The Rabobank and Root Capital data is the argument: certified farmer NPLs are measurably lower. The rate differential is not a subsidy -- it is actuarially justified risk pricing. We also structure a phased launch: first 6 months at standard rate for certified borrowers (to validate NPL comparison internally), then introduce the preferential rate once RDB's own portfolio data confirms the hypothesis.</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Rainforest Alliance audit backlog delays certification</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RA's global auditor network has 6-12 month backlogs in South Asia. Farmers may wait too long for the certificate, making the Transition Loan repayment alignment difficult.</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We build a panel of three certifiers (RA + Control Union + Fairtrade) so we can redirect when RA is backed up. SL-GAP (free, DoA-administered) has no backlog and can be issued within 90 days -- we use it as the entry-level qualification for RDB's Product B while farmers await RA certification. Gap analysis and transition loan income begin immediately regardless of audit timeline.</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Farmers cannot afford the certification modernisation capex</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Drip irrigation, shade trees, compost systems -- the practice changes required for RA or organic certification have upfront costs that smallholders cannot self-finance.</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This is exactly what Product A (Certification Transition Loan) is designed to solve. The loan finances the practice changes. The certification premium income repays the loan. The key is sequencing: transition loan first, then certification, then preferential rate. We also identify government grant programmes (DAPH, EDB, USAID, GIZ SWITCH-Asia) that co-finance certification modernisation -- reducing the loan requirement per farmer.</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Certified premium prices fall or EU buyers exit</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If the RA or organic price premium collapses, certified farmer income falls and loan repayment capacity decreases. This is a commodity risk the preferential rate does not eliminate.</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We diversify certifications across multiple markets and standards: RA for EU tea buyers, SL-GAP for domestic supermarkets (Keells, Cargills), GlobalG.A.P. for export vegetables, ASC for seafood. No single certification stream represents more than 40% of our brokerage pipeline. The climate resilience argument remains valid regardless of premium prices: certified farming practices reduce NPL risk from weather events independent of market prices.</w:t>
            </w:r>
          </w:p>
        </w:tc>
      </w:tr>
      <w:tr>
        <w:tc>
          <w:tcPr>
            <w:tcW w:type="dxa" w:w="24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0F5C2E"/>
                <w:sz w:val="18"/>
                <w:szCs w:val="18"/>
              </w:rPr>
              <w:t xml:space="preserve">RDB treats the certified farmer database as a direct channel and cuts us out</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After we deliver the certified farmer registry and loan pipeline, RDB could build its own certification verification system and originate directly, eliminating the referral commission.</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We maintain exclusive ongoing certification management for the farmer pipeline -- our relationship with farmers, certifiers, and estates is the source of the leads, not a database we hand over. The retainer with RDB covers annual certified farmer pipeline management. Our brokerage relationship with the farmer is independent of RDB and cannot be disintermediated.</w:t>
            </w:r>
          </w:p>
        </w:tc>
      </w:tr>
    </w:tbl>
    <w:p>
      <w:pPr>
        <w:spacing w:before="120" w:after="120"/>
      </w:pPr>
      <w:r>
        <w:rPr>
          <w:rFonts w:ascii="Arial" w:cs="Arial" w:eastAsia="Arial" w:hAnsi="Arial"/>
          <w:b w:val="false"/>
          <w:bCs w:val="false"/>
          <w:color w:val="333333"/>
          <w:sz w:val="20"/>
          <w:szCs w:val="20"/>
        </w:rPr>
        <w:t xml:space="preserve"> </w:t>
      </w:r>
    </w:p>
    <w:p>
      <w:pPr>
        <w:pBdr>
          <w:bottom w:val="single" w:color="0F5C2E" w:sz="4" w:space="1"/>
        </w:pBdr>
        <w:spacing w:before="140" w:after="140"/>
      </w:pPr>
      <w:r>
        <w:rPr>
          <w:rFonts w:ascii="Arial" w:cs="Arial" w:eastAsia="Arial" w:hAnsi="Arial"/>
          <w:b w:val="false"/>
          <w:bCs w:val="false"/>
          <w:color w:val="333333"/>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F5C2E" w:val="clear"/>
            <w:tcMar>
              <w:top w:type="dxa" w:w="240"/>
              <w:left w:type="dxa" w:w="280"/>
              <w:bottom w:type="dxa" w:w="240"/>
              <w:right w:type="dxa" w:w="280"/>
            </w:tcMar>
          </w:tcPr>
          <w:p>
            <w:pPr>
              <w:spacing w:before="80" w:after="80"/>
            </w:pPr>
            <w:r>
              <w:rPr>
                <w:rFonts w:ascii="Arial" w:cs="Arial" w:eastAsia="Arial" w:hAnsi="Arial"/>
                <w:b/>
                <w:bCs/>
                <w:color w:val="C8960C"/>
                <w:sz w:val="26"/>
                <w:szCs w:val="26"/>
              </w:rPr>
              <w:t xml:space="preserve">HOW THIS MODULE CONNECTS TO EVERYTHING ELSE</w:t>
            </w:r>
          </w:p>
          <w:p>
            <w:pPr>
              <w:spacing w:before="60" w:after="60"/>
            </w:pPr>
            <w:r>
              <w:rPr>
                <w:rFonts w:ascii="Arial" w:cs="Arial" w:eastAsia="Arial" w:hAnsi="Arial"/>
                <w:b w:val="false"/>
                <w:bCs w:val="false"/>
                <w:color w:val="333333"/>
                <w:sz w:val="20"/>
                <w:szCs w:val="20"/>
              </w:rPr>
              <w:t xml:space="preserve"> </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4760"/>
              <w:gridCol w:w="4760"/>
            </w:tblGrid>
            <w:tr>
              <w:tc>
                <w:tcPr>
                  <w:tcW w:type="dxa" w:w="4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spacing w:before="80" w:after="80"/>
                  </w:pPr>
                  <w:r>
                    <w:rPr>
                      <w:rFonts w:ascii="Arial" w:cs="Arial" w:eastAsia="Arial" w:hAnsi="Arial"/>
                      <w:b/>
                      <w:bCs/>
                      <w:color w:val="C8960C"/>
                      <w:sz w:val="18"/>
                      <w:szCs w:val="18"/>
                    </w:rPr>
                    <w:t xml:space="preserve">This module feeds into:</w:t>
                  </w:r>
                </w:p>
                <w:p>
                  <w:pPr>
                    <w:spacing w:before="80" w:after="80"/>
                  </w:pPr>
                  <w:r>
                    <w:rPr>
                      <w:rFonts w:ascii="Arial" w:cs="Arial" w:eastAsia="Arial" w:hAnsi="Arial"/>
                      <w:b w:val="false"/>
                      <w:bCs w:val="false"/>
                      <w:color w:val="FFFFFF"/>
                      <w:sz w:val="18"/>
                      <w:szCs w:val="18"/>
                    </w:rPr>
                    <w:t xml:space="preserve">Climate Risk (SLFRS S2 module): Certified farmer loans are lower physical climate risk. They are the highest-quality assets in RDB's green loan portfolio and the first assets to feature in the SLFRS S2 Metrics section.</w:t>
                  </w:r>
                </w:p>
                <w:p>
                  <w:pPr>
                    <w:spacing w:before="80" w:after="80"/>
                  </w:pPr>
                  <w:r>
                    <w:rPr>
                      <w:rFonts w:ascii="Arial" w:cs="Arial" w:eastAsia="Arial" w:hAnsi="Arial"/>
                      <w:b w:val="false"/>
                      <w:bCs w:val="false"/>
                      <w:color w:val="FFFFFF"/>
                      <w:sz w:val="18"/>
                      <w:szCs w:val="18"/>
                    </w:rPr>
                    <w:t xml:space="preserve">Green Bond: Certified farmer loans are the 'Social' eligible category in RDB's Sustainability Bond Framework -- directly qualifying under social use-of-proceeds for smallholder income improvement and food security.</w:t>
                  </w:r>
                </w:p>
                <w:p>
                  <w:pPr>
                    <w:spacing w:before="80" w:after="80"/>
                  </w:pPr>
                  <w:r>
                    <w:rPr>
                      <w:rFonts w:ascii="Arial" w:cs="Arial" w:eastAsia="Arial" w:hAnsi="Arial"/>
                      <w:b w:val="false"/>
                      <w:bCs w:val="false"/>
                      <w:color w:val="FFFFFF"/>
                      <w:sz w:val="18"/>
                      <w:szCs w:val="18"/>
                    </w:rPr>
                    <w:t xml:space="preserve">Export Certification Broker (Main Brief #2): The same certification pipeline that creates RDB borrowers also creates export-ready suppliers for EU buyers. The farm certification we broker for RDB also generates Opportunity #2 fees from the estate company.</w:t>
                  </w:r>
                </w:p>
                <w:p>
                  <w:pPr>
                    <w:spacing w:before="0" w:after="0"/>
                  </w:pPr>
                  <w:r>
                    <w:rPr>
                      <w:rFonts w:ascii="Arial" w:cs="Arial" w:eastAsia="Arial" w:hAnsi="Arial"/>
                      <w:b w:val="false"/>
                      <w:bCs w:val="false"/>
                      <w:color w:val="FFFFFF"/>
                      <w:sz w:val="18"/>
                      <w:szCs w:val="18"/>
                    </w:rPr>
                    <w:t xml:space="preserve">Traceability (Main Brief #8): EUDR traceability documentation for rubber and cinnamon is embedded in our certification brokerage -- one engagement, two service lines billed.</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spacing w:before="80" w:after="80"/>
                  </w:pPr>
                  <w:r>
                    <w:rPr>
                      <w:rFonts w:ascii="Arial" w:cs="Arial" w:eastAsia="Arial" w:hAnsi="Arial"/>
                      <w:b/>
                      <w:bCs/>
                      <w:color w:val="C8960C"/>
                      <w:sz w:val="18"/>
                      <w:szCs w:val="18"/>
                    </w:rPr>
                    <w:t xml:space="preserve">Named First Targets -- Certification Brokerage:</w:t>
                  </w:r>
                </w:p>
                <w:p>
                  <w:pPr>
                    <w:spacing w:before="80" w:after="80"/>
                  </w:pPr>
                  <w:r>
                    <w:rPr>
                      <w:rFonts w:ascii="Arial" w:cs="Arial" w:eastAsia="Arial" w:hAnsi="Arial"/>
                      <w:b w:val="false"/>
                      <w:bCs w:val="false"/>
                      <w:color w:val="FFFFFF"/>
                      <w:sz w:val="18"/>
                      <w:szCs w:val="18"/>
                    </w:rPr>
                    <w:t xml:space="preserve">Hayleys Plantations (60 estates, many partially RA-certified -- complete the portfolio). Finlays Tea Estates Lanka (26 estates). Bogawantalawa Tea Estates PLC (CSE-listed). Kotagala Plantations PLC. Cargills Ceylon vegetable supply chain (already proven via FAO programme -- 89 certified farmers ready to scale). Ceylon Cinnamon Ltd and NCEA member exporters (EU/EUDR urgency).</w:t>
                  </w:r>
                </w:p>
                <w:p>
                  <w:pPr>
                    <w:spacing w:before="30" w:after="30"/>
                  </w:pPr>
                  <w:r>
                    <w:rPr>
                      <w:rFonts w:ascii="Arial" w:cs="Arial" w:eastAsia="Arial" w:hAnsi="Arial"/>
                      <w:b w:val="false"/>
                      <w:bCs w:val="false"/>
                      <w:color w:val="333333"/>
                      <w:sz w:val="20"/>
                      <w:szCs w:val="20"/>
                    </w:rPr>
                    <w:t xml:space="preserve"> </w:t>
                  </w:r>
                </w:p>
                <w:p>
                  <w:pPr>
                    <w:spacing w:before="80" w:after="80"/>
                  </w:pPr>
                  <w:r>
                    <w:rPr>
                      <w:rFonts w:ascii="Arial" w:cs="Arial" w:eastAsia="Arial" w:hAnsi="Arial"/>
                      <w:b/>
                      <w:bCs/>
                      <w:color w:val="C8960C"/>
                      <w:sz w:val="18"/>
                      <w:szCs w:val="18"/>
                    </w:rPr>
                    <w:t xml:space="preserve">Named First Targets -- RDB Product Referrals:</w:t>
                  </w:r>
                </w:p>
                <w:p>
                  <w:pPr>
                    <w:spacing w:before="0" w:after="0"/>
                  </w:pPr>
                  <w:r>
                    <w:rPr>
                      <w:rFonts w:ascii="Arial" w:cs="Arial" w:eastAsia="Arial" w:hAnsi="Arial"/>
                      <w:b w:val="false"/>
                      <w:bCs w:val="false"/>
                      <w:color w:val="FFFFFF"/>
                      <w:sz w:val="18"/>
                      <w:szCs w:val="18"/>
                    </w:rPr>
                    <w:t xml:space="preserve">Existing RDB borrowers in Nuwara Eliya and Kandy tea districts. Post-Ditwah recovery loan applicants in Eastern Province paddy districts. Cinnamon cooperative members in Galle and Matara. These exist in RDB's portfolio today -- we surface them with the certification lens.</w:t>
                  </w:r>
                </w:p>
              </w:tc>
            </w:tr>
          </w:tbl>
          <w:p>
            <w:pPr>
              <w:spacing w:before="60" w:after="60"/>
            </w:pPr>
            <w:r>
              <w:rPr>
                <w:rFonts w:ascii="Arial" w:cs="Arial" w:eastAsia="Arial" w:hAnsi="Arial"/>
                <w:b w:val="false"/>
                <w:bCs w:val="false"/>
                <w:color w:val="333333"/>
                <w:sz w:val="20"/>
                <w:szCs w:val="20"/>
              </w:rPr>
              <w:t xml:space="preserve"> </w:t>
            </w:r>
          </w:p>
          <w:p>
            <w:pPr>
              <w:spacing w:before="0" w:after="0"/>
            </w:pPr>
            <w:r>
              <w:rPr>
                <w:rFonts w:ascii="Arial" w:cs="Arial" w:eastAsia="Arial" w:hAnsi="Arial"/>
                <w:b/>
                <w:bCs/>
                <w:color w:val="C8960C"/>
                <w:sz w:val="22"/>
                <w:szCs w:val="22"/>
              </w:rPr>
              <w:t xml:space="preserve">The certified agricultural finance marketplace does not exist in Sri Lanka. No bank is doing this. No broker is doing this. We build it with RDB. In 24 months, we own the relationship between Sri Lanka's certified farming sector and its development bank. That relationship is worth far more than any individual fee.</w:t>
            </w:r>
          </w:p>
        </w:tc>
      </w:tr>
    </w:tbl>
    <w:p>
      <w:pPr>
        <w:spacing w:before="60" w:after="60"/>
      </w:pPr>
      <w:r>
        <w:rPr>
          <w:rFonts w:ascii="Arial" w:cs="Arial" w:eastAsia="Arial" w:hAnsi="Arial"/>
          <w:b w:val="false"/>
          <w:bCs w:val="false"/>
          <w:color w:val="333333"/>
          <w:sz w:val="20"/>
          <w:szCs w:val="20"/>
        </w:rPr>
        <w:t xml:space="preserve"> </w:t>
      </w:r>
    </w:p>
    <w:p>
      <w:pPr>
        <w:spacing w:before="80" w:after="80"/>
      </w:pPr>
      <w:r>
        <w:rPr>
          <w:rFonts w:ascii="Arial" w:cs="Arial" w:eastAsia="Arial" w:hAnsi="Arial"/>
          <w:b w:val="false"/>
          <w:bCs w:val="false"/>
          <w:color w:val="888888"/>
          <w:sz w:val="18"/>
          <w:szCs w:val="18"/>
        </w:rPr>
        <w:t xml:space="preserve">Document prepared February 2026. For internal use only. Research sourced from Rabobank Planet Impact Loan documentation, Rabo AgriFinance Organic Transition Loan announcement (2019), Root Capital Annual Report 2024, Rainforest Alliance Sustainable Finance Initiative, FAO/DoA/Cargills Ceylon GAP programme case study, NABARD Annual Reports, CBSL Sustainable Finance Roadmap 2.0 (May 2025), Sri Lanka Department of Agriculture SL-GAP programme data, and peer-reviewed research on RA certification outcomes for Sri Lankan tea smallholders.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5C"/>
      <w:sz w:val="38"/>
      <w:szCs w:val="38"/>
    </w:rPr>
  </w:style>
  <w:style w:type="paragraph" w:styleId="Heading2">
    <w:name w:val="Heading 2"/>
    <w:basedOn w:val="Normal"/>
    <w:next w:val="Normal"/>
    <w:qFormat/>
    <w:pPr>
      <w:spacing w:before="220" w:after="100"/>
      <w:outlineLvl w:val="1"/>
    </w:pPr>
    <w:rPr>
      <w:rFonts w:ascii="Arial" w:cs="Arial" w:eastAsia="Arial" w:hAnsi="Arial"/>
      <w:b/>
      <w:bCs/>
      <w:color w:val="0F5C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2026-02-24T07:06:04.694Z</dcterms:created>
  <dcterms:modified xsi:type="dcterms:W3CDTF">2026-02-24T07:06:04.694Z</dcterms:modified>
</cp:coreProperties>
</file>

<file path=docProps/custom.xml><?xml version="1.0" encoding="utf-8"?>
<Properties xmlns="http://schemas.openxmlformats.org/officeDocument/2006/custom-properties" xmlns:vt="http://schemas.openxmlformats.org/officeDocument/2006/docPropsVTypes"/>
</file>