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83"/>
        <w:gridCol w:w="1719"/>
        <w:gridCol w:w="1719"/>
        <w:gridCol w:w="1597"/>
        <w:gridCol w:w="1597"/>
      </w:tblGrid>
      <w:tr>
        <w:trPr>
          <w:trHeight w:val="57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Frisklivssentral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Antall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vo2maks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(9.38)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 (6.04)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(6.01)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vo2maks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2640 (733)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2870 (771)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2750 (680)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2820 (671)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vo2maks (ml/min/m.m)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 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 (7.98)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 (7.25)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o2 puls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 (3.68)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(3.84)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(3.47)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(3.39)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puls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(15.2)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(0.0492)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(0.0117)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(0.0788)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(0.093)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pustefrekvens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 (8.71)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 (9.09)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 (8.27)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ventialsjon (L/min)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(32.5)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Tid til utmattelse 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(92.4)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 (90.7)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(126)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Borg ved Vo2maks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 (0.911)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Laktat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(2.14)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(2.45)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 (2.05)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 (2.51)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er gitt som gjennomsnitt og standardavvik.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2023-03-14T13:48:52Z</dcterms:modified>
  <cp:category/>
</cp:coreProperties>
</file>