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5FE82" w14:textId="77777777" w:rsidR="00AD34CD" w:rsidRDefault="00000000">
      <w:pPr>
        <w:pStyle w:val="BodyText1"/>
        <w:spacing w:after="80"/>
      </w:pPr>
      <w:r>
        <w:rPr>
          <w:b/>
          <w:sz w:val="20"/>
        </w:rPr>
        <w:t>ABB ACCELERATOR 2026</w:t>
      </w:r>
    </w:p>
    <w:p w14:paraId="1591C627" w14:textId="77777777" w:rsidR="00AD34CD" w:rsidRDefault="00000000">
      <w:pPr>
        <w:pStyle w:val="Title"/>
      </w:pPr>
      <w:r>
        <w:t>Sidekick predictive maintenance proposal</w:t>
      </w:r>
    </w:p>
    <w:p w14:paraId="146B82A3" w14:textId="0CA6186E" w:rsidR="00AD34CD" w:rsidRDefault="00000000">
      <w:pPr>
        <w:pStyle w:val="BodyText1"/>
        <w:spacing w:after="140"/>
      </w:pPr>
      <w:r>
        <w:rPr>
          <w:b/>
          <w:sz w:val="22"/>
        </w:rPr>
        <w:t xml:space="preserve">Theme </w:t>
      </w:r>
      <w:r w:rsidR="00407DC8">
        <w:rPr>
          <w:b/>
          <w:sz w:val="22"/>
        </w:rPr>
        <w:t>1 Agentic</w:t>
      </w:r>
      <w:r>
        <w:rPr>
          <w:b/>
          <w:sz w:val="22"/>
        </w:rPr>
        <w:t xml:space="preserve"> Predictive Maintenance Studio</w:t>
      </w:r>
    </w:p>
    <w:p w14:paraId="7B7F7117" w14:textId="77777777" w:rsidR="00AD34CD" w:rsidRDefault="00000000">
      <w:pPr>
        <w:pStyle w:val="BodyText1"/>
        <w:spacing w:after="180"/>
      </w:pPr>
      <w:r>
        <w:t>Sidekick helps engineers find out whether an equipment-failure model still gives useful warnings when its sensors become unreliable. It also tests whether retraining can reduce that weakness.</w:t>
      </w:r>
    </w:p>
    <w:tbl>
      <w:tblPr>
        <w:tblW w:w="10454" w:type="dxa"/>
        <w:tblCellMar>
          <w:left w:w="10" w:type="dxa"/>
          <w:right w:w="10" w:type="dxa"/>
        </w:tblCellMar>
        <w:tblLook w:val="0000" w:firstRow="0" w:lastRow="0" w:firstColumn="0" w:lastColumn="0" w:noHBand="0" w:noVBand="0"/>
      </w:tblPr>
      <w:tblGrid>
        <w:gridCol w:w="8654"/>
        <w:gridCol w:w="1800"/>
      </w:tblGrid>
      <w:tr w:rsidR="00AD34CD" w14:paraId="248BD58F" w14:textId="77777777">
        <w:tblPrEx>
          <w:tblCellMar>
            <w:top w:w="0" w:type="dxa"/>
            <w:bottom w:w="0" w:type="dxa"/>
          </w:tblCellMar>
        </w:tblPrEx>
        <w:tc>
          <w:tcPr>
            <w:tcW w:w="8654" w:type="dxa"/>
            <w:shd w:val="clear" w:color="auto" w:fill="C8102E"/>
            <w:tcMar>
              <w:top w:w="120" w:type="dxa"/>
              <w:left w:w="200" w:type="dxa"/>
              <w:bottom w:w="120" w:type="dxa"/>
              <w:right w:w="200" w:type="dxa"/>
            </w:tcMar>
            <w:vAlign w:val="center"/>
          </w:tcPr>
          <w:p w14:paraId="6322834D" w14:textId="367B3F66" w:rsidR="00AD34CD" w:rsidRDefault="00407DC8">
            <w:pPr>
              <w:keepNext/>
            </w:pPr>
            <w:r>
              <w:rPr>
                <w:b/>
                <w:bCs/>
                <w:color w:val="FFFFFF"/>
                <w:sz w:val="24"/>
                <w:szCs w:val="24"/>
              </w:rPr>
              <w:t>1 Team</w:t>
            </w:r>
            <w:r w:rsidR="00000000">
              <w:rPr>
                <w:b/>
                <w:bCs/>
                <w:color w:val="FFFFFF"/>
                <w:sz w:val="24"/>
                <w:szCs w:val="24"/>
              </w:rPr>
              <w:t xml:space="preserve"> Details</w:t>
            </w:r>
          </w:p>
        </w:tc>
        <w:tc>
          <w:tcPr>
            <w:tcW w:w="1800" w:type="dxa"/>
            <w:shd w:val="clear" w:color="auto" w:fill="0B0B14"/>
            <w:tcMar>
              <w:top w:w="120" w:type="dxa"/>
              <w:left w:w="100" w:type="dxa"/>
              <w:bottom w:w="120" w:type="dxa"/>
              <w:right w:w="100" w:type="dxa"/>
            </w:tcMar>
            <w:vAlign w:val="center"/>
          </w:tcPr>
          <w:p w14:paraId="3E141C3B" w14:textId="77777777" w:rsidR="00AD34CD" w:rsidRDefault="00000000">
            <w:pPr>
              <w:keepNext/>
              <w:jc w:val="center"/>
            </w:pPr>
            <w:r>
              <w:rPr>
                <w:b/>
                <w:bCs/>
                <w:color w:val="FFFFFF"/>
                <w:sz w:val="16"/>
                <w:szCs w:val="16"/>
              </w:rPr>
              <w:t>TEAM</w:t>
            </w:r>
          </w:p>
        </w:tc>
      </w:tr>
    </w:tbl>
    <w:p w14:paraId="238C856D" w14:textId="77777777" w:rsidR="00AD34CD" w:rsidRDefault="00AD34CD">
      <w:pPr>
        <w:pStyle w:val="BodyText1"/>
        <w:spacing w:after="40"/>
      </w:pPr>
    </w:p>
    <w:p w14:paraId="60E75C18" w14:textId="77777777" w:rsidR="00AD34CD" w:rsidRDefault="00000000">
      <w:pPr>
        <w:pStyle w:val="BodyText1"/>
        <w:spacing w:after="160"/>
      </w:pPr>
      <w:r>
        <w:t>Team Sidekick: Kareem Massoud and Adam Qablawi</w:t>
      </w:r>
    </w:p>
    <w:tbl>
      <w:tblPr>
        <w:tblW w:w="10454" w:type="dxa"/>
        <w:tblCellMar>
          <w:left w:w="10" w:type="dxa"/>
          <w:right w:w="10" w:type="dxa"/>
        </w:tblCellMar>
        <w:tblLook w:val="0000" w:firstRow="0" w:lastRow="0" w:firstColumn="0" w:lastColumn="0" w:noHBand="0" w:noVBand="0"/>
      </w:tblPr>
      <w:tblGrid>
        <w:gridCol w:w="8654"/>
        <w:gridCol w:w="1800"/>
      </w:tblGrid>
      <w:tr w:rsidR="00AD34CD" w14:paraId="73C64B71" w14:textId="77777777">
        <w:tblPrEx>
          <w:tblCellMar>
            <w:top w:w="0" w:type="dxa"/>
            <w:bottom w:w="0" w:type="dxa"/>
          </w:tblCellMar>
        </w:tblPrEx>
        <w:tc>
          <w:tcPr>
            <w:tcW w:w="8654" w:type="dxa"/>
            <w:shd w:val="clear" w:color="auto" w:fill="C8102E"/>
            <w:tcMar>
              <w:top w:w="120" w:type="dxa"/>
              <w:left w:w="200" w:type="dxa"/>
              <w:bottom w:w="120" w:type="dxa"/>
              <w:right w:w="200" w:type="dxa"/>
            </w:tcMar>
            <w:vAlign w:val="center"/>
          </w:tcPr>
          <w:p w14:paraId="26C4F916" w14:textId="646ACE81" w:rsidR="00AD34CD" w:rsidRDefault="00407DC8">
            <w:pPr>
              <w:keepNext/>
            </w:pPr>
            <w:r>
              <w:rPr>
                <w:b/>
                <w:bCs/>
                <w:color w:val="FFFFFF"/>
                <w:sz w:val="24"/>
                <w:szCs w:val="24"/>
              </w:rPr>
              <w:t>2 Problem</w:t>
            </w:r>
            <w:r w:rsidR="00000000">
              <w:rPr>
                <w:b/>
                <w:bCs/>
                <w:color w:val="FFFFFF"/>
                <w:sz w:val="24"/>
                <w:szCs w:val="24"/>
              </w:rPr>
              <w:t xml:space="preserve"> Statement and Relevance</w:t>
            </w:r>
          </w:p>
        </w:tc>
        <w:tc>
          <w:tcPr>
            <w:tcW w:w="1800" w:type="dxa"/>
            <w:shd w:val="clear" w:color="auto" w:fill="0B0B14"/>
            <w:tcMar>
              <w:top w:w="120" w:type="dxa"/>
              <w:left w:w="100" w:type="dxa"/>
              <w:bottom w:w="120" w:type="dxa"/>
              <w:right w:w="100" w:type="dxa"/>
            </w:tcMar>
            <w:vAlign w:val="center"/>
          </w:tcPr>
          <w:p w14:paraId="6D9477D6" w14:textId="77777777" w:rsidR="00AD34CD" w:rsidRDefault="00000000">
            <w:pPr>
              <w:keepNext/>
              <w:jc w:val="center"/>
            </w:pPr>
            <w:r>
              <w:rPr>
                <w:b/>
                <w:bCs/>
                <w:color w:val="FFFFFF"/>
                <w:sz w:val="16"/>
                <w:szCs w:val="16"/>
              </w:rPr>
              <w:t>CONTEXT</w:t>
            </w:r>
          </w:p>
        </w:tc>
      </w:tr>
    </w:tbl>
    <w:p w14:paraId="19493440" w14:textId="77777777" w:rsidR="00AD34CD" w:rsidRDefault="00AD34CD">
      <w:pPr>
        <w:pStyle w:val="BodyText1"/>
        <w:spacing w:after="40"/>
      </w:pPr>
    </w:p>
    <w:p w14:paraId="28663B04" w14:textId="77777777" w:rsidR="00AD34CD" w:rsidRDefault="00000000">
      <w:pPr>
        <w:pStyle w:val="BodyText1"/>
      </w:pPr>
      <w:r>
        <w:t>A failing machine can look healthy to a prediction model if an important sensor freezes at a normal reading. An engineer reviewing only the original test score may never see that weakness. The consequences could be a missed inspection or an unexpected shutdown.</w:t>
      </w:r>
    </w:p>
    <w:p w14:paraId="74F2D208" w14:textId="77777777" w:rsidR="00AD34CD" w:rsidRDefault="00000000">
      <w:pPr>
        <w:pStyle w:val="BodyText1"/>
      </w:pPr>
      <w:r>
        <w:t>Checking this properly takes more than training a classifier. Someone must prepare the sensor history, define what counts as a useful warning, reproduce sensor faults, and compare the resulting alerts. Sidekick brings that work into one application for maintenance and reliability engineers.</w:t>
      </w:r>
    </w:p>
    <w:p w14:paraId="227064FC" w14:textId="77777777" w:rsidR="00AD34CD" w:rsidRDefault="00000000">
      <w:pPr>
        <w:pStyle w:val="BodyText1"/>
      </w:pPr>
      <w:r>
        <w:t>The intended benefit is a better model-selection decision: an engineer can see which faults affect the warnings, whether a proposed fix helps, and what remains uncertain before arranging a plant trial.</w:t>
      </w:r>
    </w:p>
    <w:tbl>
      <w:tblPr>
        <w:tblW w:w="10454" w:type="dxa"/>
        <w:tblCellMar>
          <w:left w:w="10" w:type="dxa"/>
          <w:right w:w="10" w:type="dxa"/>
        </w:tblCellMar>
        <w:tblLook w:val="0000" w:firstRow="0" w:lastRow="0" w:firstColumn="0" w:lastColumn="0" w:noHBand="0" w:noVBand="0"/>
      </w:tblPr>
      <w:tblGrid>
        <w:gridCol w:w="8654"/>
        <w:gridCol w:w="1800"/>
      </w:tblGrid>
      <w:tr w:rsidR="00AD34CD" w14:paraId="1A7B15C0" w14:textId="77777777">
        <w:tblPrEx>
          <w:tblCellMar>
            <w:top w:w="0" w:type="dxa"/>
            <w:bottom w:w="0" w:type="dxa"/>
          </w:tblCellMar>
        </w:tblPrEx>
        <w:tc>
          <w:tcPr>
            <w:tcW w:w="8654" w:type="dxa"/>
            <w:shd w:val="clear" w:color="auto" w:fill="C8102E"/>
            <w:tcMar>
              <w:top w:w="120" w:type="dxa"/>
              <w:left w:w="200" w:type="dxa"/>
              <w:bottom w:w="120" w:type="dxa"/>
              <w:right w:w="200" w:type="dxa"/>
            </w:tcMar>
            <w:vAlign w:val="center"/>
          </w:tcPr>
          <w:p w14:paraId="4CDED690" w14:textId="214AB74E" w:rsidR="00AD34CD" w:rsidRDefault="00407DC8">
            <w:pPr>
              <w:keepNext/>
            </w:pPr>
            <w:r>
              <w:rPr>
                <w:b/>
                <w:bCs/>
                <w:color w:val="FFFFFF"/>
                <w:sz w:val="24"/>
                <w:szCs w:val="24"/>
              </w:rPr>
              <w:t>3 Idea</w:t>
            </w:r>
            <w:r w:rsidR="00000000">
              <w:rPr>
                <w:b/>
                <w:bCs/>
                <w:color w:val="FFFFFF"/>
                <w:sz w:val="24"/>
                <w:szCs w:val="24"/>
              </w:rPr>
              <w:t xml:space="preserve"> and Approach</w:t>
            </w:r>
          </w:p>
        </w:tc>
        <w:tc>
          <w:tcPr>
            <w:tcW w:w="1800" w:type="dxa"/>
            <w:shd w:val="clear" w:color="auto" w:fill="0B0B14"/>
            <w:tcMar>
              <w:top w:w="120" w:type="dxa"/>
              <w:left w:w="100" w:type="dxa"/>
              <w:bottom w:w="120" w:type="dxa"/>
              <w:right w:w="100" w:type="dxa"/>
            </w:tcMar>
            <w:vAlign w:val="center"/>
          </w:tcPr>
          <w:p w14:paraId="1BDA22F0" w14:textId="77777777" w:rsidR="00AD34CD" w:rsidRDefault="00000000">
            <w:pPr>
              <w:keepNext/>
              <w:jc w:val="center"/>
            </w:pPr>
            <w:r>
              <w:rPr>
                <w:b/>
                <w:bCs/>
                <w:color w:val="FFFFFF"/>
                <w:sz w:val="16"/>
                <w:szCs w:val="16"/>
              </w:rPr>
              <w:t>SOLUTION</w:t>
            </w:r>
          </w:p>
        </w:tc>
      </w:tr>
    </w:tbl>
    <w:p w14:paraId="7EFE21F1" w14:textId="77777777" w:rsidR="00AD34CD" w:rsidRDefault="00AD34CD">
      <w:pPr>
        <w:pStyle w:val="BodyText1"/>
        <w:spacing w:after="40"/>
      </w:pPr>
    </w:p>
    <w:p w14:paraId="7669076B" w14:textId="77777777" w:rsidR="00AD34CD" w:rsidRDefault="00000000">
      <w:pPr>
        <w:pStyle w:val="BodyText1"/>
      </w:pPr>
      <w:r>
        <w:t>The engineer uploads sensor histories and describes the maintenance question. Sidekick checks the data, trains a small set of candidates, and tests the same faults against each one. If a model depends too heavily on a sensor, it evaluates a version trained with corrupted readings as a possible remedy.</w:t>
      </w:r>
    </w:p>
    <w:p w14:paraId="364E913A" w14:textId="77777777" w:rsidR="00AD34CD" w:rsidRDefault="00000000">
      <w:pPr>
        <w:pStyle w:val="BodyText1"/>
      </w:pPr>
      <w:r>
        <w:t>A replay view shows the original and altered sensor streams beside the model alerts. The engineer can ask, "Which model still warns early enough when this sensor freezes?" The assistant retrieves the relevant runs and explains the tradeoff. Every reported measurement links back to a stored result.</w:t>
      </w:r>
    </w:p>
    <w:p w14:paraId="7F26338F" w14:textId="77777777" w:rsidR="00AD34CD" w:rsidRDefault="00000000">
      <w:pPr>
        <w:pStyle w:val="Heading2"/>
        <w:spacing w:after="100"/>
      </w:pPr>
      <w:r>
        <w:t>Three views in the prototype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944"/>
        <w:gridCol w:w="8424"/>
      </w:tblGrid>
      <w:tr w:rsidR="00AD34CD" w14:paraId="6F5B2F76" w14:textId="77777777">
        <w:tblPrEx>
          <w:tblCellMar>
            <w:top w:w="0" w:type="dxa"/>
            <w:bottom w:w="0" w:type="dxa"/>
          </w:tblCellMar>
        </w:tblPrEx>
        <w:trPr>
          <w:cantSplit/>
          <w:tblHeader/>
          <w:jc w:val="center"/>
        </w:trPr>
        <w:tc>
          <w:tcPr>
            <w:tcW w:w="1944" w:type="dxa"/>
            <w:shd w:val="clear" w:color="auto" w:fill="0B0B14"/>
            <w:tcMar>
              <w:top w:w="75" w:type="dxa"/>
              <w:left w:w="95" w:type="dxa"/>
              <w:bottom w:w="75" w:type="dxa"/>
              <w:right w:w="95" w:type="dxa"/>
            </w:tcMar>
            <w:vAlign w:val="center"/>
          </w:tcPr>
          <w:p w14:paraId="7794FED0" w14:textId="77777777" w:rsidR="00AD34CD" w:rsidRDefault="00000000">
            <w:pPr>
              <w:pStyle w:val="BodyText1"/>
              <w:spacing w:after="0" w:line="240" w:lineRule="auto"/>
            </w:pPr>
            <w:r>
              <w:rPr>
                <w:b/>
                <w:color w:val="FFFFFF"/>
                <w:sz w:val="19"/>
              </w:rPr>
              <w:t>View</w:t>
            </w:r>
          </w:p>
        </w:tc>
        <w:tc>
          <w:tcPr>
            <w:tcW w:w="8424" w:type="dxa"/>
            <w:shd w:val="clear" w:color="auto" w:fill="0B0B14"/>
            <w:tcMar>
              <w:top w:w="75" w:type="dxa"/>
              <w:left w:w="95" w:type="dxa"/>
              <w:bottom w:w="75" w:type="dxa"/>
              <w:right w:w="95" w:type="dxa"/>
            </w:tcMar>
            <w:vAlign w:val="center"/>
          </w:tcPr>
          <w:p w14:paraId="2A007A29" w14:textId="77777777" w:rsidR="00AD34CD" w:rsidRDefault="00000000">
            <w:pPr>
              <w:pStyle w:val="BodyText1"/>
              <w:spacing w:after="0" w:line="240" w:lineRule="auto"/>
            </w:pPr>
            <w:r>
              <w:rPr>
                <w:b/>
                <w:color w:val="FFFFFF"/>
                <w:sz w:val="19"/>
              </w:rPr>
              <w:t>What the engineer can do</w:t>
            </w:r>
          </w:p>
        </w:tc>
      </w:tr>
      <w:tr w:rsidR="00AD34CD" w14:paraId="7CA754FB" w14:textId="77777777">
        <w:tblPrEx>
          <w:tblCellMar>
            <w:top w:w="0" w:type="dxa"/>
            <w:bottom w:w="0" w:type="dxa"/>
          </w:tblCellMar>
        </w:tblPrEx>
        <w:trPr>
          <w:cantSplit/>
          <w:jc w:val="center"/>
        </w:trPr>
        <w:tc>
          <w:tcPr>
            <w:tcW w:w="1944" w:type="dxa"/>
            <w:shd w:val="clear" w:color="auto" w:fill="F3F3F3"/>
            <w:tcMar>
              <w:top w:w="75" w:type="dxa"/>
              <w:left w:w="95" w:type="dxa"/>
              <w:bottom w:w="75" w:type="dxa"/>
              <w:right w:w="95" w:type="dxa"/>
            </w:tcMar>
            <w:vAlign w:val="center"/>
          </w:tcPr>
          <w:p w14:paraId="1838C764" w14:textId="77777777" w:rsidR="00AD34CD" w:rsidRDefault="00000000">
            <w:pPr>
              <w:pStyle w:val="BodyText1"/>
              <w:spacing w:after="0" w:line="240" w:lineRule="auto"/>
            </w:pPr>
            <w:r>
              <w:rPr>
                <w:sz w:val="19"/>
              </w:rPr>
              <w:t>Data setup</w:t>
            </w:r>
          </w:p>
        </w:tc>
        <w:tc>
          <w:tcPr>
            <w:tcW w:w="8424" w:type="dxa"/>
            <w:shd w:val="clear" w:color="auto" w:fill="F3F3F3"/>
            <w:tcMar>
              <w:top w:w="75" w:type="dxa"/>
              <w:left w:w="95" w:type="dxa"/>
              <w:bottom w:w="75" w:type="dxa"/>
              <w:right w:w="95" w:type="dxa"/>
            </w:tcMar>
            <w:vAlign w:val="center"/>
          </w:tcPr>
          <w:p w14:paraId="5546152D" w14:textId="77777777" w:rsidR="00AD34CD" w:rsidRDefault="00000000">
            <w:pPr>
              <w:pStyle w:val="BodyText1"/>
              <w:spacing w:after="0" w:line="240" w:lineRule="auto"/>
            </w:pPr>
            <w:r>
              <w:rPr>
                <w:sz w:val="19"/>
              </w:rPr>
              <w:t>Confirm column mappings, inspect missing or constant readings, and set the prediction horizon and alert requirements.</w:t>
            </w:r>
          </w:p>
        </w:tc>
      </w:tr>
      <w:tr w:rsidR="00AD34CD" w14:paraId="1449F4A3" w14:textId="77777777">
        <w:tblPrEx>
          <w:tblCellMar>
            <w:top w:w="0" w:type="dxa"/>
            <w:bottom w:w="0" w:type="dxa"/>
          </w:tblCellMar>
        </w:tblPrEx>
        <w:trPr>
          <w:cantSplit/>
          <w:jc w:val="center"/>
        </w:trPr>
        <w:tc>
          <w:tcPr>
            <w:tcW w:w="1944" w:type="dxa"/>
            <w:shd w:val="clear" w:color="auto" w:fill="FFFFFF"/>
            <w:tcMar>
              <w:top w:w="75" w:type="dxa"/>
              <w:left w:w="95" w:type="dxa"/>
              <w:bottom w:w="75" w:type="dxa"/>
              <w:right w:w="95" w:type="dxa"/>
            </w:tcMar>
            <w:vAlign w:val="center"/>
          </w:tcPr>
          <w:p w14:paraId="3A742821" w14:textId="77777777" w:rsidR="00AD34CD" w:rsidRDefault="00000000">
            <w:pPr>
              <w:pStyle w:val="BodyText1"/>
              <w:spacing w:after="0" w:line="240" w:lineRule="auto"/>
            </w:pPr>
            <w:r>
              <w:rPr>
                <w:sz w:val="19"/>
              </w:rPr>
              <w:t>Model comparison</w:t>
            </w:r>
          </w:p>
        </w:tc>
        <w:tc>
          <w:tcPr>
            <w:tcW w:w="8424" w:type="dxa"/>
            <w:shd w:val="clear" w:color="auto" w:fill="FFFFFF"/>
            <w:tcMar>
              <w:top w:w="75" w:type="dxa"/>
              <w:left w:w="95" w:type="dxa"/>
              <w:bottom w:w="75" w:type="dxa"/>
              <w:right w:w="95" w:type="dxa"/>
            </w:tcMar>
            <w:vAlign w:val="center"/>
          </w:tcPr>
          <w:p w14:paraId="15345913" w14:textId="77777777" w:rsidR="00AD34CD" w:rsidRDefault="00000000">
            <w:pPr>
              <w:pStyle w:val="BodyText1"/>
              <w:spacing w:after="0" w:line="240" w:lineRule="auto"/>
            </w:pPr>
            <w:r>
              <w:rPr>
                <w:sz w:val="19"/>
              </w:rPr>
              <w:t>Compare clean and faulted performance, inspect uncertainty, and open the results behind a recommendation.</w:t>
            </w:r>
          </w:p>
        </w:tc>
      </w:tr>
      <w:tr w:rsidR="00AD34CD" w14:paraId="1241EEC2" w14:textId="77777777">
        <w:tblPrEx>
          <w:tblCellMar>
            <w:top w:w="0" w:type="dxa"/>
            <w:bottom w:w="0" w:type="dxa"/>
          </w:tblCellMar>
        </w:tblPrEx>
        <w:trPr>
          <w:cantSplit/>
          <w:jc w:val="center"/>
        </w:trPr>
        <w:tc>
          <w:tcPr>
            <w:tcW w:w="1944" w:type="dxa"/>
            <w:shd w:val="clear" w:color="auto" w:fill="F3F3F3"/>
            <w:tcMar>
              <w:top w:w="75" w:type="dxa"/>
              <w:left w:w="95" w:type="dxa"/>
              <w:bottom w:w="75" w:type="dxa"/>
              <w:right w:w="95" w:type="dxa"/>
            </w:tcMar>
            <w:vAlign w:val="center"/>
          </w:tcPr>
          <w:p w14:paraId="743AD6AC" w14:textId="77777777" w:rsidR="00AD34CD" w:rsidRDefault="00000000">
            <w:pPr>
              <w:pStyle w:val="BodyText1"/>
              <w:spacing w:after="0" w:line="240" w:lineRule="auto"/>
            </w:pPr>
            <w:r>
              <w:rPr>
                <w:sz w:val="19"/>
              </w:rPr>
              <w:t>Warning replay</w:t>
            </w:r>
          </w:p>
        </w:tc>
        <w:tc>
          <w:tcPr>
            <w:tcW w:w="8424" w:type="dxa"/>
            <w:shd w:val="clear" w:color="auto" w:fill="F3F3F3"/>
            <w:tcMar>
              <w:top w:w="75" w:type="dxa"/>
              <w:left w:w="95" w:type="dxa"/>
              <w:bottom w:w="75" w:type="dxa"/>
              <w:right w:w="95" w:type="dxa"/>
            </w:tcMar>
            <w:vAlign w:val="center"/>
          </w:tcPr>
          <w:p w14:paraId="104A6CF0" w14:textId="77777777" w:rsidR="00AD34CD" w:rsidRDefault="00000000">
            <w:pPr>
              <w:pStyle w:val="BodyText1"/>
              <w:spacing w:after="0" w:line="240" w:lineRule="auto"/>
            </w:pPr>
            <w:r>
              <w:rPr>
                <w:sz w:val="19"/>
              </w:rPr>
              <w:t>Select an engine and fault, follow its alerts over time, inspect the signals behind a prediction, and export the selected model.</w:t>
            </w:r>
          </w:p>
        </w:tc>
      </w:tr>
    </w:tbl>
    <w:p w14:paraId="06714B77" w14:textId="77777777" w:rsidR="00AD34CD" w:rsidRDefault="00AD34CD">
      <w:pPr>
        <w:pStyle w:val="BodyText1"/>
        <w:spacing w:after="20"/>
      </w:pPr>
    </w:p>
    <w:p w14:paraId="4368D68B" w14:textId="77777777" w:rsidR="00AD34CD" w:rsidRDefault="00000000">
      <w:pPr>
        <w:pStyle w:val="BodyText1"/>
        <w:spacing w:after="0"/>
      </w:pPr>
      <w:r>
        <w:t>The proposal covers an offline prototype, followed by a possible monitored trial on plant data. Its contribution is a practical way to investigate and address model weaknesses before maintenance teams rely on the alerts.</w:t>
      </w:r>
    </w:p>
    <w:p w14:paraId="27FB62D2" w14:textId="77777777" w:rsidR="00AD34CD" w:rsidRDefault="00000000">
      <w:r>
        <w:br w:type="page"/>
      </w:r>
    </w:p>
    <w:tbl>
      <w:tblPr>
        <w:tblW w:w="10454" w:type="dxa"/>
        <w:tblCellMar>
          <w:left w:w="10" w:type="dxa"/>
          <w:right w:w="10" w:type="dxa"/>
        </w:tblCellMar>
        <w:tblLook w:val="0000" w:firstRow="0" w:lastRow="0" w:firstColumn="0" w:lastColumn="0" w:noHBand="0" w:noVBand="0"/>
      </w:tblPr>
      <w:tblGrid>
        <w:gridCol w:w="8654"/>
        <w:gridCol w:w="1800"/>
      </w:tblGrid>
      <w:tr w:rsidR="00AD34CD" w14:paraId="3ABFBFAE" w14:textId="77777777">
        <w:tblPrEx>
          <w:tblCellMar>
            <w:top w:w="0" w:type="dxa"/>
            <w:bottom w:w="0" w:type="dxa"/>
          </w:tblCellMar>
        </w:tblPrEx>
        <w:tc>
          <w:tcPr>
            <w:tcW w:w="8654" w:type="dxa"/>
            <w:shd w:val="clear" w:color="auto" w:fill="C8102E"/>
            <w:tcMar>
              <w:top w:w="120" w:type="dxa"/>
              <w:left w:w="200" w:type="dxa"/>
              <w:bottom w:w="120" w:type="dxa"/>
              <w:right w:w="200" w:type="dxa"/>
            </w:tcMar>
            <w:vAlign w:val="center"/>
          </w:tcPr>
          <w:p w14:paraId="720AE156" w14:textId="4B24BAC8" w:rsidR="00AD34CD" w:rsidRDefault="00407DC8">
            <w:pPr>
              <w:keepNext/>
            </w:pPr>
            <w:r>
              <w:rPr>
                <w:b/>
                <w:bCs/>
                <w:color w:val="FFFFFF"/>
                <w:sz w:val="24"/>
                <w:szCs w:val="24"/>
              </w:rPr>
              <w:lastRenderedPageBreak/>
              <w:t>4 Technical</w:t>
            </w:r>
            <w:r w:rsidR="00000000">
              <w:rPr>
                <w:b/>
                <w:bCs/>
                <w:color w:val="FFFFFF"/>
                <w:sz w:val="24"/>
                <w:szCs w:val="24"/>
              </w:rPr>
              <w:t xml:space="preserve"> Solution and Innovation</w:t>
            </w:r>
          </w:p>
        </w:tc>
        <w:tc>
          <w:tcPr>
            <w:tcW w:w="1800" w:type="dxa"/>
            <w:shd w:val="clear" w:color="auto" w:fill="0B0B14"/>
            <w:tcMar>
              <w:top w:w="120" w:type="dxa"/>
              <w:left w:w="100" w:type="dxa"/>
              <w:bottom w:w="120" w:type="dxa"/>
              <w:right w:w="100" w:type="dxa"/>
            </w:tcMar>
            <w:vAlign w:val="center"/>
          </w:tcPr>
          <w:p w14:paraId="26739249" w14:textId="77777777" w:rsidR="00AD34CD" w:rsidRDefault="00000000">
            <w:pPr>
              <w:keepNext/>
              <w:jc w:val="center"/>
            </w:pPr>
            <w:r>
              <w:rPr>
                <w:b/>
                <w:bCs/>
                <w:color w:val="FFFFFF"/>
                <w:sz w:val="16"/>
                <w:szCs w:val="16"/>
              </w:rPr>
              <w:t>METHOD</w:t>
            </w:r>
          </w:p>
        </w:tc>
      </w:tr>
    </w:tbl>
    <w:p w14:paraId="692942C9" w14:textId="77777777" w:rsidR="00AD34CD" w:rsidRDefault="00AD34CD">
      <w:pPr>
        <w:pStyle w:val="BodyText1"/>
        <w:spacing w:after="40"/>
      </w:pPr>
    </w:p>
    <w:p w14:paraId="6EF40B48" w14:textId="77777777" w:rsidR="00AD34CD" w:rsidRDefault="00000000">
      <w:pPr>
        <w:pStyle w:val="Heading2"/>
        <w:spacing w:after="100"/>
      </w:pPr>
      <w:r>
        <w:t>Data and prediction target</w:t>
      </w:r>
    </w:p>
    <w:p w14:paraId="2361C970" w14:textId="77777777" w:rsidR="00AD34CD" w:rsidRDefault="00000000">
      <w:pPr>
        <w:pStyle w:val="BodyText1"/>
      </w:pPr>
      <w:r>
        <w:t>The first benchmark is NASA C-MAPSS FD001, which provides 100 complete simulated turbofan-engine histories in its training file [1]. We will use these histories to predict whether failure is within the next 30 operating cycles. Remaining life is the final cycle minus the current cycle; values from 1 to 30 receive the positive label. The failure cycle is excluded.</w:t>
      </w:r>
    </w:p>
    <w:p w14:paraId="79797FF6" w14:textId="1A44C2F7" w:rsidR="00AD34CD" w:rsidRDefault="00000000">
      <w:pPr>
        <w:pStyle w:val="BodyText1"/>
      </w:pPr>
      <w:r>
        <w:t xml:space="preserve">The upload contract requires an equipment ID, an ordered cycle index, numeric sensor columns, and a known failure cycle for each complete history. The profiler checks duplicate IDs and cycles, ordering, gaps, missing values, constant channels, and label coverage. Ambiguous mappings require the engineer to confirm them. Censored histories need a separate protocol and are outside this first </w:t>
      </w:r>
      <w:r w:rsidR="00407DC8">
        <w:t>building</w:t>
      </w:r>
      <w:r>
        <w:t>.</w:t>
      </w:r>
    </w:p>
    <w:p w14:paraId="452EFC00" w14:textId="2E2B126F" w:rsidR="00AD34CD" w:rsidRDefault="00000000">
      <w:pPr>
        <w:pStyle w:val="Heading2"/>
        <w:spacing w:after="100"/>
      </w:pPr>
      <w:r>
        <w:t xml:space="preserve">Training and </w:t>
      </w:r>
      <w:r w:rsidR="00407DC8">
        <w:t>Comparison</w:t>
      </w:r>
    </w:p>
    <w:p w14:paraId="36865AC0" w14:textId="77777777" w:rsidR="00AD34CD" w:rsidRDefault="00000000">
      <w:pPr>
        <w:pStyle w:val="BodyText1"/>
      </w:pPr>
      <w:r>
        <w:t>Reserve 20 engines for one final evaluation. Use grouped five-fold cross-validation across the other 80, keeping each engine wholly within a fold. These are our own partitions of the complete training file. Fit every preprocessing step on the training fold; build features from the current reading and the preceding 19 cycles. The initial 19 cycles form a warm-up period.</w:t>
      </w:r>
    </w:p>
    <w:p w14:paraId="5B544DEB" w14:textId="028C8180" w:rsidR="00AD34CD" w:rsidRDefault="00000000">
      <w:pPr>
        <w:pStyle w:val="BodyText1"/>
      </w:pPr>
      <w:r>
        <w:t xml:space="preserve">Compare logistic regression, </w:t>
      </w:r>
      <w:proofErr w:type="spellStart"/>
      <w:r>
        <w:t>XGBoost</w:t>
      </w:r>
      <w:proofErr w:type="spellEnd"/>
      <w:r>
        <w:t xml:space="preserve">, and an </w:t>
      </w:r>
      <w:proofErr w:type="spellStart"/>
      <w:r>
        <w:t>XGBoost</w:t>
      </w:r>
      <w:proofErr w:type="spellEnd"/>
      <w:r>
        <w:t xml:space="preserve"> variant trained with sensor faults. Add an age-based baseline that alerts once the cycle count exceeds a tuned threshold. Sensor models use </w:t>
      </w:r>
      <w:r w:rsidR="00407DC8">
        <w:t>reading</w:t>
      </w:r>
      <w:r>
        <w:t xml:space="preserve"> and trailing means and slopes; engine ID, cycle count, and remaining life are excluded so that age dependence is explicit in the separate baseline.</w:t>
      </w:r>
    </w:p>
    <w:p w14:paraId="4C3E05DD" w14:textId="77777777" w:rsidR="00AD34CD" w:rsidRDefault="00000000">
      <w:pPr>
        <w:pStyle w:val="BodyText1"/>
      </w:pPr>
      <w:r>
        <w:t>Limit the search to three configurations per model variant. Use out-of-fold predictions to choose configurations and alert thresholds, then refit on all 80 development engines. Freeze that choice and the test plan before opening the final 20. The official truncated test set is reserved for later work.</w:t>
      </w:r>
    </w:p>
    <w:p w14:paraId="0273D2CB" w14:textId="77777777" w:rsidR="00AD34CD" w:rsidRDefault="00000000">
      <w:pPr>
        <w:pStyle w:val="Heading2"/>
        <w:spacing w:after="100"/>
      </w:pPr>
      <w:r>
        <w:t>Fault tests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440"/>
        <w:gridCol w:w="6624"/>
        <w:gridCol w:w="2304"/>
      </w:tblGrid>
      <w:tr w:rsidR="00AD34CD" w14:paraId="454660B8" w14:textId="77777777">
        <w:tblPrEx>
          <w:tblCellMar>
            <w:top w:w="0" w:type="dxa"/>
            <w:bottom w:w="0" w:type="dxa"/>
          </w:tblCellMar>
        </w:tblPrEx>
        <w:trPr>
          <w:cantSplit/>
          <w:tblHeader/>
          <w:jc w:val="center"/>
        </w:trPr>
        <w:tc>
          <w:tcPr>
            <w:tcW w:w="1440" w:type="dxa"/>
            <w:shd w:val="clear" w:color="auto" w:fill="0B0B14"/>
            <w:tcMar>
              <w:top w:w="75" w:type="dxa"/>
              <w:left w:w="95" w:type="dxa"/>
              <w:bottom w:w="75" w:type="dxa"/>
              <w:right w:w="95" w:type="dxa"/>
            </w:tcMar>
            <w:vAlign w:val="center"/>
          </w:tcPr>
          <w:p w14:paraId="306A719D" w14:textId="77777777" w:rsidR="00AD34CD" w:rsidRDefault="00000000">
            <w:pPr>
              <w:pStyle w:val="BodyText1"/>
              <w:spacing w:after="0" w:line="240" w:lineRule="auto"/>
            </w:pPr>
            <w:r>
              <w:rPr>
                <w:b/>
                <w:color w:val="FFFFFF"/>
                <w:sz w:val="19"/>
              </w:rPr>
              <w:t>Fault</w:t>
            </w:r>
          </w:p>
        </w:tc>
        <w:tc>
          <w:tcPr>
            <w:tcW w:w="6624" w:type="dxa"/>
            <w:shd w:val="clear" w:color="auto" w:fill="0B0B14"/>
            <w:tcMar>
              <w:top w:w="75" w:type="dxa"/>
              <w:left w:w="95" w:type="dxa"/>
              <w:bottom w:w="75" w:type="dxa"/>
              <w:right w:w="95" w:type="dxa"/>
            </w:tcMar>
            <w:vAlign w:val="center"/>
          </w:tcPr>
          <w:p w14:paraId="7E9572E5" w14:textId="77777777" w:rsidR="00AD34CD" w:rsidRDefault="00000000">
            <w:pPr>
              <w:pStyle w:val="BodyText1"/>
              <w:spacing w:after="0" w:line="240" w:lineRule="auto"/>
            </w:pPr>
            <w:r>
              <w:rPr>
                <w:b/>
                <w:color w:val="FFFFFF"/>
                <w:sz w:val="19"/>
              </w:rPr>
              <w:t>Persistent test</w:t>
            </w:r>
          </w:p>
        </w:tc>
        <w:tc>
          <w:tcPr>
            <w:tcW w:w="2304" w:type="dxa"/>
            <w:shd w:val="clear" w:color="auto" w:fill="0B0B14"/>
            <w:tcMar>
              <w:top w:w="75" w:type="dxa"/>
              <w:left w:w="95" w:type="dxa"/>
              <w:bottom w:w="75" w:type="dxa"/>
              <w:right w:w="95" w:type="dxa"/>
            </w:tcMar>
            <w:vAlign w:val="center"/>
          </w:tcPr>
          <w:p w14:paraId="4665AA63" w14:textId="77777777" w:rsidR="00AD34CD" w:rsidRDefault="00000000">
            <w:pPr>
              <w:pStyle w:val="BodyText1"/>
              <w:spacing w:after="0" w:line="240" w:lineRule="auto"/>
            </w:pPr>
            <w:r>
              <w:rPr>
                <w:b/>
                <w:color w:val="FFFFFF"/>
                <w:sz w:val="19"/>
              </w:rPr>
              <w:t>Additional setting</w:t>
            </w:r>
          </w:p>
        </w:tc>
      </w:tr>
      <w:tr w:rsidR="00AD34CD" w14:paraId="102149C0" w14:textId="77777777">
        <w:tblPrEx>
          <w:tblCellMar>
            <w:top w:w="0" w:type="dxa"/>
            <w:bottom w:w="0" w:type="dxa"/>
          </w:tblCellMar>
        </w:tblPrEx>
        <w:trPr>
          <w:cantSplit/>
          <w:jc w:val="center"/>
        </w:trPr>
        <w:tc>
          <w:tcPr>
            <w:tcW w:w="1440" w:type="dxa"/>
            <w:shd w:val="clear" w:color="auto" w:fill="F3F3F3"/>
            <w:tcMar>
              <w:top w:w="75" w:type="dxa"/>
              <w:left w:w="95" w:type="dxa"/>
              <w:bottom w:w="75" w:type="dxa"/>
              <w:right w:w="95" w:type="dxa"/>
            </w:tcMar>
            <w:vAlign w:val="center"/>
          </w:tcPr>
          <w:p w14:paraId="37F95AFF" w14:textId="77777777" w:rsidR="00AD34CD" w:rsidRDefault="00000000">
            <w:pPr>
              <w:pStyle w:val="BodyText1"/>
              <w:spacing w:after="0" w:line="240" w:lineRule="auto"/>
            </w:pPr>
            <w:r>
              <w:rPr>
                <w:sz w:val="19"/>
              </w:rPr>
              <w:t>Dropout</w:t>
            </w:r>
          </w:p>
        </w:tc>
        <w:tc>
          <w:tcPr>
            <w:tcW w:w="6624" w:type="dxa"/>
            <w:shd w:val="clear" w:color="auto" w:fill="F3F3F3"/>
            <w:tcMar>
              <w:top w:w="75" w:type="dxa"/>
              <w:left w:w="95" w:type="dxa"/>
              <w:bottom w:w="75" w:type="dxa"/>
              <w:right w:w="95" w:type="dxa"/>
            </w:tcMar>
            <w:vAlign w:val="center"/>
          </w:tcPr>
          <w:p w14:paraId="7424AE8B" w14:textId="77777777" w:rsidR="00AD34CD" w:rsidRDefault="00000000">
            <w:pPr>
              <w:pStyle w:val="BodyText1"/>
              <w:spacing w:after="0" w:line="240" w:lineRule="auto"/>
            </w:pPr>
            <w:r>
              <w:rPr>
                <w:sz w:val="19"/>
              </w:rPr>
              <w:t>Remove one sensor stream from onset through the end of the recorded history.</w:t>
            </w:r>
          </w:p>
        </w:tc>
        <w:tc>
          <w:tcPr>
            <w:tcW w:w="2304" w:type="dxa"/>
            <w:shd w:val="clear" w:color="auto" w:fill="F3F3F3"/>
            <w:tcMar>
              <w:top w:w="75" w:type="dxa"/>
              <w:left w:w="95" w:type="dxa"/>
              <w:bottom w:w="75" w:type="dxa"/>
              <w:right w:w="95" w:type="dxa"/>
            </w:tcMar>
            <w:vAlign w:val="center"/>
          </w:tcPr>
          <w:p w14:paraId="3E48F665" w14:textId="77777777" w:rsidR="00AD34CD" w:rsidRDefault="00000000">
            <w:pPr>
              <w:pStyle w:val="BodyText1"/>
              <w:spacing w:after="0" w:line="240" w:lineRule="auto"/>
            </w:pPr>
            <w:r>
              <w:rPr>
                <w:sz w:val="19"/>
              </w:rPr>
              <w:t>Also test a 10-cycle outage.</w:t>
            </w:r>
          </w:p>
        </w:tc>
      </w:tr>
      <w:tr w:rsidR="00AD34CD" w14:paraId="3F3F7D13" w14:textId="77777777">
        <w:tblPrEx>
          <w:tblCellMar>
            <w:top w:w="0" w:type="dxa"/>
            <w:bottom w:w="0" w:type="dxa"/>
          </w:tblCellMar>
        </w:tblPrEx>
        <w:trPr>
          <w:cantSplit/>
          <w:jc w:val="center"/>
        </w:trPr>
        <w:tc>
          <w:tcPr>
            <w:tcW w:w="1440" w:type="dxa"/>
            <w:shd w:val="clear" w:color="auto" w:fill="FFFFFF"/>
            <w:tcMar>
              <w:top w:w="75" w:type="dxa"/>
              <w:left w:w="95" w:type="dxa"/>
              <w:bottom w:w="75" w:type="dxa"/>
              <w:right w:w="95" w:type="dxa"/>
            </w:tcMar>
            <w:vAlign w:val="center"/>
          </w:tcPr>
          <w:p w14:paraId="6817020C" w14:textId="77777777" w:rsidR="00AD34CD" w:rsidRDefault="00000000">
            <w:pPr>
              <w:pStyle w:val="BodyText1"/>
              <w:spacing w:after="0" w:line="240" w:lineRule="auto"/>
            </w:pPr>
            <w:r>
              <w:rPr>
                <w:sz w:val="19"/>
              </w:rPr>
              <w:t>Stuck reading</w:t>
            </w:r>
          </w:p>
        </w:tc>
        <w:tc>
          <w:tcPr>
            <w:tcW w:w="6624" w:type="dxa"/>
            <w:shd w:val="clear" w:color="auto" w:fill="FFFFFF"/>
            <w:tcMar>
              <w:top w:w="75" w:type="dxa"/>
              <w:left w:w="95" w:type="dxa"/>
              <w:bottom w:w="75" w:type="dxa"/>
              <w:right w:w="95" w:type="dxa"/>
            </w:tcMar>
            <w:vAlign w:val="center"/>
          </w:tcPr>
          <w:p w14:paraId="55B66225" w14:textId="77777777" w:rsidR="00AD34CD" w:rsidRDefault="00000000">
            <w:pPr>
              <w:pStyle w:val="BodyText1"/>
              <w:spacing w:after="0" w:line="240" w:lineRule="auto"/>
            </w:pPr>
            <w:r>
              <w:rPr>
                <w:sz w:val="19"/>
              </w:rPr>
              <w:t>Repeat the reading immediately before onset through the end of the history.</w:t>
            </w:r>
          </w:p>
        </w:tc>
        <w:tc>
          <w:tcPr>
            <w:tcW w:w="2304" w:type="dxa"/>
            <w:shd w:val="clear" w:color="auto" w:fill="FFFFFF"/>
            <w:tcMar>
              <w:top w:w="75" w:type="dxa"/>
              <w:left w:w="95" w:type="dxa"/>
              <w:bottom w:w="75" w:type="dxa"/>
              <w:right w:w="95" w:type="dxa"/>
            </w:tcMar>
            <w:vAlign w:val="center"/>
          </w:tcPr>
          <w:p w14:paraId="50E012D6" w14:textId="77777777" w:rsidR="00AD34CD" w:rsidRDefault="00000000">
            <w:pPr>
              <w:pStyle w:val="BodyText1"/>
              <w:spacing w:after="0" w:line="240" w:lineRule="auto"/>
            </w:pPr>
            <w:r>
              <w:rPr>
                <w:sz w:val="19"/>
              </w:rPr>
              <w:t>Also test a 10-cycle freeze.</w:t>
            </w:r>
          </w:p>
        </w:tc>
      </w:tr>
      <w:tr w:rsidR="00AD34CD" w14:paraId="5766783E" w14:textId="77777777">
        <w:tblPrEx>
          <w:tblCellMar>
            <w:top w:w="0" w:type="dxa"/>
            <w:bottom w:w="0" w:type="dxa"/>
          </w:tblCellMar>
        </w:tblPrEx>
        <w:trPr>
          <w:cantSplit/>
          <w:jc w:val="center"/>
        </w:trPr>
        <w:tc>
          <w:tcPr>
            <w:tcW w:w="1440" w:type="dxa"/>
            <w:shd w:val="clear" w:color="auto" w:fill="F3F3F3"/>
            <w:tcMar>
              <w:top w:w="75" w:type="dxa"/>
              <w:left w:w="95" w:type="dxa"/>
              <w:bottom w:w="75" w:type="dxa"/>
              <w:right w:w="95" w:type="dxa"/>
            </w:tcMar>
            <w:vAlign w:val="center"/>
          </w:tcPr>
          <w:p w14:paraId="01AE19DF" w14:textId="77777777" w:rsidR="00AD34CD" w:rsidRDefault="00000000">
            <w:pPr>
              <w:pStyle w:val="BodyText1"/>
              <w:spacing w:after="0" w:line="240" w:lineRule="auto"/>
            </w:pPr>
            <w:r>
              <w:rPr>
                <w:sz w:val="19"/>
              </w:rPr>
              <w:t>Drift</w:t>
            </w:r>
          </w:p>
        </w:tc>
        <w:tc>
          <w:tcPr>
            <w:tcW w:w="6624" w:type="dxa"/>
            <w:shd w:val="clear" w:color="auto" w:fill="F3F3F3"/>
            <w:tcMar>
              <w:top w:w="75" w:type="dxa"/>
              <w:left w:w="95" w:type="dxa"/>
              <w:bottom w:w="75" w:type="dxa"/>
              <w:right w:w="95" w:type="dxa"/>
            </w:tcMar>
            <w:vAlign w:val="center"/>
          </w:tcPr>
          <w:p w14:paraId="0F233CEF" w14:textId="77777777" w:rsidR="00AD34CD" w:rsidRDefault="00000000">
            <w:pPr>
              <w:pStyle w:val="BodyText1"/>
              <w:spacing w:after="0" w:line="240" w:lineRule="auto"/>
            </w:pPr>
            <w:r>
              <w:rPr>
                <w:sz w:val="19"/>
              </w:rPr>
              <w:t>Ramp an offset for 20 cycles, then retain it. Test both signs.</w:t>
            </w:r>
          </w:p>
        </w:tc>
        <w:tc>
          <w:tcPr>
            <w:tcW w:w="2304" w:type="dxa"/>
            <w:shd w:val="clear" w:color="auto" w:fill="F3F3F3"/>
            <w:tcMar>
              <w:top w:w="75" w:type="dxa"/>
              <w:left w:w="95" w:type="dxa"/>
              <w:bottom w:w="75" w:type="dxa"/>
              <w:right w:w="95" w:type="dxa"/>
            </w:tcMar>
            <w:vAlign w:val="center"/>
          </w:tcPr>
          <w:p w14:paraId="55E543CA" w14:textId="77777777" w:rsidR="00AD34CD" w:rsidRDefault="00000000">
            <w:pPr>
              <w:pStyle w:val="BodyText1"/>
              <w:spacing w:after="0" w:line="240" w:lineRule="auto"/>
            </w:pPr>
            <w:r>
              <w:rPr>
                <w:sz w:val="19"/>
              </w:rPr>
              <w:t>Offset reaches 1 or 2 training standard deviations.</w:t>
            </w:r>
          </w:p>
        </w:tc>
      </w:tr>
    </w:tbl>
    <w:p w14:paraId="111FD6E4" w14:textId="77777777" w:rsidR="00AD34CD" w:rsidRDefault="00AD34CD">
      <w:pPr>
        <w:pStyle w:val="BodyText1"/>
        <w:spacing w:after="20"/>
      </w:pPr>
    </w:p>
    <w:p w14:paraId="0D839FAE" w14:textId="53EC683F" w:rsidR="00AD34CD" w:rsidRDefault="00000000">
      <w:pPr>
        <w:pStyle w:val="BodyText1"/>
      </w:pPr>
      <w:r>
        <w:t xml:space="preserve">Apply faults separately to sensors that vary in the training data. Start the main tests 60 and 30 cycles before failure so they cover the warning period. These deliberately timed stress tests use known outcomes only to place faults, never as prediction inputs. A separate seeded </w:t>
      </w:r>
      <w:r w:rsidR="00407DC8">
        <w:t>random onset</w:t>
      </w:r>
      <w:r>
        <w:t xml:space="preserve"> </w:t>
      </w:r>
      <w:r w:rsidR="00407DC8">
        <w:t>passes</w:t>
      </w:r>
      <w:r>
        <w:t xml:space="preserve"> checks sensitivity to timing. Report the two sets separately; neither estimates how often faults occur in a plant.</w:t>
      </w:r>
    </w:p>
    <w:p w14:paraId="0D918831" w14:textId="77777777" w:rsidR="00AD34CD" w:rsidRDefault="00000000">
      <w:pPr>
        <w:pStyle w:val="Heading2"/>
        <w:spacing w:after="100"/>
      </w:pPr>
      <w:r>
        <w:t>Testing a remedy</w:t>
      </w:r>
    </w:p>
    <w:p w14:paraId="23227933" w14:textId="50A7BCA1" w:rsidR="00AD34CD" w:rsidRDefault="00000000">
      <w:pPr>
        <w:pStyle w:val="BodyText1"/>
        <w:spacing w:after="0"/>
      </w:pPr>
      <w:r>
        <w:t xml:space="preserve">The augmented variant mixes original training histories with corrupted copies. Fault positions and severities are sampled within each training fold using separate seeds. Labels </w:t>
      </w:r>
      <w:r w:rsidR="00407DC8">
        <w:t>remain</w:t>
      </w:r>
      <w:r>
        <w:t xml:space="preserve"> unchanged. Missingness flags accompany imputed values; missing values use training </w:t>
      </w:r>
      <w:r w:rsidR="00407DC8">
        <w:t>media</w:t>
      </w:r>
      <w:r>
        <w:t>. Corruption happens before feature calculation. Compare the retrained version on both original and altered histories, including the stronger drift setting, and retain it only if the measured tradeoff meets the engineer's criteria.</w:t>
      </w:r>
    </w:p>
    <w:p w14:paraId="7C90523F" w14:textId="77777777" w:rsidR="00AD34CD" w:rsidRDefault="00000000">
      <w:r>
        <w:br w:type="page"/>
      </w:r>
    </w:p>
    <w:p w14:paraId="47B027FB" w14:textId="77777777" w:rsidR="00AD34CD" w:rsidRDefault="00000000">
      <w:pPr>
        <w:pStyle w:val="Heading2"/>
        <w:spacing w:after="100"/>
      </w:pPr>
      <w:r>
        <w:lastRenderedPageBreak/>
        <w:t>Alert scoring and model selection</w:t>
      </w:r>
    </w:p>
    <w:p w14:paraId="4BFAB401" w14:textId="77777777" w:rsidR="00AD34CD" w:rsidRDefault="00000000">
      <w:pPr>
        <w:pStyle w:val="BodyText1"/>
      </w:pPr>
      <w:r>
        <w:t>The demo assumes a minimum useful warning of 10 cycles and a prediction horizon of 30. These are benchmark settings to be agreed with an engineer for a plant trial. An alert starts after two consecutive scores reach the threshold and clears after two below it.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016"/>
        <w:gridCol w:w="8352"/>
      </w:tblGrid>
      <w:tr w:rsidR="00AD34CD" w14:paraId="0B244676" w14:textId="77777777">
        <w:tblPrEx>
          <w:tblCellMar>
            <w:top w:w="0" w:type="dxa"/>
            <w:bottom w:w="0" w:type="dxa"/>
          </w:tblCellMar>
        </w:tblPrEx>
        <w:trPr>
          <w:cantSplit/>
          <w:tblHeader/>
          <w:jc w:val="center"/>
        </w:trPr>
        <w:tc>
          <w:tcPr>
            <w:tcW w:w="2016" w:type="dxa"/>
            <w:shd w:val="clear" w:color="auto" w:fill="0B0B14"/>
            <w:tcMar>
              <w:top w:w="75" w:type="dxa"/>
              <w:left w:w="95" w:type="dxa"/>
              <w:bottom w:w="75" w:type="dxa"/>
              <w:right w:w="95" w:type="dxa"/>
            </w:tcMar>
            <w:vAlign w:val="center"/>
          </w:tcPr>
          <w:p w14:paraId="6BD872D0" w14:textId="77777777" w:rsidR="00AD34CD" w:rsidRDefault="00000000">
            <w:pPr>
              <w:pStyle w:val="BodyText1"/>
              <w:spacing w:after="0" w:line="240" w:lineRule="auto"/>
            </w:pPr>
            <w:r>
              <w:rPr>
                <w:b/>
                <w:color w:val="FFFFFF"/>
                <w:sz w:val="19"/>
              </w:rPr>
              <w:t>Measure</w:t>
            </w:r>
          </w:p>
        </w:tc>
        <w:tc>
          <w:tcPr>
            <w:tcW w:w="8352" w:type="dxa"/>
            <w:shd w:val="clear" w:color="auto" w:fill="0B0B14"/>
            <w:tcMar>
              <w:top w:w="75" w:type="dxa"/>
              <w:left w:w="95" w:type="dxa"/>
              <w:bottom w:w="75" w:type="dxa"/>
              <w:right w:w="95" w:type="dxa"/>
            </w:tcMar>
            <w:vAlign w:val="center"/>
          </w:tcPr>
          <w:p w14:paraId="69B97757" w14:textId="77777777" w:rsidR="00AD34CD" w:rsidRDefault="00000000">
            <w:pPr>
              <w:pStyle w:val="BodyText1"/>
              <w:spacing w:after="0" w:line="240" w:lineRule="auto"/>
            </w:pPr>
            <w:r>
              <w:rPr>
                <w:b/>
                <w:color w:val="FFFFFF"/>
                <w:sz w:val="19"/>
              </w:rPr>
              <w:t>Definition</w:t>
            </w:r>
          </w:p>
        </w:tc>
      </w:tr>
      <w:tr w:rsidR="00AD34CD" w14:paraId="16D0301B" w14:textId="77777777">
        <w:tblPrEx>
          <w:tblCellMar>
            <w:top w:w="0" w:type="dxa"/>
            <w:bottom w:w="0" w:type="dxa"/>
          </w:tblCellMar>
        </w:tblPrEx>
        <w:trPr>
          <w:cantSplit/>
          <w:jc w:val="center"/>
        </w:trPr>
        <w:tc>
          <w:tcPr>
            <w:tcW w:w="2016" w:type="dxa"/>
            <w:shd w:val="clear" w:color="auto" w:fill="F3F3F3"/>
            <w:tcMar>
              <w:top w:w="75" w:type="dxa"/>
              <w:left w:w="95" w:type="dxa"/>
              <w:bottom w:w="75" w:type="dxa"/>
              <w:right w:w="95" w:type="dxa"/>
            </w:tcMar>
            <w:vAlign w:val="center"/>
          </w:tcPr>
          <w:p w14:paraId="09AFC808" w14:textId="77777777" w:rsidR="00AD34CD" w:rsidRDefault="00000000">
            <w:pPr>
              <w:pStyle w:val="BodyText1"/>
              <w:spacing w:after="0" w:line="240" w:lineRule="auto"/>
            </w:pPr>
            <w:r>
              <w:rPr>
                <w:sz w:val="19"/>
              </w:rPr>
              <w:t>Useful detection</w:t>
            </w:r>
          </w:p>
        </w:tc>
        <w:tc>
          <w:tcPr>
            <w:tcW w:w="8352" w:type="dxa"/>
            <w:shd w:val="clear" w:color="auto" w:fill="F3F3F3"/>
            <w:tcMar>
              <w:top w:w="75" w:type="dxa"/>
              <w:left w:w="95" w:type="dxa"/>
              <w:bottom w:w="75" w:type="dxa"/>
              <w:right w:w="95" w:type="dxa"/>
            </w:tcMar>
            <w:vAlign w:val="center"/>
          </w:tcPr>
          <w:p w14:paraId="37997FFF" w14:textId="2B814FD4" w:rsidR="00AD34CD" w:rsidRDefault="00000000">
            <w:pPr>
              <w:pStyle w:val="BodyText1"/>
              <w:spacing w:after="0" w:line="240" w:lineRule="auto"/>
            </w:pPr>
            <w:r>
              <w:rPr>
                <w:sz w:val="19"/>
              </w:rPr>
              <w:t xml:space="preserve">An alert is active at any point from 30 to 10 cycles before failure. </w:t>
            </w:r>
            <w:r w:rsidR="00407DC8">
              <w:rPr>
                <w:sz w:val="19"/>
              </w:rPr>
              <w:t>Report on</w:t>
            </w:r>
            <w:r>
              <w:rPr>
                <w:sz w:val="19"/>
              </w:rPr>
              <w:t xml:space="preserve"> the number of detected engines and </w:t>
            </w:r>
            <w:r w:rsidR="00407DC8">
              <w:rPr>
                <w:sz w:val="19"/>
              </w:rPr>
              <w:t>their</w:t>
            </w:r>
            <w:r>
              <w:rPr>
                <w:sz w:val="19"/>
              </w:rPr>
              <w:t xml:space="preserve"> fraction of the total.</w:t>
            </w:r>
          </w:p>
        </w:tc>
      </w:tr>
      <w:tr w:rsidR="00AD34CD" w14:paraId="019973DD" w14:textId="77777777">
        <w:tblPrEx>
          <w:tblCellMar>
            <w:top w:w="0" w:type="dxa"/>
            <w:bottom w:w="0" w:type="dxa"/>
          </w:tblCellMar>
        </w:tblPrEx>
        <w:trPr>
          <w:cantSplit/>
          <w:jc w:val="center"/>
        </w:trPr>
        <w:tc>
          <w:tcPr>
            <w:tcW w:w="2016" w:type="dxa"/>
            <w:shd w:val="clear" w:color="auto" w:fill="FFFFFF"/>
            <w:tcMar>
              <w:top w:w="75" w:type="dxa"/>
              <w:left w:w="95" w:type="dxa"/>
              <w:bottom w:w="75" w:type="dxa"/>
              <w:right w:w="95" w:type="dxa"/>
            </w:tcMar>
            <w:vAlign w:val="center"/>
          </w:tcPr>
          <w:p w14:paraId="4BD246D0" w14:textId="77777777" w:rsidR="00AD34CD" w:rsidRDefault="00000000">
            <w:pPr>
              <w:pStyle w:val="BodyText1"/>
              <w:spacing w:after="0" w:line="240" w:lineRule="auto"/>
            </w:pPr>
            <w:r>
              <w:rPr>
                <w:sz w:val="19"/>
              </w:rPr>
              <w:t>Late or missed warning</w:t>
            </w:r>
          </w:p>
        </w:tc>
        <w:tc>
          <w:tcPr>
            <w:tcW w:w="8352" w:type="dxa"/>
            <w:shd w:val="clear" w:color="auto" w:fill="FFFFFF"/>
            <w:tcMar>
              <w:top w:w="75" w:type="dxa"/>
              <w:left w:w="95" w:type="dxa"/>
              <w:bottom w:w="75" w:type="dxa"/>
              <w:right w:w="95" w:type="dxa"/>
            </w:tcMar>
            <w:vAlign w:val="center"/>
          </w:tcPr>
          <w:p w14:paraId="5CF36C95" w14:textId="77777777" w:rsidR="00AD34CD" w:rsidRDefault="00000000">
            <w:pPr>
              <w:pStyle w:val="BodyText1"/>
              <w:spacing w:after="0" w:line="240" w:lineRule="auto"/>
            </w:pPr>
            <w:r>
              <w:rPr>
                <w:sz w:val="19"/>
              </w:rPr>
              <w:t>No alert overlaps that window. Distinguish an alert appearing only in the last 9 cycles from no subsequent warning.</w:t>
            </w:r>
          </w:p>
        </w:tc>
      </w:tr>
      <w:tr w:rsidR="00AD34CD" w14:paraId="63B773D2" w14:textId="77777777">
        <w:tblPrEx>
          <w:tblCellMar>
            <w:top w:w="0" w:type="dxa"/>
            <w:bottom w:w="0" w:type="dxa"/>
          </w:tblCellMar>
        </w:tblPrEx>
        <w:trPr>
          <w:cantSplit/>
          <w:jc w:val="center"/>
        </w:trPr>
        <w:tc>
          <w:tcPr>
            <w:tcW w:w="2016" w:type="dxa"/>
            <w:shd w:val="clear" w:color="auto" w:fill="F3F3F3"/>
            <w:tcMar>
              <w:top w:w="75" w:type="dxa"/>
              <w:left w:w="95" w:type="dxa"/>
              <w:bottom w:w="75" w:type="dxa"/>
              <w:right w:w="95" w:type="dxa"/>
            </w:tcMar>
            <w:vAlign w:val="center"/>
          </w:tcPr>
          <w:p w14:paraId="76FE8FB1" w14:textId="77777777" w:rsidR="00AD34CD" w:rsidRDefault="00000000">
            <w:pPr>
              <w:pStyle w:val="BodyText1"/>
              <w:spacing w:after="0" w:line="240" w:lineRule="auto"/>
            </w:pPr>
            <w:r>
              <w:rPr>
                <w:sz w:val="19"/>
              </w:rPr>
              <w:t>Early alarm burden</w:t>
            </w:r>
          </w:p>
        </w:tc>
        <w:tc>
          <w:tcPr>
            <w:tcW w:w="8352" w:type="dxa"/>
            <w:shd w:val="clear" w:color="auto" w:fill="F3F3F3"/>
            <w:tcMar>
              <w:top w:w="75" w:type="dxa"/>
              <w:left w:w="95" w:type="dxa"/>
              <w:bottom w:w="75" w:type="dxa"/>
              <w:right w:w="95" w:type="dxa"/>
            </w:tcMar>
            <w:vAlign w:val="center"/>
          </w:tcPr>
          <w:p w14:paraId="1EDB722A" w14:textId="77777777" w:rsidR="00AD34CD" w:rsidRDefault="00000000">
            <w:pPr>
              <w:pStyle w:val="BodyText1"/>
              <w:spacing w:after="0" w:line="240" w:lineRule="auto"/>
            </w:pPr>
            <w:r>
              <w:rPr>
                <w:sz w:val="19"/>
              </w:rPr>
              <w:t>Fraction of eligible cycles with more than 45 cycles remaining spent in alarm, plus new alarm episodes per 1,000 such cycles.</w:t>
            </w:r>
          </w:p>
        </w:tc>
      </w:tr>
      <w:tr w:rsidR="00AD34CD" w14:paraId="1DA78549" w14:textId="77777777">
        <w:tblPrEx>
          <w:tblCellMar>
            <w:top w:w="0" w:type="dxa"/>
            <w:bottom w:w="0" w:type="dxa"/>
          </w:tblCellMar>
        </w:tblPrEx>
        <w:trPr>
          <w:cantSplit/>
          <w:jc w:val="center"/>
        </w:trPr>
        <w:tc>
          <w:tcPr>
            <w:tcW w:w="2016" w:type="dxa"/>
            <w:shd w:val="clear" w:color="auto" w:fill="FFFFFF"/>
            <w:tcMar>
              <w:top w:w="75" w:type="dxa"/>
              <w:left w:w="95" w:type="dxa"/>
              <w:bottom w:w="75" w:type="dxa"/>
              <w:right w:w="95" w:type="dxa"/>
            </w:tcMar>
            <w:vAlign w:val="center"/>
          </w:tcPr>
          <w:p w14:paraId="0FE332D5" w14:textId="77777777" w:rsidR="00AD34CD" w:rsidRDefault="00000000">
            <w:pPr>
              <w:pStyle w:val="BodyText1"/>
              <w:spacing w:after="0" w:line="240" w:lineRule="auto"/>
            </w:pPr>
            <w:r>
              <w:rPr>
                <w:sz w:val="19"/>
              </w:rPr>
              <w:t>Warning lead time</w:t>
            </w:r>
          </w:p>
        </w:tc>
        <w:tc>
          <w:tcPr>
            <w:tcW w:w="8352" w:type="dxa"/>
            <w:shd w:val="clear" w:color="auto" w:fill="FFFFFF"/>
            <w:tcMar>
              <w:top w:w="75" w:type="dxa"/>
              <w:left w:w="95" w:type="dxa"/>
              <w:bottom w:w="75" w:type="dxa"/>
              <w:right w:w="95" w:type="dxa"/>
            </w:tcMar>
            <w:vAlign w:val="center"/>
          </w:tcPr>
          <w:p w14:paraId="1A21CC4E" w14:textId="26ABFE88" w:rsidR="00AD34CD" w:rsidRDefault="00000000">
            <w:pPr>
              <w:pStyle w:val="BodyText1"/>
              <w:spacing w:after="0" w:line="240" w:lineRule="auto"/>
            </w:pPr>
            <w:r>
              <w:rPr>
                <w:sz w:val="19"/>
              </w:rPr>
              <w:t xml:space="preserve">Cycles from the start of the first alert episode overlapping the useful window to failure. </w:t>
            </w:r>
            <w:r w:rsidR="00407DC8">
              <w:rPr>
                <w:sz w:val="19"/>
              </w:rPr>
              <w:t>Report on</w:t>
            </w:r>
            <w:r>
              <w:rPr>
                <w:sz w:val="19"/>
              </w:rPr>
              <w:t xml:space="preserve"> the </w:t>
            </w:r>
            <w:r w:rsidR="00407DC8">
              <w:rPr>
                <w:sz w:val="19"/>
              </w:rPr>
              <w:t>media</w:t>
            </w:r>
            <w:r>
              <w:rPr>
                <w:sz w:val="19"/>
              </w:rPr>
              <w:t xml:space="preserve"> alongside missed and late counts.</w:t>
            </w:r>
          </w:p>
        </w:tc>
      </w:tr>
    </w:tbl>
    <w:p w14:paraId="3EB0F6CB" w14:textId="77777777" w:rsidR="00AD34CD" w:rsidRDefault="00AD34CD">
      <w:pPr>
        <w:pStyle w:val="BodyText1"/>
        <w:spacing w:after="20"/>
      </w:pPr>
    </w:p>
    <w:p w14:paraId="25F8A935" w14:textId="3B4AC44A" w:rsidR="00AD34CD" w:rsidRDefault="00000000">
      <w:pPr>
        <w:pStyle w:val="BodyText1"/>
      </w:pPr>
      <w:r>
        <w:t xml:space="preserve">Cycles 31 to 45 form a transition band excluded from </w:t>
      </w:r>
      <w:r w:rsidR="00407DC8">
        <w:t>early alarm</w:t>
      </w:r>
      <w:r>
        <w:t xml:space="preserve"> penalties. An earlier alert that remains active can therefore count as a detection, while time spent in alarm before that band remains visible. A continuously active alarm incurs 100% early alarm burden.</w:t>
      </w:r>
    </w:p>
    <w:p w14:paraId="4F801977" w14:textId="77777777" w:rsidR="00AD34CD" w:rsidRDefault="00000000">
      <w:pPr>
        <w:pStyle w:val="BodyText1"/>
      </w:pPr>
      <w:r>
        <w:t>Before model selection, the engineer sets minimum useful detection and maximum early alarm burden. Show which candidates meet both on clean data and each required persistent-fault case. Rank qualifying candidates by mean detection across those cases, weighting cases equally. Display per-case counts and 95% Wilson intervals for engine detection; repeated fault runs do not count as additional engines. Report uncertain comparisons and allow no candidate to qualify.</w:t>
      </w:r>
    </w:p>
    <w:tbl>
      <w:tblPr>
        <w:tblW w:w="10454" w:type="dxa"/>
        <w:tblCellMar>
          <w:left w:w="10" w:type="dxa"/>
          <w:right w:w="10" w:type="dxa"/>
        </w:tblCellMar>
        <w:tblLook w:val="0000" w:firstRow="0" w:lastRow="0" w:firstColumn="0" w:lastColumn="0" w:noHBand="0" w:noVBand="0"/>
      </w:tblPr>
      <w:tblGrid>
        <w:gridCol w:w="8654"/>
        <w:gridCol w:w="1800"/>
      </w:tblGrid>
      <w:tr w:rsidR="00AD34CD" w14:paraId="69024ED5" w14:textId="77777777">
        <w:tblPrEx>
          <w:tblCellMar>
            <w:top w:w="0" w:type="dxa"/>
            <w:bottom w:w="0" w:type="dxa"/>
          </w:tblCellMar>
        </w:tblPrEx>
        <w:tc>
          <w:tcPr>
            <w:tcW w:w="8654" w:type="dxa"/>
            <w:shd w:val="clear" w:color="auto" w:fill="C8102E"/>
            <w:tcMar>
              <w:top w:w="120" w:type="dxa"/>
              <w:left w:w="200" w:type="dxa"/>
              <w:bottom w:w="120" w:type="dxa"/>
              <w:right w:w="200" w:type="dxa"/>
            </w:tcMar>
            <w:vAlign w:val="center"/>
          </w:tcPr>
          <w:p w14:paraId="005DC174" w14:textId="72D2AC2C" w:rsidR="00AD34CD" w:rsidRDefault="00407DC8">
            <w:pPr>
              <w:keepNext/>
            </w:pPr>
            <w:r>
              <w:rPr>
                <w:b/>
                <w:bCs/>
                <w:color w:val="FFFFFF"/>
                <w:sz w:val="24"/>
                <w:szCs w:val="24"/>
              </w:rPr>
              <w:t>5 Implementation</w:t>
            </w:r>
            <w:r w:rsidR="00000000">
              <w:rPr>
                <w:b/>
                <w:bCs/>
                <w:color w:val="FFFFFF"/>
                <w:sz w:val="24"/>
                <w:szCs w:val="24"/>
              </w:rPr>
              <w:t xml:space="preserve"> and Impact</w:t>
            </w:r>
          </w:p>
        </w:tc>
        <w:tc>
          <w:tcPr>
            <w:tcW w:w="1800" w:type="dxa"/>
            <w:shd w:val="clear" w:color="auto" w:fill="0B0B14"/>
            <w:tcMar>
              <w:top w:w="120" w:type="dxa"/>
              <w:left w:w="100" w:type="dxa"/>
              <w:bottom w:w="120" w:type="dxa"/>
              <w:right w:w="100" w:type="dxa"/>
            </w:tcMar>
            <w:vAlign w:val="center"/>
          </w:tcPr>
          <w:p w14:paraId="27D31CBD" w14:textId="77777777" w:rsidR="00AD34CD" w:rsidRDefault="00000000">
            <w:pPr>
              <w:keepNext/>
              <w:jc w:val="center"/>
            </w:pPr>
            <w:r>
              <w:rPr>
                <w:b/>
                <w:bCs/>
                <w:color w:val="FFFFFF"/>
                <w:sz w:val="16"/>
                <w:szCs w:val="16"/>
              </w:rPr>
              <w:t>DELIVERY</w:t>
            </w:r>
          </w:p>
        </w:tc>
      </w:tr>
    </w:tbl>
    <w:p w14:paraId="1897373E" w14:textId="77777777" w:rsidR="00AD34CD" w:rsidRDefault="00AD34CD">
      <w:pPr>
        <w:pStyle w:val="BodyText1"/>
        <w:spacing w:after="40"/>
      </w:pPr>
    </w:p>
    <w:p w14:paraId="7C2F14A5" w14:textId="77777777" w:rsidR="00AD34CD" w:rsidRDefault="00000000">
      <w:pPr>
        <w:pStyle w:val="BodyText1"/>
      </w:pPr>
      <w:r>
        <w:t>Proposed responsibilities: Kareem leads data preparation and model evaluation; Adam leads the application and copilot. Both review scoring and integrate the demo. Development follows the 18 to 28 September prototype window.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296"/>
        <w:gridCol w:w="4032"/>
        <w:gridCol w:w="5040"/>
      </w:tblGrid>
      <w:tr w:rsidR="00AD34CD" w14:paraId="04F970C0" w14:textId="77777777">
        <w:tblPrEx>
          <w:tblCellMar>
            <w:top w:w="0" w:type="dxa"/>
            <w:bottom w:w="0" w:type="dxa"/>
          </w:tblCellMar>
        </w:tblPrEx>
        <w:trPr>
          <w:cantSplit/>
          <w:tblHeader/>
          <w:jc w:val="center"/>
        </w:trPr>
        <w:tc>
          <w:tcPr>
            <w:tcW w:w="1296" w:type="dxa"/>
            <w:shd w:val="clear" w:color="auto" w:fill="0B0B14"/>
            <w:tcMar>
              <w:top w:w="75" w:type="dxa"/>
              <w:left w:w="95" w:type="dxa"/>
              <w:bottom w:w="75" w:type="dxa"/>
              <w:right w:w="95" w:type="dxa"/>
            </w:tcMar>
            <w:vAlign w:val="center"/>
          </w:tcPr>
          <w:p w14:paraId="3537F6F4" w14:textId="77777777" w:rsidR="00AD34CD" w:rsidRDefault="00000000">
            <w:pPr>
              <w:pStyle w:val="BodyText1"/>
              <w:spacing w:after="0" w:line="240" w:lineRule="auto"/>
            </w:pPr>
            <w:r>
              <w:rPr>
                <w:b/>
                <w:color w:val="FFFFFF"/>
                <w:sz w:val="19"/>
              </w:rPr>
              <w:t>Dates</w:t>
            </w:r>
          </w:p>
        </w:tc>
        <w:tc>
          <w:tcPr>
            <w:tcW w:w="4032" w:type="dxa"/>
            <w:shd w:val="clear" w:color="auto" w:fill="0B0B14"/>
            <w:tcMar>
              <w:top w:w="75" w:type="dxa"/>
              <w:left w:w="95" w:type="dxa"/>
              <w:bottom w:w="75" w:type="dxa"/>
              <w:right w:w="95" w:type="dxa"/>
            </w:tcMar>
            <w:vAlign w:val="center"/>
          </w:tcPr>
          <w:p w14:paraId="3F09AF9B" w14:textId="77777777" w:rsidR="00AD34CD" w:rsidRDefault="00000000">
            <w:pPr>
              <w:pStyle w:val="BodyText1"/>
              <w:spacing w:after="0" w:line="240" w:lineRule="auto"/>
            </w:pPr>
            <w:r>
              <w:rPr>
                <w:b/>
                <w:color w:val="FFFFFF"/>
                <w:sz w:val="19"/>
              </w:rPr>
              <w:t>Model evaluation</w:t>
            </w:r>
          </w:p>
        </w:tc>
        <w:tc>
          <w:tcPr>
            <w:tcW w:w="5040" w:type="dxa"/>
            <w:shd w:val="clear" w:color="auto" w:fill="0B0B14"/>
            <w:tcMar>
              <w:top w:w="75" w:type="dxa"/>
              <w:left w:w="95" w:type="dxa"/>
              <w:bottom w:w="75" w:type="dxa"/>
              <w:right w:w="95" w:type="dxa"/>
            </w:tcMar>
            <w:vAlign w:val="center"/>
          </w:tcPr>
          <w:p w14:paraId="71A2934A" w14:textId="77777777" w:rsidR="00AD34CD" w:rsidRDefault="00000000">
            <w:pPr>
              <w:pStyle w:val="BodyText1"/>
              <w:spacing w:after="0" w:line="240" w:lineRule="auto"/>
            </w:pPr>
            <w:r>
              <w:rPr>
                <w:b/>
                <w:color w:val="FFFFFF"/>
                <w:sz w:val="19"/>
              </w:rPr>
              <w:t>Application and delivery</w:t>
            </w:r>
          </w:p>
        </w:tc>
      </w:tr>
      <w:tr w:rsidR="00AD34CD" w14:paraId="56F5A92E" w14:textId="77777777">
        <w:tblPrEx>
          <w:tblCellMar>
            <w:top w:w="0" w:type="dxa"/>
            <w:bottom w:w="0" w:type="dxa"/>
          </w:tblCellMar>
        </w:tblPrEx>
        <w:trPr>
          <w:cantSplit/>
          <w:jc w:val="center"/>
        </w:trPr>
        <w:tc>
          <w:tcPr>
            <w:tcW w:w="1296" w:type="dxa"/>
            <w:shd w:val="clear" w:color="auto" w:fill="F3F3F3"/>
            <w:tcMar>
              <w:top w:w="75" w:type="dxa"/>
              <w:left w:w="95" w:type="dxa"/>
              <w:bottom w:w="75" w:type="dxa"/>
              <w:right w:w="95" w:type="dxa"/>
            </w:tcMar>
            <w:vAlign w:val="center"/>
          </w:tcPr>
          <w:p w14:paraId="70673AC2" w14:textId="77777777" w:rsidR="00AD34CD" w:rsidRDefault="00000000">
            <w:pPr>
              <w:pStyle w:val="BodyText1"/>
              <w:spacing w:after="0" w:line="240" w:lineRule="auto"/>
            </w:pPr>
            <w:r>
              <w:rPr>
                <w:sz w:val="19"/>
              </w:rPr>
              <w:t>18 to 20 Sep</w:t>
            </w:r>
          </w:p>
        </w:tc>
        <w:tc>
          <w:tcPr>
            <w:tcW w:w="4032" w:type="dxa"/>
            <w:shd w:val="clear" w:color="auto" w:fill="F3F3F3"/>
            <w:tcMar>
              <w:top w:w="75" w:type="dxa"/>
              <w:left w:w="95" w:type="dxa"/>
              <w:bottom w:w="75" w:type="dxa"/>
              <w:right w:w="95" w:type="dxa"/>
            </w:tcMar>
            <w:vAlign w:val="center"/>
          </w:tcPr>
          <w:p w14:paraId="4346097B" w14:textId="77777777" w:rsidR="00AD34CD" w:rsidRDefault="00000000">
            <w:pPr>
              <w:pStyle w:val="BodyText1"/>
              <w:spacing w:after="0" w:line="240" w:lineRule="auto"/>
            </w:pPr>
            <w:r>
              <w:rPr>
                <w:sz w:val="19"/>
              </w:rPr>
              <w:t>Data checks, partitions, baseline models.</w:t>
            </w:r>
          </w:p>
        </w:tc>
        <w:tc>
          <w:tcPr>
            <w:tcW w:w="5040" w:type="dxa"/>
            <w:shd w:val="clear" w:color="auto" w:fill="F3F3F3"/>
            <w:tcMar>
              <w:top w:w="75" w:type="dxa"/>
              <w:left w:w="95" w:type="dxa"/>
              <w:bottom w:w="75" w:type="dxa"/>
              <w:right w:w="95" w:type="dxa"/>
            </w:tcMar>
            <w:vAlign w:val="center"/>
          </w:tcPr>
          <w:p w14:paraId="70E687D3" w14:textId="77777777" w:rsidR="00AD34CD" w:rsidRDefault="00000000">
            <w:pPr>
              <w:pStyle w:val="BodyText1"/>
              <w:spacing w:after="0" w:line="240" w:lineRule="auto"/>
            </w:pPr>
            <w:r>
              <w:rPr>
                <w:sz w:val="19"/>
              </w:rPr>
              <w:t>Upload flow, column mapping, job status, first tool calls.</w:t>
            </w:r>
          </w:p>
        </w:tc>
      </w:tr>
      <w:tr w:rsidR="00AD34CD" w14:paraId="720C2593" w14:textId="77777777">
        <w:tblPrEx>
          <w:tblCellMar>
            <w:top w:w="0" w:type="dxa"/>
            <w:bottom w:w="0" w:type="dxa"/>
          </w:tblCellMar>
        </w:tblPrEx>
        <w:trPr>
          <w:cantSplit/>
          <w:jc w:val="center"/>
        </w:trPr>
        <w:tc>
          <w:tcPr>
            <w:tcW w:w="1296" w:type="dxa"/>
            <w:shd w:val="clear" w:color="auto" w:fill="FFFFFF"/>
            <w:tcMar>
              <w:top w:w="75" w:type="dxa"/>
              <w:left w:w="95" w:type="dxa"/>
              <w:bottom w:w="75" w:type="dxa"/>
              <w:right w:w="95" w:type="dxa"/>
            </w:tcMar>
            <w:vAlign w:val="center"/>
          </w:tcPr>
          <w:p w14:paraId="2968298C" w14:textId="77777777" w:rsidR="00AD34CD" w:rsidRDefault="00000000">
            <w:pPr>
              <w:pStyle w:val="BodyText1"/>
              <w:spacing w:after="0" w:line="240" w:lineRule="auto"/>
            </w:pPr>
            <w:r>
              <w:rPr>
                <w:sz w:val="19"/>
              </w:rPr>
              <w:t>21 to 23 Sep</w:t>
            </w:r>
          </w:p>
        </w:tc>
        <w:tc>
          <w:tcPr>
            <w:tcW w:w="4032" w:type="dxa"/>
            <w:shd w:val="clear" w:color="auto" w:fill="FFFFFF"/>
            <w:tcMar>
              <w:top w:w="75" w:type="dxa"/>
              <w:left w:w="95" w:type="dxa"/>
              <w:bottom w:w="75" w:type="dxa"/>
              <w:right w:w="95" w:type="dxa"/>
            </w:tcMar>
            <w:vAlign w:val="center"/>
          </w:tcPr>
          <w:p w14:paraId="1C0E9F8D" w14:textId="77777777" w:rsidR="00AD34CD" w:rsidRDefault="00000000">
            <w:pPr>
              <w:pStyle w:val="BodyText1"/>
              <w:spacing w:after="0" w:line="240" w:lineRule="auto"/>
            </w:pPr>
            <w:r>
              <w:rPr>
                <w:sz w:val="19"/>
              </w:rPr>
              <w:t>Persistent faults, augmentation, scoring.</w:t>
            </w:r>
          </w:p>
        </w:tc>
        <w:tc>
          <w:tcPr>
            <w:tcW w:w="5040" w:type="dxa"/>
            <w:shd w:val="clear" w:color="auto" w:fill="FFFFFF"/>
            <w:tcMar>
              <w:top w:w="75" w:type="dxa"/>
              <w:left w:w="95" w:type="dxa"/>
              <w:bottom w:w="75" w:type="dxa"/>
              <w:right w:w="95" w:type="dxa"/>
            </w:tcMar>
            <w:vAlign w:val="center"/>
          </w:tcPr>
          <w:p w14:paraId="780BA6D5" w14:textId="77777777" w:rsidR="00AD34CD" w:rsidRDefault="00000000">
            <w:pPr>
              <w:pStyle w:val="BodyText1"/>
              <w:spacing w:after="0" w:line="240" w:lineRule="auto"/>
            </w:pPr>
            <w:r>
              <w:rPr>
                <w:sz w:val="19"/>
              </w:rPr>
              <w:t>Comparison view, warning replay, linked run evidence.</w:t>
            </w:r>
          </w:p>
        </w:tc>
      </w:tr>
      <w:tr w:rsidR="00AD34CD" w14:paraId="21200EB7" w14:textId="77777777">
        <w:tblPrEx>
          <w:tblCellMar>
            <w:top w:w="0" w:type="dxa"/>
            <w:bottom w:w="0" w:type="dxa"/>
          </w:tblCellMar>
        </w:tblPrEx>
        <w:trPr>
          <w:cantSplit/>
          <w:jc w:val="center"/>
        </w:trPr>
        <w:tc>
          <w:tcPr>
            <w:tcW w:w="1296" w:type="dxa"/>
            <w:shd w:val="clear" w:color="auto" w:fill="F3F3F3"/>
            <w:tcMar>
              <w:top w:w="75" w:type="dxa"/>
              <w:left w:w="95" w:type="dxa"/>
              <w:bottom w:w="75" w:type="dxa"/>
              <w:right w:w="95" w:type="dxa"/>
            </w:tcMar>
            <w:vAlign w:val="center"/>
          </w:tcPr>
          <w:p w14:paraId="570A5D54" w14:textId="77777777" w:rsidR="00AD34CD" w:rsidRDefault="00000000">
            <w:pPr>
              <w:pStyle w:val="BodyText1"/>
              <w:spacing w:after="0" w:line="240" w:lineRule="auto"/>
            </w:pPr>
            <w:r>
              <w:rPr>
                <w:sz w:val="19"/>
              </w:rPr>
              <w:t>24 to 25 Sep</w:t>
            </w:r>
          </w:p>
        </w:tc>
        <w:tc>
          <w:tcPr>
            <w:tcW w:w="4032" w:type="dxa"/>
            <w:shd w:val="clear" w:color="auto" w:fill="F3F3F3"/>
            <w:tcMar>
              <w:top w:w="75" w:type="dxa"/>
              <w:left w:w="95" w:type="dxa"/>
              <w:bottom w:w="75" w:type="dxa"/>
              <w:right w:w="95" w:type="dxa"/>
            </w:tcMar>
            <w:vAlign w:val="center"/>
          </w:tcPr>
          <w:p w14:paraId="43AB5321" w14:textId="77777777" w:rsidR="00AD34CD" w:rsidRDefault="00000000">
            <w:pPr>
              <w:pStyle w:val="BodyText1"/>
              <w:spacing w:after="0" w:line="240" w:lineRule="auto"/>
            </w:pPr>
            <w:r>
              <w:rPr>
                <w:sz w:val="19"/>
              </w:rPr>
              <w:t>Cross-validation, thresholds, configuration freeze.</w:t>
            </w:r>
          </w:p>
        </w:tc>
        <w:tc>
          <w:tcPr>
            <w:tcW w:w="5040" w:type="dxa"/>
            <w:shd w:val="clear" w:color="auto" w:fill="F3F3F3"/>
            <w:tcMar>
              <w:top w:w="75" w:type="dxa"/>
              <w:left w:w="95" w:type="dxa"/>
              <w:bottom w:w="75" w:type="dxa"/>
              <w:right w:w="95" w:type="dxa"/>
            </w:tcMar>
            <w:vAlign w:val="center"/>
          </w:tcPr>
          <w:p w14:paraId="1EA0FD3F" w14:textId="77777777" w:rsidR="00AD34CD" w:rsidRDefault="00000000">
            <w:pPr>
              <w:pStyle w:val="BodyText1"/>
              <w:spacing w:after="0" w:line="240" w:lineRule="auto"/>
            </w:pPr>
            <w:r>
              <w:rPr>
                <w:sz w:val="19"/>
              </w:rPr>
              <w:t>Report checks, endpoint export, integration.</w:t>
            </w:r>
          </w:p>
        </w:tc>
      </w:tr>
      <w:tr w:rsidR="00AD34CD" w14:paraId="1A4EC745" w14:textId="77777777">
        <w:tblPrEx>
          <w:tblCellMar>
            <w:top w:w="0" w:type="dxa"/>
            <w:bottom w:w="0" w:type="dxa"/>
          </w:tblCellMar>
        </w:tblPrEx>
        <w:trPr>
          <w:cantSplit/>
          <w:jc w:val="center"/>
        </w:trPr>
        <w:tc>
          <w:tcPr>
            <w:tcW w:w="1296" w:type="dxa"/>
            <w:shd w:val="clear" w:color="auto" w:fill="FFFFFF"/>
            <w:tcMar>
              <w:top w:w="75" w:type="dxa"/>
              <w:left w:w="95" w:type="dxa"/>
              <w:bottom w:w="75" w:type="dxa"/>
              <w:right w:w="95" w:type="dxa"/>
            </w:tcMar>
            <w:vAlign w:val="center"/>
          </w:tcPr>
          <w:p w14:paraId="65E13821" w14:textId="77777777" w:rsidR="00AD34CD" w:rsidRDefault="00000000">
            <w:pPr>
              <w:pStyle w:val="BodyText1"/>
              <w:spacing w:after="0" w:line="240" w:lineRule="auto"/>
            </w:pPr>
            <w:r>
              <w:rPr>
                <w:sz w:val="19"/>
              </w:rPr>
              <w:t>26 to 27 Sep</w:t>
            </w:r>
          </w:p>
        </w:tc>
        <w:tc>
          <w:tcPr>
            <w:tcW w:w="4032" w:type="dxa"/>
            <w:shd w:val="clear" w:color="auto" w:fill="FFFFFF"/>
            <w:tcMar>
              <w:top w:w="75" w:type="dxa"/>
              <w:left w:w="95" w:type="dxa"/>
              <w:bottom w:w="75" w:type="dxa"/>
              <w:right w:w="95" w:type="dxa"/>
            </w:tcMar>
            <w:vAlign w:val="center"/>
          </w:tcPr>
          <w:p w14:paraId="0C3325EE" w14:textId="77777777" w:rsidR="00AD34CD" w:rsidRDefault="00000000">
            <w:pPr>
              <w:pStyle w:val="BodyText1"/>
              <w:spacing w:after="0" w:line="240" w:lineRule="auto"/>
            </w:pPr>
            <w:r>
              <w:rPr>
                <w:sz w:val="19"/>
              </w:rPr>
              <w:t>One final evaluation and reproducibility checks.</w:t>
            </w:r>
          </w:p>
        </w:tc>
        <w:tc>
          <w:tcPr>
            <w:tcW w:w="5040" w:type="dxa"/>
            <w:shd w:val="clear" w:color="auto" w:fill="FFFFFF"/>
            <w:tcMar>
              <w:top w:w="75" w:type="dxa"/>
              <w:left w:w="95" w:type="dxa"/>
              <w:bottom w:w="75" w:type="dxa"/>
              <w:right w:w="95" w:type="dxa"/>
            </w:tcMar>
            <w:vAlign w:val="center"/>
          </w:tcPr>
          <w:p w14:paraId="2142CA12" w14:textId="77777777" w:rsidR="00AD34CD" w:rsidRDefault="00000000">
            <w:pPr>
              <w:pStyle w:val="BodyText1"/>
              <w:spacing w:after="0" w:line="240" w:lineRule="auto"/>
            </w:pPr>
            <w:r>
              <w:rPr>
                <w:sz w:val="19"/>
              </w:rPr>
              <w:t>Demo recording, documentation, submission package.</w:t>
            </w:r>
          </w:p>
        </w:tc>
      </w:tr>
      <w:tr w:rsidR="00AD34CD" w14:paraId="6D56CC45" w14:textId="77777777">
        <w:tblPrEx>
          <w:tblCellMar>
            <w:top w:w="0" w:type="dxa"/>
            <w:bottom w:w="0" w:type="dxa"/>
          </w:tblCellMar>
        </w:tblPrEx>
        <w:trPr>
          <w:cantSplit/>
          <w:jc w:val="center"/>
        </w:trPr>
        <w:tc>
          <w:tcPr>
            <w:tcW w:w="1296" w:type="dxa"/>
            <w:shd w:val="clear" w:color="auto" w:fill="F3F3F3"/>
            <w:tcMar>
              <w:top w:w="75" w:type="dxa"/>
              <w:left w:w="95" w:type="dxa"/>
              <w:bottom w:w="75" w:type="dxa"/>
              <w:right w:w="95" w:type="dxa"/>
            </w:tcMar>
            <w:vAlign w:val="center"/>
          </w:tcPr>
          <w:p w14:paraId="5B3F546B" w14:textId="77777777" w:rsidR="00AD34CD" w:rsidRDefault="00000000">
            <w:pPr>
              <w:pStyle w:val="BodyText1"/>
              <w:spacing w:after="0" w:line="240" w:lineRule="auto"/>
            </w:pPr>
            <w:r>
              <w:rPr>
                <w:sz w:val="19"/>
              </w:rPr>
              <w:t>28 Sep</w:t>
            </w:r>
          </w:p>
        </w:tc>
        <w:tc>
          <w:tcPr>
            <w:tcW w:w="4032" w:type="dxa"/>
            <w:shd w:val="clear" w:color="auto" w:fill="F3F3F3"/>
            <w:tcMar>
              <w:top w:w="75" w:type="dxa"/>
              <w:left w:w="95" w:type="dxa"/>
              <w:bottom w:w="75" w:type="dxa"/>
              <w:right w:w="95" w:type="dxa"/>
            </w:tcMar>
            <w:vAlign w:val="center"/>
          </w:tcPr>
          <w:p w14:paraId="2796691C" w14:textId="77777777" w:rsidR="00AD34CD" w:rsidRDefault="00000000">
            <w:pPr>
              <w:pStyle w:val="BodyText1"/>
              <w:spacing w:after="0" w:line="240" w:lineRule="auto"/>
            </w:pPr>
            <w:r>
              <w:rPr>
                <w:sz w:val="19"/>
              </w:rPr>
              <w:t>Contingency for defects and final checks.</w:t>
            </w:r>
          </w:p>
        </w:tc>
        <w:tc>
          <w:tcPr>
            <w:tcW w:w="5040" w:type="dxa"/>
            <w:shd w:val="clear" w:color="auto" w:fill="F3F3F3"/>
            <w:tcMar>
              <w:top w:w="75" w:type="dxa"/>
              <w:left w:w="95" w:type="dxa"/>
              <w:bottom w:w="75" w:type="dxa"/>
              <w:right w:w="95" w:type="dxa"/>
            </w:tcMar>
            <w:vAlign w:val="center"/>
          </w:tcPr>
          <w:p w14:paraId="504B21A6" w14:textId="77777777" w:rsidR="00AD34CD" w:rsidRDefault="00000000">
            <w:pPr>
              <w:pStyle w:val="BodyText1"/>
              <w:spacing w:after="0" w:line="240" w:lineRule="auto"/>
            </w:pPr>
            <w:r>
              <w:rPr>
                <w:sz w:val="19"/>
              </w:rPr>
              <w:t>Delivery buffer; no new features.</w:t>
            </w:r>
          </w:p>
        </w:tc>
      </w:tr>
    </w:tbl>
    <w:p w14:paraId="35E773A5" w14:textId="77777777" w:rsidR="00AD34CD" w:rsidRDefault="00AD34CD">
      <w:pPr>
        <w:pStyle w:val="BodyText1"/>
        <w:spacing w:after="20"/>
      </w:pPr>
    </w:p>
    <w:p w14:paraId="0B4C4F18" w14:textId="77777777" w:rsidR="00AD34CD" w:rsidRDefault="00000000">
      <w:pPr>
        <w:pStyle w:val="BodyText1"/>
      </w:pPr>
      <w:r>
        <w:t>Completion means a reproducible comparison, a working replay, an evidence-linked report, and a Docker-packaged prediction endpoint. Scripted checks cover ambiguous columns, missing labels, a single-engine upload, failed training, and a case where no model meets the requirements. A ranking change or successful retraining must come from the experiment, not a scripted result.</w:t>
      </w:r>
    </w:p>
    <w:p w14:paraId="09831082" w14:textId="77777777" w:rsidR="00AD34CD" w:rsidRDefault="00000000">
      <w:pPr>
        <w:pStyle w:val="BodyText1"/>
        <w:spacing w:after="0"/>
      </w:pPr>
      <w:r>
        <w:t>After the prototype, practitioner sessions will test whether Sidekick shortens model review and helps users recognize limitations. Compare the assistant with the same workflow operated through forms. Plant trials would then assess whether better model selection changes inspection decisions and downtime.</w:t>
      </w:r>
    </w:p>
    <w:p w14:paraId="041CF4F7" w14:textId="77777777" w:rsidR="00AD34CD" w:rsidRDefault="00000000">
      <w:r>
        <w:br w:type="page"/>
      </w:r>
    </w:p>
    <w:tbl>
      <w:tblPr>
        <w:tblW w:w="10454" w:type="dxa"/>
        <w:tblCellMar>
          <w:left w:w="10" w:type="dxa"/>
          <w:right w:w="10" w:type="dxa"/>
        </w:tblCellMar>
        <w:tblLook w:val="0000" w:firstRow="0" w:lastRow="0" w:firstColumn="0" w:lastColumn="0" w:noHBand="0" w:noVBand="0"/>
      </w:tblPr>
      <w:tblGrid>
        <w:gridCol w:w="8654"/>
        <w:gridCol w:w="1800"/>
      </w:tblGrid>
      <w:tr w:rsidR="00AD34CD" w14:paraId="43561AC2" w14:textId="77777777">
        <w:tblPrEx>
          <w:tblCellMar>
            <w:top w:w="0" w:type="dxa"/>
            <w:bottom w:w="0" w:type="dxa"/>
          </w:tblCellMar>
        </w:tblPrEx>
        <w:tc>
          <w:tcPr>
            <w:tcW w:w="8654" w:type="dxa"/>
            <w:shd w:val="clear" w:color="auto" w:fill="C8102E"/>
            <w:tcMar>
              <w:top w:w="120" w:type="dxa"/>
              <w:left w:w="200" w:type="dxa"/>
              <w:bottom w:w="120" w:type="dxa"/>
              <w:right w:w="200" w:type="dxa"/>
            </w:tcMar>
            <w:vAlign w:val="center"/>
          </w:tcPr>
          <w:p w14:paraId="65EE61DF" w14:textId="49EA957B" w:rsidR="00AD34CD" w:rsidRDefault="00407DC8">
            <w:pPr>
              <w:keepNext/>
            </w:pPr>
            <w:r>
              <w:rPr>
                <w:b/>
                <w:bCs/>
                <w:color w:val="FFFFFF"/>
                <w:sz w:val="24"/>
                <w:szCs w:val="24"/>
              </w:rPr>
              <w:lastRenderedPageBreak/>
              <w:t>6 Methodology</w:t>
            </w:r>
            <w:r w:rsidR="00000000">
              <w:rPr>
                <w:b/>
                <w:bCs/>
                <w:color w:val="FFFFFF"/>
                <w:sz w:val="24"/>
                <w:szCs w:val="24"/>
              </w:rPr>
              <w:t xml:space="preserve"> and Architecture Diagram</w:t>
            </w:r>
          </w:p>
        </w:tc>
        <w:tc>
          <w:tcPr>
            <w:tcW w:w="1800" w:type="dxa"/>
            <w:shd w:val="clear" w:color="auto" w:fill="0B0B14"/>
            <w:tcMar>
              <w:top w:w="120" w:type="dxa"/>
              <w:left w:w="100" w:type="dxa"/>
              <w:bottom w:w="120" w:type="dxa"/>
              <w:right w:w="100" w:type="dxa"/>
            </w:tcMar>
            <w:vAlign w:val="center"/>
          </w:tcPr>
          <w:p w14:paraId="052DA66B" w14:textId="77777777" w:rsidR="00AD34CD" w:rsidRDefault="00000000">
            <w:pPr>
              <w:keepNext/>
              <w:jc w:val="center"/>
            </w:pPr>
            <w:r>
              <w:rPr>
                <w:b/>
                <w:bCs/>
                <w:color w:val="FFFFFF"/>
                <w:sz w:val="16"/>
                <w:szCs w:val="16"/>
              </w:rPr>
              <w:t>ARCHITECTURE</w:t>
            </w:r>
          </w:p>
        </w:tc>
      </w:tr>
    </w:tbl>
    <w:p w14:paraId="594D4DAE" w14:textId="77777777" w:rsidR="00AD34CD" w:rsidRDefault="00AD34CD">
      <w:pPr>
        <w:pStyle w:val="BodyText1"/>
        <w:spacing w:after="40"/>
      </w:pPr>
    </w:p>
    <w:p w14:paraId="05A9F7D0" w14:textId="77777777" w:rsidR="00AD34CD" w:rsidRDefault="00000000">
      <w:pPr>
        <w:pStyle w:val="BodyText1"/>
      </w:pPr>
      <w:r>
        <w:t>Python services own the calculations and recorded results. The copilot helps the engineer configure the work and investigate what comes back.</w:t>
      </w:r>
    </w:p>
    <w:p w14:paraId="649493BE" w14:textId="77777777" w:rsidR="00AD34CD" w:rsidRDefault="00000000">
      <w:pPr>
        <w:spacing w:after="60"/>
      </w:pPr>
      <w:r>
        <w:rPr>
          <w:noProof/>
        </w:rPr>
        <w:drawing>
          <wp:inline distT="0" distB="0" distL="0" distR="0" wp14:anchorId="2283C594" wp14:editId="343F8F9D">
            <wp:extent cx="6583680" cy="1463040"/>
            <wp:effectExtent l="0" t="0" r="0" b="0"/>
            <wp:docPr id="1" name="Picture 1" descr="The engineer uses the copilot to map data, set criteria, and query evidence. The backend profiles data, trains candidates, tests faults and a retraining remedy, and records results. The engineer reviews and exports 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6583680" cy="1463040"/>
                    </a:xfrm>
                    <a:prstGeom prst="rect">
                      <a:avLst/>
                    </a:prstGeom>
                  </pic:spPr>
                </pic:pic>
              </a:graphicData>
            </a:graphic>
          </wp:inline>
        </w:drawing>
      </w:r>
    </w:p>
    <w:p w14:paraId="32F4CE2B" w14:textId="79FD003E" w:rsidR="00AD34CD" w:rsidRDefault="00000000">
      <w:pPr>
        <w:pStyle w:val="Caption1"/>
      </w:pPr>
      <w:r>
        <w:t xml:space="preserve">Figure </w:t>
      </w:r>
      <w:r w:rsidR="00407DC8">
        <w:t>1 Proposed</w:t>
      </w:r>
      <w:r>
        <w:t xml:space="preserve"> workflow and service responsibilities</w:t>
      </w:r>
    </w:p>
    <w:p w14:paraId="749621E8" w14:textId="77777777" w:rsidR="00AD34CD" w:rsidRDefault="00000000">
      <w:pPr>
        <w:pStyle w:val="Heading2"/>
        <w:spacing w:after="100"/>
      </w:pPr>
      <w:r>
        <w:t>Copilot behavior</w:t>
      </w:r>
    </w:p>
    <w:p w14:paraId="3E9FBCC3" w14:textId="77777777" w:rsidR="00AD34CD" w:rsidRDefault="00000000">
      <w:pPr>
        <w:pStyle w:val="BodyText1"/>
      </w:pPr>
      <w:r>
        <w:t xml:space="preserve">GPT-5.4 mini will use function calling [2] to propose CSV mappings, translate alert requirements into explicit settings, and query </w:t>
      </w:r>
      <w:proofErr w:type="spellStart"/>
      <w:r>
        <w:t>MLflow</w:t>
      </w:r>
      <w:proofErr w:type="spellEnd"/>
      <w:r>
        <w:t xml:space="preserve"> runs. The engineer confirms mappings and criteria before training. Tools include </w:t>
      </w:r>
      <w:proofErr w:type="spellStart"/>
      <w:r>
        <w:t>profile_dataset</w:t>
      </w:r>
      <w:proofErr w:type="spellEnd"/>
      <w:r>
        <w:t xml:space="preserve">, </w:t>
      </w:r>
      <w:proofErr w:type="spellStart"/>
      <w:r>
        <w:t>map_columns</w:t>
      </w:r>
      <w:proofErr w:type="spellEnd"/>
      <w:r>
        <w:t xml:space="preserve">, </w:t>
      </w:r>
      <w:proofErr w:type="spellStart"/>
      <w:r>
        <w:t>train_candidates</w:t>
      </w:r>
      <w:proofErr w:type="spellEnd"/>
      <w:r>
        <w:t xml:space="preserve">, </w:t>
      </w:r>
      <w:proofErr w:type="spellStart"/>
      <w:r>
        <w:t>run_fault_tests</w:t>
      </w:r>
      <w:proofErr w:type="spellEnd"/>
      <w:r>
        <w:t xml:space="preserve">, </w:t>
      </w:r>
      <w:proofErr w:type="spellStart"/>
      <w:r>
        <w:t>query_runs</w:t>
      </w:r>
      <w:proofErr w:type="spellEnd"/>
      <w:r>
        <w:t xml:space="preserve">, and </w:t>
      </w:r>
      <w:proofErr w:type="spellStart"/>
      <w:r>
        <w:t>draft_report</w:t>
      </w:r>
      <w:proofErr w:type="spellEnd"/>
      <w:r>
        <w:t>.</w:t>
      </w:r>
    </w:p>
    <w:p w14:paraId="11196BDF" w14:textId="502DA6F9" w:rsidR="00AD34CD" w:rsidRDefault="00000000">
      <w:pPr>
        <w:pStyle w:val="BodyText1"/>
      </w:pPr>
      <w:r>
        <w:t xml:space="preserve">For example, the engineer can ask, "Did retraining help under dropout without increasing early alarms?" The copilot retrieves paired runs, checks their data and test settings match, and explains the results with run links. Further diagnostics use development data. </w:t>
      </w:r>
      <w:r w:rsidR="00407DC8">
        <w:t>Final test</w:t>
      </w:r>
      <w:r>
        <w:t xml:space="preserve"> results and acceptance criteria remain fixed.</w:t>
      </w:r>
    </w:p>
    <w:p w14:paraId="174BF420" w14:textId="77777777" w:rsidR="00AD34CD" w:rsidRDefault="00000000">
      <w:pPr>
        <w:pStyle w:val="Heading2"/>
        <w:spacing w:after="100"/>
      </w:pPr>
      <w:r>
        <w:t>Explanations and confidence</w:t>
      </w:r>
    </w:p>
    <w:p w14:paraId="57E1263F" w14:textId="77777777" w:rsidR="00AD34CD" w:rsidRDefault="00000000">
      <w:pPr>
        <w:pStyle w:val="BodyText1"/>
      </w:pPr>
      <w:r>
        <w:t>For an inspected tree-model alert, SHAP will show which inputs influenced the prediction. The comparison will include a reliability plot and Brier score from out-of-fold predictions, repeated on the final test set. This checks how predicted risks correspond to observed labels. Poorly calibrated estimates will be identified, and the LLM will not assign its own confidence to a numerical result.</w:t>
      </w:r>
    </w:p>
    <w:p w14:paraId="738528AF" w14:textId="77777777" w:rsidR="00AD34CD" w:rsidRDefault="00000000">
      <w:pPr>
        <w:pStyle w:val="Heading2"/>
        <w:spacing w:after="100"/>
      </w:pPr>
      <w:r>
        <w:t>Technical components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872"/>
        <w:gridCol w:w="8496"/>
      </w:tblGrid>
      <w:tr w:rsidR="00AD34CD" w14:paraId="6AE7A24A" w14:textId="77777777">
        <w:tblPrEx>
          <w:tblCellMar>
            <w:top w:w="0" w:type="dxa"/>
            <w:bottom w:w="0" w:type="dxa"/>
          </w:tblCellMar>
        </w:tblPrEx>
        <w:trPr>
          <w:cantSplit/>
          <w:tblHeader/>
          <w:jc w:val="center"/>
        </w:trPr>
        <w:tc>
          <w:tcPr>
            <w:tcW w:w="1872" w:type="dxa"/>
            <w:shd w:val="clear" w:color="auto" w:fill="0B0B14"/>
            <w:tcMar>
              <w:top w:w="75" w:type="dxa"/>
              <w:left w:w="95" w:type="dxa"/>
              <w:bottom w:w="75" w:type="dxa"/>
              <w:right w:w="95" w:type="dxa"/>
            </w:tcMar>
            <w:vAlign w:val="center"/>
          </w:tcPr>
          <w:p w14:paraId="5676ADB2" w14:textId="77777777" w:rsidR="00AD34CD" w:rsidRDefault="00000000">
            <w:pPr>
              <w:pStyle w:val="BodyText1"/>
              <w:spacing w:after="0" w:line="240" w:lineRule="auto"/>
            </w:pPr>
            <w:r>
              <w:rPr>
                <w:b/>
                <w:color w:val="FFFFFF"/>
                <w:sz w:val="19"/>
              </w:rPr>
              <w:t>Component</w:t>
            </w:r>
          </w:p>
        </w:tc>
        <w:tc>
          <w:tcPr>
            <w:tcW w:w="8496" w:type="dxa"/>
            <w:shd w:val="clear" w:color="auto" w:fill="0B0B14"/>
            <w:tcMar>
              <w:top w:w="75" w:type="dxa"/>
              <w:left w:w="95" w:type="dxa"/>
              <w:bottom w:w="75" w:type="dxa"/>
              <w:right w:w="95" w:type="dxa"/>
            </w:tcMar>
            <w:vAlign w:val="center"/>
          </w:tcPr>
          <w:p w14:paraId="21F263B4" w14:textId="77777777" w:rsidR="00AD34CD" w:rsidRDefault="00000000">
            <w:pPr>
              <w:pStyle w:val="BodyText1"/>
              <w:spacing w:after="0" w:line="240" w:lineRule="auto"/>
            </w:pPr>
            <w:r>
              <w:rPr>
                <w:b/>
                <w:color w:val="FFFFFF"/>
                <w:sz w:val="19"/>
              </w:rPr>
              <w:t>Prototype choice</w:t>
            </w:r>
          </w:p>
        </w:tc>
      </w:tr>
      <w:tr w:rsidR="00AD34CD" w14:paraId="17732A8D" w14:textId="77777777">
        <w:tblPrEx>
          <w:tblCellMar>
            <w:top w:w="0" w:type="dxa"/>
            <w:bottom w:w="0" w:type="dxa"/>
          </w:tblCellMar>
        </w:tblPrEx>
        <w:trPr>
          <w:cantSplit/>
          <w:jc w:val="center"/>
        </w:trPr>
        <w:tc>
          <w:tcPr>
            <w:tcW w:w="1872" w:type="dxa"/>
            <w:shd w:val="clear" w:color="auto" w:fill="F3F3F3"/>
            <w:tcMar>
              <w:top w:w="75" w:type="dxa"/>
              <w:left w:w="95" w:type="dxa"/>
              <w:bottom w:w="75" w:type="dxa"/>
              <w:right w:w="95" w:type="dxa"/>
            </w:tcMar>
            <w:vAlign w:val="center"/>
          </w:tcPr>
          <w:p w14:paraId="5349F009" w14:textId="77777777" w:rsidR="00AD34CD" w:rsidRDefault="00000000">
            <w:pPr>
              <w:pStyle w:val="BodyText1"/>
              <w:spacing w:after="0" w:line="240" w:lineRule="auto"/>
            </w:pPr>
            <w:r>
              <w:rPr>
                <w:sz w:val="19"/>
              </w:rPr>
              <w:t>Interface</w:t>
            </w:r>
          </w:p>
        </w:tc>
        <w:tc>
          <w:tcPr>
            <w:tcW w:w="8496" w:type="dxa"/>
            <w:shd w:val="clear" w:color="auto" w:fill="F3F3F3"/>
            <w:tcMar>
              <w:top w:w="75" w:type="dxa"/>
              <w:left w:w="95" w:type="dxa"/>
              <w:bottom w:w="75" w:type="dxa"/>
              <w:right w:w="95" w:type="dxa"/>
            </w:tcMar>
            <w:vAlign w:val="center"/>
          </w:tcPr>
          <w:p w14:paraId="568A6C8C" w14:textId="77777777" w:rsidR="00AD34CD" w:rsidRDefault="00000000">
            <w:pPr>
              <w:pStyle w:val="BodyText1"/>
              <w:spacing w:after="0" w:line="240" w:lineRule="auto"/>
            </w:pPr>
            <w:r>
              <w:rPr>
                <w:sz w:val="19"/>
              </w:rPr>
              <w:t xml:space="preserve">React for upload, comparison, and replay. </w:t>
            </w:r>
            <w:proofErr w:type="spellStart"/>
            <w:r>
              <w:rPr>
                <w:sz w:val="19"/>
              </w:rPr>
              <w:t>FastAPI</w:t>
            </w:r>
            <w:proofErr w:type="spellEnd"/>
            <w:r>
              <w:rPr>
                <w:sz w:val="19"/>
              </w:rPr>
              <w:t xml:space="preserve"> exposes jobs, results, and predictions.</w:t>
            </w:r>
          </w:p>
        </w:tc>
      </w:tr>
      <w:tr w:rsidR="00AD34CD" w14:paraId="49D97D0D" w14:textId="77777777">
        <w:tblPrEx>
          <w:tblCellMar>
            <w:top w:w="0" w:type="dxa"/>
            <w:bottom w:w="0" w:type="dxa"/>
          </w:tblCellMar>
        </w:tblPrEx>
        <w:trPr>
          <w:cantSplit/>
          <w:jc w:val="center"/>
        </w:trPr>
        <w:tc>
          <w:tcPr>
            <w:tcW w:w="1872" w:type="dxa"/>
            <w:shd w:val="clear" w:color="auto" w:fill="FFFFFF"/>
            <w:tcMar>
              <w:top w:w="75" w:type="dxa"/>
              <w:left w:w="95" w:type="dxa"/>
              <w:bottom w:w="75" w:type="dxa"/>
              <w:right w:w="95" w:type="dxa"/>
            </w:tcMar>
            <w:vAlign w:val="center"/>
          </w:tcPr>
          <w:p w14:paraId="38342815" w14:textId="77777777" w:rsidR="00AD34CD" w:rsidRDefault="00000000">
            <w:pPr>
              <w:pStyle w:val="BodyText1"/>
              <w:spacing w:after="0" w:line="240" w:lineRule="auto"/>
            </w:pPr>
            <w:r>
              <w:rPr>
                <w:sz w:val="19"/>
              </w:rPr>
              <w:t>Models and tests</w:t>
            </w:r>
          </w:p>
        </w:tc>
        <w:tc>
          <w:tcPr>
            <w:tcW w:w="8496" w:type="dxa"/>
            <w:shd w:val="clear" w:color="auto" w:fill="FFFFFF"/>
            <w:tcMar>
              <w:top w:w="75" w:type="dxa"/>
              <w:left w:w="95" w:type="dxa"/>
              <w:bottom w:w="75" w:type="dxa"/>
              <w:right w:w="95" w:type="dxa"/>
            </w:tcMar>
            <w:vAlign w:val="center"/>
          </w:tcPr>
          <w:p w14:paraId="43F284B2" w14:textId="77777777" w:rsidR="00AD34CD" w:rsidRDefault="00000000">
            <w:pPr>
              <w:pStyle w:val="BodyText1"/>
              <w:spacing w:after="0" w:line="240" w:lineRule="auto"/>
            </w:pPr>
            <w:r>
              <w:rPr>
                <w:sz w:val="19"/>
              </w:rPr>
              <w:t xml:space="preserve">scikit-learn, </w:t>
            </w:r>
            <w:proofErr w:type="spellStart"/>
            <w:r>
              <w:rPr>
                <w:sz w:val="19"/>
              </w:rPr>
              <w:t>XGBoost</w:t>
            </w:r>
            <w:proofErr w:type="spellEnd"/>
            <w:r>
              <w:rPr>
                <w:sz w:val="19"/>
              </w:rPr>
              <w:t>, Pandas, NumPy, and SHAP. Fixed test functions rebuild features after sensor corruption.</w:t>
            </w:r>
          </w:p>
        </w:tc>
      </w:tr>
      <w:tr w:rsidR="00AD34CD" w14:paraId="23970F04" w14:textId="77777777">
        <w:tblPrEx>
          <w:tblCellMar>
            <w:top w:w="0" w:type="dxa"/>
            <w:bottom w:w="0" w:type="dxa"/>
          </w:tblCellMar>
        </w:tblPrEx>
        <w:trPr>
          <w:cantSplit/>
          <w:jc w:val="center"/>
        </w:trPr>
        <w:tc>
          <w:tcPr>
            <w:tcW w:w="1872" w:type="dxa"/>
            <w:shd w:val="clear" w:color="auto" w:fill="F3F3F3"/>
            <w:tcMar>
              <w:top w:w="75" w:type="dxa"/>
              <w:left w:w="95" w:type="dxa"/>
              <w:bottom w:w="75" w:type="dxa"/>
              <w:right w:w="95" w:type="dxa"/>
            </w:tcMar>
            <w:vAlign w:val="center"/>
          </w:tcPr>
          <w:p w14:paraId="379F3424" w14:textId="77777777" w:rsidR="00AD34CD" w:rsidRDefault="00000000">
            <w:pPr>
              <w:pStyle w:val="BodyText1"/>
              <w:spacing w:after="0" w:line="240" w:lineRule="auto"/>
            </w:pPr>
            <w:r>
              <w:rPr>
                <w:sz w:val="19"/>
              </w:rPr>
              <w:t>Records</w:t>
            </w:r>
          </w:p>
        </w:tc>
        <w:tc>
          <w:tcPr>
            <w:tcW w:w="8496" w:type="dxa"/>
            <w:shd w:val="clear" w:color="auto" w:fill="F3F3F3"/>
            <w:tcMar>
              <w:top w:w="75" w:type="dxa"/>
              <w:left w:w="95" w:type="dxa"/>
              <w:bottom w:w="75" w:type="dxa"/>
              <w:right w:w="95" w:type="dxa"/>
            </w:tcMar>
            <w:vAlign w:val="center"/>
          </w:tcPr>
          <w:p w14:paraId="71A00970" w14:textId="77777777" w:rsidR="00AD34CD" w:rsidRDefault="00000000">
            <w:pPr>
              <w:pStyle w:val="BodyText1"/>
              <w:spacing w:after="0" w:line="240" w:lineRule="auto"/>
            </w:pPr>
            <w:proofErr w:type="spellStart"/>
            <w:r>
              <w:rPr>
                <w:sz w:val="19"/>
              </w:rPr>
              <w:t>MLflow</w:t>
            </w:r>
            <w:proofErr w:type="spellEnd"/>
            <w:r>
              <w:rPr>
                <w:sz w:val="19"/>
              </w:rPr>
              <w:t xml:space="preserve"> stores data hashes, splits, seeds, configurations, predictions, metrics, and model artifacts.</w:t>
            </w:r>
          </w:p>
        </w:tc>
      </w:tr>
      <w:tr w:rsidR="00AD34CD" w14:paraId="3BEC2807" w14:textId="77777777">
        <w:tblPrEx>
          <w:tblCellMar>
            <w:top w:w="0" w:type="dxa"/>
            <w:bottom w:w="0" w:type="dxa"/>
          </w:tblCellMar>
        </w:tblPrEx>
        <w:trPr>
          <w:cantSplit/>
          <w:jc w:val="center"/>
        </w:trPr>
        <w:tc>
          <w:tcPr>
            <w:tcW w:w="1872" w:type="dxa"/>
            <w:shd w:val="clear" w:color="auto" w:fill="FFFFFF"/>
            <w:tcMar>
              <w:top w:w="75" w:type="dxa"/>
              <w:left w:w="95" w:type="dxa"/>
              <w:bottom w:w="75" w:type="dxa"/>
              <w:right w:w="95" w:type="dxa"/>
            </w:tcMar>
            <w:vAlign w:val="center"/>
          </w:tcPr>
          <w:p w14:paraId="7527D3B5" w14:textId="77777777" w:rsidR="00AD34CD" w:rsidRDefault="00000000">
            <w:pPr>
              <w:pStyle w:val="BodyText1"/>
              <w:spacing w:after="0" w:line="240" w:lineRule="auto"/>
            </w:pPr>
            <w:r>
              <w:rPr>
                <w:sz w:val="19"/>
              </w:rPr>
              <w:t>Copilot and export</w:t>
            </w:r>
          </w:p>
        </w:tc>
        <w:tc>
          <w:tcPr>
            <w:tcW w:w="8496" w:type="dxa"/>
            <w:shd w:val="clear" w:color="auto" w:fill="FFFFFF"/>
            <w:tcMar>
              <w:top w:w="75" w:type="dxa"/>
              <w:left w:w="95" w:type="dxa"/>
              <w:bottom w:w="75" w:type="dxa"/>
              <w:right w:w="95" w:type="dxa"/>
            </w:tcMar>
            <w:vAlign w:val="center"/>
          </w:tcPr>
          <w:p w14:paraId="13F1BCFE" w14:textId="77777777" w:rsidR="00AD34CD" w:rsidRDefault="00000000">
            <w:pPr>
              <w:pStyle w:val="BodyText1"/>
              <w:spacing w:after="0" w:line="240" w:lineRule="auto"/>
            </w:pPr>
            <w:r>
              <w:rPr>
                <w:sz w:val="19"/>
              </w:rPr>
              <w:t>Schema-validated API tools and a bounded Python workflow. Docker exports the chosen model with its preprocessing and report.</w:t>
            </w:r>
          </w:p>
        </w:tc>
      </w:tr>
    </w:tbl>
    <w:p w14:paraId="6DC86085" w14:textId="77777777" w:rsidR="00AD34CD" w:rsidRDefault="00AD34CD">
      <w:pPr>
        <w:pStyle w:val="BodyText1"/>
        <w:spacing w:after="20"/>
      </w:pPr>
    </w:p>
    <w:p w14:paraId="3B2BAF33" w14:textId="77777777" w:rsidR="00AD34CD" w:rsidRDefault="00000000">
      <w:pPr>
        <w:pStyle w:val="BodyText1"/>
      </w:pPr>
      <w:r>
        <w:t>Raw sensor files stay in the backend; the LLM receives summaries and retrieved results. Tool arguments are validated, jobs have resource limits, and numerical statements are checked against stored metrics. Export requires an engineer's action. Prediction serving does not depend on the LLM.</w:t>
      </w:r>
    </w:p>
    <w:p w14:paraId="15ED0C20" w14:textId="77777777" w:rsidR="00AD34CD" w:rsidRDefault="00000000">
      <w:pPr>
        <w:pStyle w:val="Heading2"/>
        <w:spacing w:after="100"/>
      </w:pPr>
      <w:r>
        <w:t>Limitations and next steps</w:t>
      </w:r>
    </w:p>
    <w:p w14:paraId="41F6DDE0" w14:textId="77777777" w:rsidR="00AD34CD" w:rsidRDefault="00000000">
      <w:pPr>
        <w:pStyle w:val="BodyText1"/>
      </w:pPr>
      <w:r>
        <w:t>This is an idea-phase plan, with no measured performance or customer results yet. FD001 covers one simulated operating condition; it does not validate ABB motors or pumps. Twenty final-test engines limit precision. Fault severity needs field input, SHAP does not establish physical causes, and calibration can deteriorate under faults. Historian connections and production monitoring follow evaluation of the offline workflow and a plant-specific pilot.</w:t>
      </w:r>
    </w:p>
    <w:p w14:paraId="36AAA155" w14:textId="77777777" w:rsidR="00AD34CD" w:rsidRDefault="00000000">
      <w:pPr>
        <w:pStyle w:val="Heading2"/>
        <w:spacing w:after="100"/>
      </w:pPr>
      <w:r>
        <w:t>Sources</w:t>
      </w:r>
    </w:p>
    <w:p w14:paraId="4AFC143E" w14:textId="77777777" w:rsidR="00AD34CD" w:rsidRDefault="00000000">
      <w:pPr>
        <w:pStyle w:val="BodyText1"/>
        <w:spacing w:after="40"/>
      </w:pPr>
      <w:hyperlink r:id="rId8">
        <w:r>
          <w:rPr>
            <w:color w:val="174A79"/>
            <w:sz w:val="18"/>
          </w:rPr>
          <w:t>[1] NASA C-MAPSS dataset</w:t>
        </w:r>
      </w:hyperlink>
      <w:r>
        <w:rPr>
          <w:sz w:val="17"/>
        </w:rPr>
        <w:t xml:space="preserve">  FD001 data description. The classification task and evaluation partitions above are our proposed adaptation.</w:t>
      </w:r>
    </w:p>
    <w:p w14:paraId="43A16A9C" w14:textId="77777777" w:rsidR="00AD34CD" w:rsidRDefault="00000000">
      <w:pPr>
        <w:pStyle w:val="BodyText1"/>
        <w:spacing w:after="40"/>
      </w:pPr>
      <w:hyperlink r:id="rId9">
        <w:r>
          <w:rPr>
            <w:color w:val="174A79"/>
            <w:sz w:val="18"/>
          </w:rPr>
          <w:t>[2] OpenAI GPT-5.4 Mini documentation</w:t>
        </w:r>
      </w:hyperlink>
      <w:r>
        <w:rPr>
          <w:sz w:val="17"/>
        </w:rPr>
        <w:t xml:space="preserve">  Function calling and structured outputs. Sources checked 13 September 2026.</w:t>
      </w:r>
    </w:p>
    <w:sectPr w:rsidR="00AD34CD">
      <w:footerReference w:type="default" r:id="rId10"/>
      <w:pgSz w:w="12240" w:h="15840"/>
      <w:pgMar w:top="720" w:right="893" w:bottom="720" w:left="893" w:header="708"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7424C" w14:textId="77777777" w:rsidR="0021651E" w:rsidRDefault="0021651E">
      <w:r>
        <w:separator/>
      </w:r>
    </w:p>
  </w:endnote>
  <w:endnote w:type="continuationSeparator" w:id="0">
    <w:p w14:paraId="4E2F0AB9" w14:textId="77777777" w:rsidR="0021651E" w:rsidRDefault="00216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CD8C0" w14:textId="77777777" w:rsidR="00AD34CD" w:rsidRDefault="00000000">
    <w:pPr>
      <w:jc w:val="right"/>
    </w:pPr>
    <w:proofErr w:type="gramStart"/>
    <w:r>
      <w:rPr>
        <w:sz w:val="18"/>
      </w:rPr>
      <w:t>Sidekick  |</w:t>
    </w:r>
    <w:proofErr w:type="gramEnd"/>
    <w:r>
      <w:rPr>
        <w:sz w:val="18"/>
      </w:rPr>
      <w:t xml:space="preserve">  </w:t>
    </w:r>
    <w:r>
      <w:fldChar w:fldCharType="begin"/>
    </w:r>
    <w:r>
      <w:instrText>PAGE</w:instrText>
    </w:r>
    <w:r>
      <w:fldChar w:fldCharType="separate"/>
    </w:r>
    <w:r w:rsidR="00407D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B888C" w14:textId="77777777" w:rsidR="0021651E" w:rsidRDefault="0021651E">
      <w:r>
        <w:separator/>
      </w:r>
    </w:p>
  </w:footnote>
  <w:footnote w:type="continuationSeparator" w:id="0">
    <w:p w14:paraId="6B26BA74" w14:textId="77777777" w:rsidR="0021651E" w:rsidRDefault="002165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DA56E8"/>
    <w:multiLevelType w:val="hybridMultilevel"/>
    <w:tmpl w:val="24064166"/>
    <w:lvl w:ilvl="0" w:tplc="5A747E76">
      <w:start w:val="1"/>
      <w:numFmt w:val="bullet"/>
      <w:lvlText w:val="●"/>
      <w:lvlJc w:val="left"/>
      <w:pPr>
        <w:ind w:left="720" w:hanging="360"/>
      </w:pPr>
    </w:lvl>
    <w:lvl w:ilvl="1" w:tplc="D91C8218">
      <w:start w:val="1"/>
      <w:numFmt w:val="bullet"/>
      <w:lvlText w:val="○"/>
      <w:lvlJc w:val="left"/>
      <w:pPr>
        <w:ind w:left="1440" w:hanging="360"/>
      </w:pPr>
    </w:lvl>
    <w:lvl w:ilvl="2" w:tplc="6F569D66">
      <w:start w:val="1"/>
      <w:numFmt w:val="bullet"/>
      <w:lvlText w:val="■"/>
      <w:lvlJc w:val="left"/>
      <w:pPr>
        <w:ind w:left="2160" w:hanging="360"/>
      </w:pPr>
    </w:lvl>
    <w:lvl w:ilvl="3" w:tplc="FB20AD88">
      <w:start w:val="1"/>
      <w:numFmt w:val="bullet"/>
      <w:lvlText w:val="●"/>
      <w:lvlJc w:val="left"/>
      <w:pPr>
        <w:ind w:left="2880" w:hanging="360"/>
      </w:pPr>
    </w:lvl>
    <w:lvl w:ilvl="4" w:tplc="D4DCA1A8">
      <w:start w:val="1"/>
      <w:numFmt w:val="bullet"/>
      <w:lvlText w:val="○"/>
      <w:lvlJc w:val="left"/>
      <w:pPr>
        <w:ind w:left="3600" w:hanging="360"/>
      </w:pPr>
    </w:lvl>
    <w:lvl w:ilvl="5" w:tplc="1534B8C4">
      <w:start w:val="1"/>
      <w:numFmt w:val="bullet"/>
      <w:lvlText w:val="■"/>
      <w:lvlJc w:val="left"/>
      <w:pPr>
        <w:ind w:left="4320" w:hanging="360"/>
      </w:pPr>
    </w:lvl>
    <w:lvl w:ilvl="6" w:tplc="C69E5418">
      <w:start w:val="1"/>
      <w:numFmt w:val="bullet"/>
      <w:lvlText w:val="●"/>
      <w:lvlJc w:val="left"/>
      <w:pPr>
        <w:ind w:left="5040" w:hanging="360"/>
      </w:pPr>
    </w:lvl>
    <w:lvl w:ilvl="7" w:tplc="80967B0C">
      <w:start w:val="1"/>
      <w:numFmt w:val="bullet"/>
      <w:lvlText w:val="●"/>
      <w:lvlJc w:val="left"/>
      <w:pPr>
        <w:ind w:left="5760" w:hanging="360"/>
      </w:pPr>
    </w:lvl>
    <w:lvl w:ilvl="8" w:tplc="15C20FA6">
      <w:start w:val="1"/>
      <w:numFmt w:val="bullet"/>
      <w:lvlText w:val="●"/>
      <w:lvlJc w:val="left"/>
      <w:pPr>
        <w:ind w:left="6480" w:hanging="360"/>
      </w:pPr>
    </w:lvl>
  </w:abstractNum>
  <w:num w:numId="1" w16cid:durableId="18882982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4CD"/>
    <w:rsid w:val="0021651E"/>
    <w:rsid w:val="00407DC8"/>
    <w:rsid w:val="00AD34CD"/>
    <w:rsid w:val="00FC0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710BC"/>
  <w15:docId w15:val="{68F6A28F-49A2-499B-94DD-DD3A59CD1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outlineLvl w:val="0"/>
    </w:pPr>
    <w:rPr>
      <w:szCs w:val="32"/>
    </w:rPr>
  </w:style>
  <w:style w:type="paragraph" w:styleId="Heading2">
    <w:name w:val="heading 2"/>
    <w:basedOn w:val="Normal1"/>
    <w:next w:val="Normal1"/>
    <w:uiPriority w:val="9"/>
    <w:unhideWhenUsed/>
    <w:qFormat/>
    <w:pPr>
      <w:keepNext/>
      <w:spacing w:before="120"/>
      <w:outlineLvl w:val="1"/>
    </w:pPr>
    <w:rPr>
      <w:b/>
      <w:sz w:val="23"/>
      <w:szCs w:val="26"/>
    </w:rPr>
  </w:style>
  <w:style w:type="paragraph" w:styleId="Heading3">
    <w:name w:val="heading 3"/>
    <w:basedOn w:val="Normal1"/>
    <w:next w:val="Normal1"/>
    <w:uiPriority w:val="9"/>
    <w:semiHidden/>
    <w:unhideWhenUsed/>
    <w:qFormat/>
    <w:pPr>
      <w:outlineLvl w:val="2"/>
    </w:pPr>
    <w:rPr>
      <w:color w:val="1F4D78"/>
      <w:sz w:val="24"/>
      <w:szCs w:val="24"/>
    </w:rPr>
  </w:style>
  <w:style w:type="paragraph" w:styleId="Heading4">
    <w:name w:val="heading 4"/>
    <w:basedOn w:val="Normal1"/>
    <w:next w:val="Normal1"/>
    <w:uiPriority w:val="9"/>
    <w:semiHidden/>
    <w:unhideWhenUsed/>
    <w:qFormat/>
    <w:pPr>
      <w:outlineLvl w:val="3"/>
    </w:pPr>
    <w:rPr>
      <w:i/>
      <w:iCs/>
      <w:color w:val="2E74B5"/>
    </w:rPr>
  </w:style>
  <w:style w:type="paragraph" w:styleId="Heading5">
    <w:name w:val="heading 5"/>
    <w:basedOn w:val="Normal1"/>
    <w:next w:val="Normal1"/>
    <w:uiPriority w:val="9"/>
    <w:semiHidden/>
    <w:unhideWhenUsed/>
    <w:qFormat/>
    <w:pPr>
      <w:outlineLvl w:val="4"/>
    </w:pPr>
    <w:rPr>
      <w:color w:val="2E74B5"/>
    </w:rPr>
  </w:style>
  <w:style w:type="paragraph" w:styleId="Heading6">
    <w:name w:val="heading 6"/>
    <w:basedOn w:val="Normal1"/>
    <w:next w:val="Normal1"/>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rPr>
      <w:b/>
      <w:sz w:val="50"/>
      <w:szCs w:val="56"/>
    </w:rPr>
  </w:style>
  <w:style w:type="paragraph" w:customStyle="1" w:styleId="Strong1">
    <w:name w:val="Strong1"/>
    <w:basedOn w:val="Normal1"/>
    <w:next w:val="Normal1"/>
    <w:qFormat/>
    <w:rPr>
      <w:b/>
      <w:bCs/>
    </w:rPr>
  </w:style>
  <w:style w:type="paragraph" w:styleId="ListParagraph">
    <w:name w:val="List Paragraph"/>
    <w:basedOn w:val="Norm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1"/>
    <w:link w:val="FootnoteTextChar"/>
    <w:uiPriority w:val="99"/>
    <w:semiHidden/>
    <w:unhideWhenUsed/>
    <w:pPr>
      <w:spacing w:after="0" w:line="240" w:lineRule="auto"/>
    </w:pPr>
    <w:rPr>
      <w:sz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1"/>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semiHidden/>
    <w:unhideWhenUsed/>
    <w:rPr>
      <w:sz w:val="20"/>
      <w:szCs w:val="20"/>
    </w:rPr>
  </w:style>
  <w:style w:type="paragraph" w:customStyle="1" w:styleId="Normal1">
    <w:name w:val="Normal1"/>
    <w:pPr>
      <w:spacing w:after="120" w:line="250" w:lineRule="auto"/>
    </w:pPr>
    <w:rPr>
      <w:color w:val="000000"/>
      <w:sz w:val="21"/>
    </w:rPr>
  </w:style>
  <w:style w:type="paragraph" w:customStyle="1" w:styleId="BodyText1">
    <w:name w:val="Body Text1"/>
    <w:pPr>
      <w:spacing w:after="120" w:line="250" w:lineRule="auto"/>
    </w:pPr>
    <w:rPr>
      <w:color w:val="000000"/>
      <w:sz w:val="21"/>
    </w:rPr>
  </w:style>
  <w:style w:type="paragraph" w:customStyle="1" w:styleId="Caption1">
    <w:name w:val="Caption1"/>
    <w:pPr>
      <w:spacing w:after="120" w:line="250" w:lineRule="auto"/>
    </w:pPr>
    <w:rPr>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nasa.gov/dataset/cmapss-jet-engine-simulated-dat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evelopers.openai.com/api/docs/models/gpt-5.4-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1786</Words>
  <Characters>10183</Characters>
  <Application>Microsoft Office Word</Application>
  <DocSecurity>0</DocSecurity>
  <Lines>84</Lines>
  <Paragraphs>23</Paragraphs>
  <ScaleCrop>false</ScaleCrop>
  <Company/>
  <LinksUpToDate>false</LinksUpToDate>
  <CharactersWithSpaces>11946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Sidekick predictive maintenance proposal</dc:title>
  <dc:subject>ABB Accelerator 2026 Theme 1 idea-phase submission</dc:subject>
  <dc:creator>Kareem Massoud; Adam Qablawi</dc:creator>
  <cp:keywords>Sidekick, predictive maintenance, sensor faults, model evaluation</cp:keywords>
  <dc:description/>
  <cp:lastModifiedBy>Qablawi, Adam</cp:lastModifiedBy>
  <cp:revision>2</cp:revision>
  <dcterms:created xsi:type="dcterms:W3CDTF">2026-09-13T20:44:00Z</dcterms:created>
  <dcterms:modified xsi:type="dcterms:W3CDTF">2026-09-13T21:46:00Z</dcterms:modified>
</cp:coreProperties>
</file>