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Hawai‘i Tax Review Commission, 2025–2027</w:t>
      </w:r>
    </w:p>
    <w:p>
      <w:pPr>
        <w:pBdr>
          <w:bottom w:val="single" w:color="BFBFBF" w:sz="8" w:space="8"/>
        </w:pBdr>
        <w:spacing w:after="60"/>
      </w:pPr>
      <w:r>
        <w:rPr>
          <w:rFonts w:ascii="Calibri" w:cs="Calibri" w:eastAsia="Calibri" w:hAnsi="Calibri"/>
          <w:color w:val="555555"/>
          <w:sz w:val="26"/>
          <w:szCs w:val="26"/>
        </w:rPr>
        <w:t xml:space="preserve">Meeting summaries and alignment with Tax Fairness Coalition priorities</w:t>
      </w:r>
    </w:p>
    <w:p>
      <w:pPr>
        <w:spacing w:after="280" w:before="120"/>
      </w:pPr>
      <w:r>
        <w:rPr>
          <w:rFonts w:ascii="Calibri" w:cs="Calibri" w:eastAsia="Calibri" w:hAnsi="Calibri"/>
          <w:i/>
          <w:iCs/>
          <w:color w:val="666666"/>
          <w:sz w:val="20"/>
          <w:szCs w:val="20"/>
        </w:rPr>
        <w:t xml:space="preserve">Prepared August 4, 2026  ·  Covers all nine meetings, January 15 – August 11, 2026</w:t>
      </w:r>
    </w:p>
    <w:p>
      <w:pPr>
        <w:pStyle w:val="Heading2"/>
        <w:spacing w:after="100" w:before="240"/>
      </w:pPr>
      <w:r>
        <w:rPr>
          <w:rFonts w:ascii="Calibri" w:cs="Calibri" w:eastAsia="Calibri" w:hAnsi="Calibri"/>
          <w:b/>
          <w:bCs/>
          <w:color w:val="2E5A88"/>
          <w:sz w:val="24"/>
          <w:szCs w:val="24"/>
        </w:rPr>
        <w:t xml:space="preserve">Note on sources</w:t>
      </w:r>
    </w:p>
    <w:p>
      <w:pPr>
        <w:spacing w:after="160" w:line="276"/>
      </w:pPr>
      <w:r>
        <w:rPr>
          <w:rFonts w:ascii="Calibri" w:cs="Calibri" w:eastAsia="Calibri" w:hAnsi="Calibri"/>
          <w:sz w:val="22"/>
          <w:szCs w:val="22"/>
        </w:rPr>
        <w:t xml:space="preserve">This memo is drawn from the minutes and presentation materials posted on the Commission's page.</w:t>
      </w:r>
      <w:r>
        <w:rPr>
          <w:rFonts w:ascii="Calibri" w:cs="Calibri" w:eastAsia="Calibri" w:hAnsi="Calibri"/>
          <w:sz w:val="22"/>
          <w:szCs w:val="22"/>
          <w:vertAlign w:val="superscript"/>
        </w:rPr>
        <w:t xml:space="preserve">1</w:t>
      </w:r>
      <w:r>
        <w:rPr>
          <w:rFonts w:ascii="Calibri" w:cs="Calibri" w:eastAsia="Calibri" w:hAnsi="Calibri"/>
          <w:sz w:val="22"/>
          <w:szCs w:val="22"/>
        </w:rPr>
        <w:t xml:space="preserve"> Two labelling caveats: the links posted as minutes for </w:t>
      </w:r>
      <w:r>
        <w:rPr>
          <w:rFonts w:ascii="Calibri" w:cs="Calibri" w:eastAsia="Calibri" w:hAnsi="Calibri"/>
          <w:b/>
          <w:bCs/>
          <w:sz w:val="22"/>
          <w:szCs w:val="22"/>
        </w:rPr>
        <w:t xml:space="preserve">July 14 (Final)</w:t>
      </w:r>
      <w:r>
        <w:rPr>
          <w:rFonts w:ascii="Calibri" w:cs="Calibri" w:eastAsia="Calibri" w:hAnsi="Calibri"/>
          <w:sz w:val="22"/>
          <w:szCs w:val="22"/>
        </w:rPr>
        <w:t xml:space="preserve"> and </w:t>
      </w:r>
      <w:r>
        <w:rPr>
          <w:rFonts w:ascii="Calibri" w:cs="Calibri" w:eastAsia="Calibri" w:hAnsi="Calibri"/>
          <w:b/>
          <w:bCs/>
          <w:sz w:val="22"/>
          <w:szCs w:val="22"/>
        </w:rPr>
        <w:t xml:space="preserve">August 11</w:t>
      </w:r>
      <w:r>
        <w:rPr>
          <w:rFonts w:ascii="Calibri" w:cs="Calibri" w:eastAsia="Calibri" w:hAnsi="Calibri"/>
          <w:sz w:val="22"/>
          <w:szCs w:val="22"/>
        </w:rPr>
        <w:t xml:space="preserve"> are in fact meeting </w:t>
      </w:r>
      <w:r>
        <w:rPr>
          <w:rFonts w:ascii="Calibri" w:cs="Calibri" w:eastAsia="Calibri" w:hAnsi="Calibri"/>
          <w:i/>
          <w:iCs/>
          <w:sz w:val="22"/>
          <w:szCs w:val="22"/>
        </w:rPr>
        <w:t xml:space="preserve">notice and agenda</w:t>
      </w:r>
      <w:r>
        <w:rPr>
          <w:rFonts w:ascii="Calibri" w:cs="Calibri" w:eastAsia="Calibri" w:hAnsi="Calibri"/>
          <w:sz w:val="22"/>
          <w:szCs w:val="22"/>
        </w:rPr>
        <w:t xml:space="preserve"> PDFs, not minutes. The only substantive July 14 record is the </w:t>
      </w:r>
      <w:r>
        <w:rPr>
          <w:rFonts w:ascii="Calibri" w:cs="Calibri" w:eastAsia="Calibri" w:hAnsi="Calibri"/>
          <w:b/>
          <w:bCs/>
          <w:sz w:val="22"/>
          <w:szCs w:val="22"/>
        </w:rPr>
        <w:t xml:space="preserve">Draft</w:t>
      </w:r>
      <w:r>
        <w:rPr>
          <w:rFonts w:ascii="Calibri" w:cs="Calibri" w:eastAsia="Calibri" w:hAnsi="Calibri"/>
          <w:sz w:val="22"/>
          <w:szCs w:val="22"/>
        </w:rPr>
        <w:t xml:space="preserve"> minutes.</w:t>
      </w:r>
      <w:r>
        <w:rPr>
          <w:rFonts w:ascii="Calibri" w:cs="Calibri" w:eastAsia="Calibri" w:hAnsi="Calibri"/>
          <w:sz w:val="22"/>
          <w:szCs w:val="22"/>
          <w:vertAlign w:val="superscript"/>
        </w:rPr>
        <w:t xml:space="preserve">19</w:t>
      </w:r>
      <w:r>
        <w:rPr>
          <w:rFonts w:ascii="Calibri" w:cs="Calibri" w:eastAsia="Calibri" w:hAnsi="Calibri"/>
          <w:sz w:val="22"/>
          <w:szCs w:val="22"/>
        </w:rPr>
        <w:t xml:space="preserve"> The August 11 meeting had not yet occurred at the time of writing; only its agenda is available.</w:t>
      </w:r>
      <w:r>
        <w:rPr>
          <w:rFonts w:ascii="Calibri" w:cs="Calibri" w:eastAsia="Calibri" w:hAnsi="Calibri"/>
          <w:sz w:val="22"/>
          <w:szCs w:val="22"/>
          <w:vertAlign w:val="superscript"/>
        </w:rPr>
        <w:t xml:space="preserve">21</w:t>
      </w:r>
    </w:p>
    <w:p>
      <w:pPr>
        <w:pStyle w:val="Heading1"/>
        <w:spacing w:after="160" w:before="320"/>
      </w:pPr>
      <w:r>
        <w:rPr>
          <w:rFonts w:ascii="Calibri" w:cs="Calibri" w:eastAsia="Calibri" w:hAnsi="Calibri"/>
          <w:b/>
          <w:bCs/>
          <w:color w:val="1F3864"/>
          <w:sz w:val="30"/>
          <w:szCs w:val="30"/>
        </w:rPr>
        <w:t xml:space="preserve">Meeting-by-meeting summary</w:t>
      </w:r>
    </w:p>
    <w:p>
      <w:pPr>
        <w:pStyle w:val="Heading2"/>
        <w:spacing w:after="100" w:before="240"/>
      </w:pPr>
      <w:r>
        <w:rPr>
          <w:rFonts w:ascii="Calibri" w:cs="Calibri" w:eastAsia="Calibri" w:hAnsi="Calibri"/>
          <w:b/>
          <w:bCs/>
          <w:color w:val="2E5A88"/>
          <w:sz w:val="24"/>
          <w:szCs w:val="24"/>
        </w:rPr>
        <w:t xml:space="preserve">January 15, 2026 — Organizational</w:t>
      </w:r>
    </w:p>
    <w:p>
      <w:pPr>
        <w:spacing w:after="160" w:line="276"/>
      </w:pPr>
      <w:r>
        <w:rPr>
          <w:rFonts w:ascii="Calibri" w:cs="Calibri" w:eastAsia="Calibri" w:hAnsi="Calibri"/>
          <w:sz w:val="22"/>
          <w:szCs w:val="22"/>
        </w:rPr>
        <w:t xml:space="preserve">Members were introduced and officers elected: Jonathan White (Legal Counsel, Multistate Tax Commission) as Chair and Judith Chock (CPA, SingerLewak) as Vice-Chair. The Commission is composed entirely of CPAs, tax attorneys, and business executives; there is no community or advocacy seat. Dr. Baybars Karacaovali, DOTAX Tax Research &amp; Planning Officer, serves as Executive Director.</w:t>
      </w:r>
      <w:r>
        <w:rPr>
          <w:rFonts w:ascii="Calibri" w:cs="Calibri" w:eastAsia="Calibri" w:hAnsi="Calibri"/>
          <w:sz w:val="22"/>
          <w:szCs w:val="22"/>
          <w:vertAlign w:val="superscript"/>
        </w:rPr>
        <w:t xml:space="preserve">2</w:t>
      </w:r>
    </w:p>
    <w:p>
      <w:pPr>
        <w:spacing w:after="160" w:line="276"/>
      </w:pPr>
      <w:r>
        <w:rPr>
          <w:rFonts w:ascii="Calibri" w:cs="Calibri" w:eastAsia="Calibri" w:hAnsi="Calibri"/>
          <w:sz w:val="22"/>
          <w:szCs w:val="22"/>
        </w:rPr>
        <w:t xml:space="preserve">Two legislative referrals were logged: </w:t>
      </w:r>
      <w:r>
        <w:rPr>
          <w:rFonts w:ascii="Calibri" w:cs="Calibri" w:eastAsia="Calibri" w:hAnsi="Calibri"/>
          <w:b/>
          <w:bCs/>
          <w:sz w:val="22"/>
          <w:szCs w:val="22"/>
        </w:rPr>
        <w:t xml:space="preserve">HCR 182</w:t>
      </w:r>
      <w:r>
        <w:rPr>
          <w:rFonts w:ascii="Calibri" w:cs="Calibri" w:eastAsia="Calibri" w:hAnsi="Calibri"/>
          <w:sz w:val="22"/>
          <w:szCs w:val="22"/>
        </w:rPr>
        <w:t xml:space="preserve">, asking the Commission to weigh equity, efficiency, and adequacy, to review all tax credits and exemptions, and to ensure visitors and non-residents pay their fair share;</w:t>
      </w:r>
      <w:r>
        <w:rPr>
          <w:rFonts w:ascii="Calibri" w:cs="Calibri" w:eastAsia="Calibri" w:hAnsi="Calibri"/>
          <w:sz w:val="22"/>
          <w:szCs w:val="22"/>
          <w:vertAlign w:val="superscript"/>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SR 19 S.D.1</w:t>
      </w:r>
      <w:r>
        <w:rPr>
          <w:rFonts w:ascii="Calibri" w:cs="Calibri" w:eastAsia="Calibri" w:hAnsi="Calibri"/>
          <w:sz w:val="22"/>
          <w:szCs w:val="22"/>
        </w:rPr>
        <w:t xml:space="preserve">, asking it to identify means of implementing the long-dormant Hawai‘i Long-Term Care Financing Program.</w:t>
      </w:r>
      <w:r>
        <w:rPr>
          <w:rFonts w:ascii="Calibri" w:cs="Calibri" w:eastAsia="Calibri" w:hAnsi="Calibri"/>
          <w:sz w:val="22"/>
          <w:szCs w:val="22"/>
          <w:vertAlign w:val="superscript"/>
        </w:rPr>
        <w:t xml:space="preserve">5</w:t>
      </w:r>
      <w:r>
        <w:rPr>
          <w:rFonts w:ascii="Calibri" w:cs="Calibri" w:eastAsia="Calibri" w:hAnsi="Calibri"/>
          <w:sz w:val="22"/>
          <w:szCs w:val="22"/>
        </w:rPr>
        <w:t xml:space="preserve"> The Legislature appropriated $200,000 for consultants. The report is due January 1, 2027, with a working deadline of December 21, 2026.</w:t>
      </w:r>
      <w:r>
        <w:rPr>
          <w:rFonts w:ascii="Calibri" w:cs="Calibri" w:eastAsia="Calibri" w:hAnsi="Calibri"/>
          <w:sz w:val="22"/>
          <w:szCs w:val="22"/>
          <w:vertAlign w:val="superscript"/>
        </w:rPr>
        <w:t xml:space="preserve">3</w:t>
      </w:r>
    </w:p>
    <w:p>
      <w:pPr>
        <w:pStyle w:val="Heading2"/>
        <w:spacing w:after="100" w:before="240"/>
      </w:pPr>
      <w:r>
        <w:rPr>
          <w:rFonts w:ascii="Calibri" w:cs="Calibri" w:eastAsia="Calibri" w:hAnsi="Calibri"/>
          <w:b/>
          <w:bCs/>
          <w:color w:val="2E5A88"/>
          <w:sz w:val="24"/>
          <w:szCs w:val="24"/>
        </w:rPr>
        <w:t xml:space="preserve">February 17, 2026 — Tax system overview; first theme list</w:t>
      </w:r>
    </w:p>
    <w:p>
      <w:pPr>
        <w:spacing w:after="160" w:line="276"/>
      </w:pPr>
      <w:r>
        <w:rPr>
          <w:rFonts w:ascii="Calibri" w:cs="Calibri" w:eastAsia="Calibri" w:hAnsi="Calibri"/>
          <w:sz w:val="22"/>
          <w:szCs w:val="22"/>
        </w:rPr>
        <w:t xml:space="preserve">Dr. Karacaovali presented an overview of revenue by tax type, GET mechanics and exemptions, Act 46 (2024) income-tax-cut distributional tables, and Act 96 (2025), which raised the TAT by 0.75% and extended it to cruise fares.</w:t>
      </w:r>
      <w:r>
        <w:rPr>
          <w:rFonts w:ascii="Calibri" w:cs="Calibri" w:eastAsia="Calibri" w:hAnsi="Calibri"/>
          <w:sz w:val="22"/>
          <w:szCs w:val="22"/>
          <w:vertAlign w:val="superscript"/>
        </w:rPr>
        <w:t xml:space="preserve">7</w:t>
      </w:r>
    </w:p>
    <w:p>
      <w:pPr>
        <w:spacing w:after="160" w:line="276"/>
      </w:pPr>
      <w:r>
        <w:rPr>
          <w:rFonts w:ascii="Calibri" w:cs="Calibri" w:eastAsia="Calibri" w:hAnsi="Calibri"/>
          <w:sz w:val="22"/>
          <w:szCs w:val="22"/>
        </w:rPr>
        <w:t xml:space="preserve">Commissioner Fukunaga raised GET regressivity directly, asking for context on Hawai‘i's reliance on the GET relative to other states' sales taxes; Dr. Karacaovali pointed to the 2015–2017 PFM consultant report, which had focused on precisely that question. Members floated themes for the Commission's work: reviewing credits against their intended purposes, a framework for evaluating credits, competitiveness, a wealth tax, climate resilience, and housing affordability.</w:t>
      </w:r>
      <w:r>
        <w:rPr>
          <w:rFonts w:ascii="Calibri" w:cs="Calibri" w:eastAsia="Calibri" w:hAnsi="Calibri"/>
          <w:sz w:val="22"/>
          <w:szCs w:val="22"/>
          <w:vertAlign w:val="superscript"/>
        </w:rPr>
        <w:t xml:space="preserve">6</w:t>
      </w:r>
    </w:p>
    <w:p>
      <w:pPr>
        <w:pStyle w:val="Heading2"/>
        <w:spacing w:after="100" w:before="240"/>
      </w:pPr>
      <w:r>
        <w:rPr>
          <w:rFonts w:ascii="Calibri" w:cs="Calibri" w:eastAsia="Calibri" w:hAnsi="Calibri"/>
          <w:b/>
          <w:bCs/>
          <w:color w:val="2E5A88"/>
          <w:sz w:val="24"/>
          <w:szCs w:val="24"/>
        </w:rPr>
        <w:t xml:space="preserve">March 17, 2026 — Tax credits</w:t>
      </w:r>
    </w:p>
    <w:p>
      <w:pPr>
        <w:spacing w:after="160" w:line="276"/>
      </w:pPr>
      <w:r>
        <w:rPr>
          <w:rFonts w:ascii="Calibri" w:cs="Calibri" w:eastAsia="Calibri" w:hAnsi="Calibri"/>
          <w:sz w:val="22"/>
          <w:szCs w:val="22"/>
        </w:rPr>
        <w:t xml:space="preserve">A detailed presentation covered all 22 credits: refundable versus nonrefundable, distribution by income class and taxpayer type, and the finding — consistent across past commissions — that credits and exemptions shrink the tax base, raise rates on what remains, and frequently make the system </w:t>
      </w:r>
      <w:r>
        <w:rPr>
          <w:rFonts w:ascii="Calibri" w:cs="Calibri" w:eastAsia="Calibri" w:hAnsi="Calibri"/>
          <w:i/>
          <w:iCs/>
          <w:sz w:val="22"/>
          <w:szCs w:val="22"/>
        </w:rPr>
        <w:t xml:space="preserve">less</w:t>
      </w:r>
      <w:r>
        <w:rPr>
          <w:rFonts w:ascii="Calibri" w:cs="Calibri" w:eastAsia="Calibri" w:hAnsi="Calibri"/>
          <w:sz w:val="22"/>
          <w:szCs w:val="22"/>
        </w:rPr>
        <w:t xml:space="preserve"> equitable.</w:t>
      </w:r>
      <w:r>
        <w:rPr>
          <w:rFonts w:ascii="Calibri" w:cs="Calibri" w:eastAsia="Calibri" w:hAnsi="Calibri"/>
          <w:sz w:val="22"/>
          <w:szCs w:val="22"/>
          <w:vertAlign w:val="superscript"/>
        </w:rPr>
        <w:t xml:space="preserve">9</w:t>
      </w:r>
      <w:r>
        <w:rPr>
          <w:rFonts w:ascii="Calibri" w:cs="Calibri" w:eastAsia="Calibri" w:hAnsi="Calibri"/>
          <w:sz w:val="22"/>
          <w:szCs w:val="22"/>
        </w:rPr>
        <w:t xml:space="preserve"> The presentation reviewed the State Auditor's periodic tax-credit reviews, including the January 2026 review covering the low-income household renter credit and the food/excise tax credit, and the recurring recommendation for sunset dates and public disclosure of business-credit claimants.</w:t>
      </w:r>
    </w:p>
    <w:p>
      <w:pPr>
        <w:spacing w:after="160" w:line="276"/>
      </w:pPr>
      <w:r>
        <w:rPr>
          <w:rFonts w:ascii="Calibri" w:cs="Calibri" w:eastAsia="Calibri" w:hAnsi="Calibri"/>
          <w:sz w:val="22"/>
          <w:szCs w:val="22"/>
        </w:rPr>
        <w:t xml:space="preserve">On regressivity, Fukunaga argued that prior commissions had already covered the ground and that no consultant was needed; he proposed instead that DOTAX price out a </w:t>
      </w:r>
      <w:r>
        <w:rPr>
          <w:rFonts w:ascii="Calibri" w:cs="Calibri" w:eastAsia="Calibri" w:hAnsi="Calibri"/>
          <w:b/>
          <w:bCs/>
          <w:sz w:val="22"/>
          <w:szCs w:val="22"/>
        </w:rPr>
        <w:t xml:space="preserve">GET exemption for groceries and over-the-counter drugs</w:t>
      </w:r>
      <w:r>
        <w:rPr>
          <w:rFonts w:ascii="Calibri" w:cs="Calibri" w:eastAsia="Calibri" w:hAnsi="Calibri"/>
          <w:sz w:val="22"/>
          <w:szCs w:val="22"/>
        </w:rPr>
        <w:t xml:space="preserve">. The Commission voted to pursue one or more consultants, with scope to be set later.</w:t>
      </w:r>
      <w:r>
        <w:rPr>
          <w:rFonts w:ascii="Calibri" w:cs="Calibri" w:eastAsia="Calibri" w:hAnsi="Calibri"/>
          <w:sz w:val="22"/>
          <w:szCs w:val="22"/>
          <w:vertAlign w:val="superscript"/>
        </w:rPr>
        <w:t xml:space="preserve">8</w:t>
      </w:r>
    </w:p>
    <w:p>
      <w:pPr>
        <w:pStyle w:val="Heading2"/>
        <w:spacing w:after="100" w:before="240"/>
      </w:pPr>
      <w:r>
        <w:rPr>
          <w:rFonts w:ascii="Calibri" w:cs="Calibri" w:eastAsia="Calibri" w:hAnsi="Calibri"/>
          <w:b/>
          <w:bCs/>
          <w:color w:val="2E5A88"/>
          <w:sz w:val="24"/>
          <w:szCs w:val="24"/>
        </w:rPr>
        <w:t xml:space="preserve">April 1, 2026 — RFP scoping</w:t>
      </w:r>
    </w:p>
    <w:p>
      <w:pPr>
        <w:spacing w:after="160" w:line="276"/>
      </w:pPr>
      <w:r>
        <w:rPr>
          <w:rFonts w:ascii="Calibri" w:cs="Calibri" w:eastAsia="Calibri" w:hAnsi="Calibri"/>
          <w:sz w:val="22"/>
          <w:szCs w:val="22"/>
        </w:rPr>
        <w:t xml:space="preserve">Two consultant projects were drafted: (1) competitiveness plus tourism/TAT effects, and (2) climate resilience plus housing affordability. After discussion, tourism and housing were </w:t>
      </w:r>
      <w:r>
        <w:rPr>
          <w:rFonts w:ascii="Calibri" w:cs="Calibri" w:eastAsia="Calibri" w:hAnsi="Calibri"/>
          <w:b/>
          <w:bCs/>
          <w:sz w:val="22"/>
          <w:szCs w:val="22"/>
        </w:rPr>
        <w:t xml:space="preserve">tabled</w:t>
      </w:r>
      <w:r>
        <w:rPr>
          <w:rFonts w:ascii="Calibri" w:cs="Calibri" w:eastAsia="Calibri" w:hAnsi="Calibri"/>
          <w:sz w:val="22"/>
          <w:szCs w:val="22"/>
        </w:rPr>
        <w:t xml:space="preserve">, and only Project 1 — competitiveness, explicitly bounded by “maintaining current revenue collections” — was approved for solicitation. Regressivity, retirement income, credits and exemptions, and long-term care financing were assigned to in-house study rather than to consultants.</w:t>
      </w:r>
      <w:r>
        <w:rPr>
          <w:rFonts w:ascii="Calibri" w:cs="Calibri" w:eastAsia="Calibri" w:hAnsi="Calibri"/>
          <w:sz w:val="22"/>
          <w:szCs w:val="22"/>
          <w:vertAlign w:val="superscript"/>
        </w:rPr>
        <w:t xml:space="preserve">11</w:t>
      </w:r>
    </w:p>
    <w:p>
      <w:pPr>
        <w:pStyle w:val="Heading2"/>
        <w:spacing w:after="100" w:before="240"/>
      </w:pPr>
      <w:r>
        <w:rPr>
          <w:rFonts w:ascii="Calibri" w:cs="Calibri" w:eastAsia="Calibri" w:hAnsi="Calibri"/>
          <w:b/>
          <w:bCs/>
          <w:color w:val="2E5A88"/>
          <w:sz w:val="24"/>
          <w:szCs w:val="24"/>
        </w:rPr>
        <w:t xml:space="preserve">April 20, 2026 — Competitiveness scope finalized</w:t>
      </w:r>
    </w:p>
    <w:p>
      <w:pPr>
        <w:spacing w:after="160" w:line="276"/>
      </w:pPr>
      <w:r>
        <w:rPr>
          <w:rFonts w:ascii="Calibri" w:cs="Calibri" w:eastAsia="Calibri" w:hAnsi="Calibri"/>
          <w:sz w:val="22"/>
          <w:szCs w:val="22"/>
        </w:rPr>
        <w:t xml:space="preserve">The consultant scope was expanded to include a cost and strategic-value analysis of selected credits — the low-income housing tax credit, opportunity zone and enterprise zone incentives, and the Hawai‘i film credit — plus a framework for evaluating credits and corrective action for ineffective ones.</w:t>
      </w:r>
      <w:r>
        <w:rPr>
          <w:rFonts w:ascii="Calibri" w:cs="Calibri" w:eastAsia="Calibri" w:hAnsi="Calibri"/>
          <w:sz w:val="22"/>
          <w:szCs w:val="22"/>
          <w:vertAlign w:val="superscript"/>
        </w:rPr>
        <w:t xml:space="preserve">13</w:t>
      </w:r>
      <w:r>
        <w:rPr>
          <w:rFonts w:ascii="Calibri" w:cs="Calibri" w:eastAsia="Calibri" w:hAnsi="Calibri"/>
          <w:sz w:val="22"/>
          <w:szCs w:val="22"/>
        </w:rPr>
        <w:t xml:space="preserve"> Tourism was revived by motion. A housing-affordability scope drafted by Commissioner Ueoka (units produced, subsidy cost per unit, incomes and demographics served, equitable geographic distribution, long-term affordability) was judged too broad to advance.</w:t>
      </w:r>
      <w:r>
        <w:rPr>
          <w:rFonts w:ascii="Calibri" w:cs="Calibri" w:eastAsia="Calibri" w:hAnsi="Calibri"/>
          <w:sz w:val="22"/>
          <w:szCs w:val="22"/>
          <w:vertAlign w:val="superscript"/>
        </w:rPr>
        <w:t xml:space="preserve">14</w:t>
      </w:r>
      <w:r>
        <w:rPr>
          <w:rFonts w:ascii="Calibri" w:cs="Calibri" w:eastAsia="Calibri" w:hAnsi="Calibri"/>
          <w:sz w:val="22"/>
          <w:szCs w:val="22"/>
        </w:rPr>
        <w:t xml:space="preserve"> Fukunaga made informal contact with UHERO.</w:t>
      </w:r>
      <w:r>
        <w:rPr>
          <w:rFonts w:ascii="Calibri" w:cs="Calibri" w:eastAsia="Calibri" w:hAnsi="Calibri"/>
          <w:sz w:val="22"/>
          <w:szCs w:val="22"/>
          <w:vertAlign w:val="superscript"/>
        </w:rPr>
        <w:t xml:space="preserve">12</w:t>
      </w:r>
    </w:p>
    <w:p>
      <w:pPr>
        <w:pStyle w:val="Heading2"/>
        <w:spacing w:after="100" w:before="240"/>
      </w:pPr>
      <w:r>
        <w:rPr>
          <w:rFonts w:ascii="Calibri" w:cs="Calibri" w:eastAsia="Calibri" w:hAnsi="Calibri"/>
          <w:b/>
          <w:bCs/>
          <w:color w:val="2E5A88"/>
          <w:sz w:val="24"/>
          <w:szCs w:val="24"/>
        </w:rPr>
        <w:t xml:space="preserve">May 26, 2026 — Legislative update</w:t>
      </w:r>
    </w:p>
    <w:p>
      <w:pPr>
        <w:spacing w:after="160" w:line="276"/>
      </w:pPr>
      <w:r>
        <w:rPr>
          <w:rFonts w:ascii="Calibri" w:cs="Calibri" w:eastAsia="Calibri" w:hAnsi="Calibri"/>
          <w:sz w:val="22"/>
          <w:szCs w:val="22"/>
        </w:rPr>
        <w:t xml:space="preserve">The Commission reviewed Act 46 against </w:t>
      </w:r>
      <w:r>
        <w:rPr>
          <w:rFonts w:ascii="Calibri" w:cs="Calibri" w:eastAsia="Calibri" w:hAnsi="Calibri"/>
          <w:b/>
          <w:bCs/>
          <w:sz w:val="22"/>
          <w:szCs w:val="22"/>
        </w:rPr>
        <w:t xml:space="preserve">Act 24 (SB 3125)</w:t>
      </w:r>
      <w:r>
        <w:rPr>
          <w:rFonts w:ascii="Calibri" w:cs="Calibri" w:eastAsia="Calibri" w:hAnsi="Calibri"/>
          <w:sz w:val="22"/>
          <w:szCs w:val="22"/>
        </w:rPr>
        <w:t xml:space="preserve">, including tables modelling a freeze above $175,000 single / $350,000 joint and a new 13% top bracket. Also covered: HB 1920 (low-income housing credit transferability), SB 2580 (film credit cap increase), and HB 2329 (conformity to federal changes).</w:t>
      </w:r>
      <w:r>
        <w:rPr>
          <w:rFonts w:ascii="Calibri" w:cs="Calibri" w:eastAsia="Calibri" w:hAnsi="Calibri"/>
          <w:sz w:val="22"/>
          <w:szCs w:val="22"/>
          <w:vertAlign w:val="superscript"/>
        </w:rPr>
        <w:t xml:space="preserve">16</w:t>
      </w:r>
      <w:r>
        <w:rPr>
          <w:rFonts w:ascii="Calibri" w:cs="Calibri" w:eastAsia="Calibri" w:hAnsi="Calibri"/>
          <w:sz w:val="22"/>
          <w:szCs w:val="22"/>
        </w:rPr>
        <w:t xml:space="preserve"> Vice-Chair Chock reported on the April 27 legislative briefing. The in-house study list was set: retirement income, general regressivity, housing affordability, credits and exemptions, and pyramiding.</w:t>
      </w:r>
      <w:r>
        <w:rPr>
          <w:rFonts w:ascii="Calibri" w:cs="Calibri" w:eastAsia="Calibri" w:hAnsi="Calibri"/>
          <w:sz w:val="22"/>
          <w:szCs w:val="22"/>
          <w:vertAlign w:val="superscript"/>
        </w:rPr>
        <w:t xml:space="preserve">15</w:t>
      </w:r>
    </w:p>
    <w:p>
      <w:pPr>
        <w:pStyle w:val="Heading2"/>
        <w:spacing w:after="100" w:before="240"/>
      </w:pPr>
      <w:r>
        <w:rPr>
          <w:rFonts w:ascii="Calibri" w:cs="Calibri" w:eastAsia="Calibri" w:hAnsi="Calibri"/>
          <w:b/>
          <w:bCs/>
          <w:color w:val="2E5A88"/>
          <w:sz w:val="24"/>
          <w:szCs w:val="24"/>
        </w:rPr>
        <w:t xml:space="preserve">June 16, 2026 — ITEP on regressivity</w:t>
      </w:r>
    </w:p>
    <w:p>
      <w:pPr>
        <w:spacing w:after="160" w:line="276"/>
      </w:pPr>
      <w:r>
        <w:rPr>
          <w:rFonts w:ascii="Calibri" w:cs="Calibri" w:eastAsia="Calibri" w:hAnsi="Calibri"/>
          <w:sz w:val="22"/>
          <w:szCs w:val="22"/>
        </w:rPr>
        <w:t xml:space="preserve">Nick Johnson, Senior Fellow at the Institute on Taxation and Economic Policy, presented </w:t>
      </w:r>
      <w:r>
        <w:rPr>
          <w:rFonts w:ascii="Calibri" w:cs="Calibri" w:eastAsia="Calibri" w:hAnsi="Calibri"/>
          <w:i/>
          <w:iCs/>
          <w:sz w:val="22"/>
          <w:szCs w:val="22"/>
        </w:rPr>
        <w:t xml:space="preserve">Regressive Taxation in Hawai‘i</w:t>
      </w:r>
      <w:r>
        <w:rPr>
          <w:rFonts w:ascii="Calibri" w:cs="Calibri" w:eastAsia="Calibri" w:hAnsi="Calibri"/>
          <w:sz w:val="22"/>
          <w:szCs w:val="22"/>
        </w:rPr>
        <w:t xml:space="preserve">: the Who Pays microsimulation showing the bottom quintile paying the highest share of income in state and local taxes, Hawai‘i ranking roughly 22nd least regressive among the states, and a distributional comparison of Act 46 against SB 3125 in 2031.</w:t>
      </w:r>
      <w:r>
        <w:rPr>
          <w:rFonts w:ascii="Calibri" w:cs="Calibri" w:eastAsia="Calibri" w:hAnsi="Calibri"/>
          <w:sz w:val="22"/>
          <w:szCs w:val="22"/>
          <w:vertAlign w:val="superscript"/>
        </w:rPr>
        <w:t xml:space="preserve">18</w:t>
      </w:r>
    </w:p>
    <w:p>
      <w:pPr>
        <w:spacing w:after="160" w:line="276"/>
      </w:pPr>
      <w:r>
        <w:rPr>
          <w:rFonts w:ascii="Calibri" w:cs="Calibri" w:eastAsia="Calibri" w:hAnsi="Calibri"/>
          <w:sz w:val="22"/>
          <w:szCs w:val="22"/>
        </w:rPr>
        <w:t xml:space="preserve">His recommended policies were: enact a Child Tax Credit; expand the Earned Income Tax Credit; repeal the QSBS exemption; tax Real Estate Investment Trusts; adopt worldwide combined reporting; and tax capital gains at the same rate as labor income.</w:t>
      </w:r>
    </w:p>
    <w:p>
      <w:pPr>
        <w:spacing w:after="160" w:line="276"/>
      </w:pPr>
      <w:r>
        <w:rPr>
          <w:rFonts w:ascii="Calibri" w:cs="Calibri" w:eastAsia="Calibri" w:hAnsi="Calibri"/>
          <w:sz w:val="22"/>
          <w:szCs w:val="22"/>
        </w:rPr>
        <w:t xml:space="preserve">Dr. Karacaovali pushed back that excluding elderly filers understates the system's progressivity, given that Hawai‘i exempts Social Security and employer-funded pension income. Johnson responded that analysing seniors is a different exercise, and noted that while exempting retirement income can make a system more progressive, many seniors also benefit from preferential capital-gains rates. Separately, the consultant procurement notice was withdrawn in favour of UHERO, which as a government body is exempt from the three-bidder requirement.</w:t>
      </w:r>
      <w:r>
        <w:rPr>
          <w:rFonts w:ascii="Calibri" w:cs="Calibri" w:eastAsia="Calibri" w:hAnsi="Calibri"/>
          <w:sz w:val="22"/>
          <w:szCs w:val="22"/>
          <w:vertAlign w:val="superscript"/>
        </w:rPr>
        <w:t xml:space="preserve">17</w:t>
      </w:r>
    </w:p>
    <w:p>
      <w:pPr>
        <w:pStyle w:val="Heading2"/>
        <w:spacing w:after="100" w:before="240"/>
      </w:pPr>
      <w:r>
        <w:rPr>
          <w:rFonts w:ascii="Calibri" w:cs="Calibri" w:eastAsia="Calibri" w:hAnsi="Calibri"/>
          <w:b/>
          <w:bCs/>
          <w:color w:val="2E5A88"/>
          <w:sz w:val="24"/>
          <w:szCs w:val="24"/>
        </w:rPr>
        <w:t xml:space="preserve">July 14, 2026 — Retirement income (draft minutes)</w:t>
      </w:r>
    </w:p>
    <w:p>
      <w:pPr>
        <w:spacing w:after="160" w:line="276"/>
      </w:pPr>
      <w:r>
        <w:rPr>
          <w:rFonts w:ascii="Calibri" w:cs="Calibri" w:eastAsia="Calibri" w:hAnsi="Calibri"/>
          <w:sz w:val="22"/>
          <w:szCs w:val="22"/>
        </w:rPr>
        <w:t xml:space="preserve">Senate Ways and Means, through Chair Dela Cruz's office, asked the Commission for a clear timeline, defined deliverables, periodic updates, and credit evaluation tied to long-term public policy objectives rather than fiscal impact alone. The Commission agreed to keep the dialogue open but explicitly reasserted its statutory independence. Chair White reported telling House Finance that the Commission's priorities are </w:t>
      </w:r>
      <w:r>
        <w:rPr>
          <w:rFonts w:ascii="Calibri" w:cs="Calibri" w:eastAsia="Calibri" w:hAnsi="Calibri"/>
          <w:b/>
          <w:bCs/>
          <w:sz w:val="22"/>
          <w:szCs w:val="22"/>
        </w:rPr>
        <w:t xml:space="preserve">competitiveness, regressivity, pensions, and single sales factor</w:t>
      </w:r>
      <w:r>
        <w:rPr>
          <w:rFonts w:ascii="Calibri" w:cs="Calibri" w:eastAsia="Calibri" w:hAnsi="Calibri"/>
          <w:sz w:val="22"/>
          <w:szCs w:val="22"/>
        </w:rPr>
        <w:t xml:space="preserve">.</w:t>
      </w:r>
      <w:r>
        <w:rPr>
          <w:rFonts w:ascii="Calibri" w:cs="Calibri" w:eastAsia="Calibri" w:hAnsi="Calibri"/>
          <w:sz w:val="22"/>
          <w:szCs w:val="22"/>
          <w:vertAlign w:val="superscript"/>
        </w:rPr>
        <w:t xml:space="preserve">19</w:t>
      </w:r>
    </w:p>
    <w:p>
      <w:pPr>
        <w:spacing w:after="160" w:line="276"/>
      </w:pPr>
      <w:r>
        <w:rPr>
          <w:rFonts w:ascii="Calibri" w:cs="Calibri" w:eastAsia="Calibri" w:hAnsi="Calibri"/>
          <w:sz w:val="22"/>
          <w:szCs w:val="22"/>
        </w:rPr>
        <w:t xml:space="preserve">The main presentation covered Hawai‘i's exemption of employer-funded pension income — roughly $4.2 billion, 8.9% of net income, reported on 17.5% of resident returns — and the fact that every commission since 2001–2003 has recommended taxing it on equity grounds, always with a phase-in and a base exclusion. DOTAX's own tables flagged that taxing pensions </w:t>
      </w:r>
      <w:r>
        <w:rPr>
          <w:rFonts w:ascii="Calibri" w:cs="Calibri" w:eastAsia="Calibri" w:hAnsi="Calibri"/>
          <w:i/>
          <w:iCs/>
          <w:sz w:val="22"/>
          <w:szCs w:val="22"/>
        </w:rPr>
        <w:t xml:space="preserve">without</w:t>
      </w:r>
      <w:r>
        <w:rPr>
          <w:rFonts w:ascii="Calibri" w:cs="Calibri" w:eastAsia="Calibri" w:hAnsi="Calibri"/>
          <w:sz w:val="22"/>
          <w:szCs w:val="22"/>
        </w:rPr>
        <w:t xml:space="preserve"> a base exemption produces larger percentage increases for lower-income retirees — in the presentation's words, signs of regressivity.</w:t>
      </w:r>
      <w:r>
        <w:rPr>
          <w:rFonts w:ascii="Calibri" w:cs="Calibri" w:eastAsia="Calibri" w:hAnsi="Calibri"/>
          <w:sz w:val="22"/>
          <w:szCs w:val="22"/>
          <w:vertAlign w:val="superscript"/>
        </w:rPr>
        <w:t xml:space="preserve">20</w:t>
      </w:r>
    </w:p>
    <w:p>
      <w:pPr>
        <w:spacing w:after="160" w:line="276"/>
      </w:pPr>
      <w:r>
        <w:rPr>
          <w:rFonts w:ascii="Calibri" w:cs="Calibri" w:eastAsia="Calibri" w:hAnsi="Calibri"/>
          <w:sz w:val="22"/>
          <w:szCs w:val="22"/>
        </w:rPr>
        <w:t xml:space="preserve">Dr. Karacaovali also reported </w:t>
      </w:r>
      <w:r>
        <w:rPr>
          <w:rFonts w:ascii="Calibri" w:cs="Calibri" w:eastAsia="Calibri" w:hAnsi="Calibri"/>
          <w:b/>
          <w:bCs/>
          <w:sz w:val="22"/>
          <w:szCs w:val="22"/>
        </w:rPr>
        <w:t xml:space="preserve">Act 160 (HB 2429)</w:t>
      </w:r>
      <w:r>
        <w:rPr>
          <w:rFonts w:ascii="Calibri" w:cs="Calibri" w:eastAsia="Calibri" w:hAnsi="Calibri"/>
          <w:sz w:val="22"/>
          <w:szCs w:val="22"/>
        </w:rPr>
        <w:t xml:space="preserve">, newly signed, which tasks DBEDT with evaluating every tax credit and GET exemption — raising the question of what the Commission's own credit work should add. Chair White proposed sorting credits into three buckets: social (e.g. the EITC), research (e.g. film), and market correction.</w:t>
      </w:r>
    </w:p>
    <w:p>
      <w:pPr>
        <w:pStyle w:val="Heading2"/>
        <w:spacing w:after="100" w:before="240"/>
      </w:pPr>
      <w:r>
        <w:rPr>
          <w:rFonts w:ascii="Calibri" w:cs="Calibri" w:eastAsia="Calibri" w:hAnsi="Calibri"/>
          <w:b/>
          <w:bCs/>
          <w:color w:val="2E5A88"/>
          <w:sz w:val="24"/>
          <w:szCs w:val="24"/>
        </w:rPr>
        <w:t xml:space="preserve">August 11, 2026 — Scheduled</w:t>
      </w:r>
    </w:p>
    <w:p>
      <w:pPr>
        <w:spacing w:after="160" w:line="276"/>
      </w:pPr>
      <w:r>
        <w:rPr>
          <w:rFonts w:ascii="Calibri" w:cs="Calibri" w:eastAsia="Calibri" w:hAnsi="Calibri"/>
          <w:sz w:val="22"/>
          <w:szCs w:val="22"/>
        </w:rPr>
        <w:t xml:space="preserve">Agenda: a presentation by Dr. Dylan Moore on the UHERO proposal; continued discussion of retirement income and the credit-evaluation framework; and discussion of single sales factor apportionment for corporate income taxation.</w:t>
      </w:r>
      <w:r>
        <w:rPr>
          <w:rFonts w:ascii="Calibri" w:cs="Calibri" w:eastAsia="Calibri" w:hAnsi="Calibri"/>
          <w:sz w:val="22"/>
          <w:szCs w:val="22"/>
          <w:vertAlign w:val="superscript"/>
        </w:rPr>
        <w:t xml:space="preserve">21</w:t>
      </w:r>
    </w:p>
    <w:p>
      <w:pPr>
        <w:pStyle w:val="Heading1"/>
        <w:spacing w:after="160" w:before="320"/>
      </w:pPr>
      <w:r>
        <w:rPr>
          <w:rFonts w:ascii="Calibri" w:cs="Calibri" w:eastAsia="Calibri" w:hAnsi="Calibri"/>
          <w:b/>
          <w:bCs/>
          <w:color w:val="1F3864"/>
          <w:sz w:val="30"/>
          <w:szCs w:val="30"/>
        </w:rPr>
        <w:t xml:space="preserve">Alignment with Tax Fairness Coalition priorities</w:t>
      </w:r>
    </w:p>
    <w:p>
      <w:pPr>
        <w:pStyle w:val="Heading2"/>
        <w:spacing w:after="100" w:before="240"/>
      </w:pPr>
      <w:r>
        <w:rPr>
          <w:rFonts w:ascii="Calibri" w:cs="Calibri" w:eastAsia="Calibri" w:hAnsi="Calibri"/>
          <w:b/>
          <w:bCs/>
          <w:color w:val="2E5A88"/>
          <w:sz w:val="24"/>
          <w:szCs w:val="24"/>
        </w:rPr>
        <w:t xml:space="preserve">Strong alignment</w:t>
      </w:r>
    </w:p>
    <w:p>
      <w:pPr>
        <w:pStyle w:val="ListParagraph"/>
        <w:numPr>
          <w:ilvl w:val="0"/>
          <w:numId w:val="1"/>
        </w:numPr>
        <w:spacing w:after="100" w:line="276"/>
      </w:pPr>
      <w:r>
        <w:rPr>
          <w:rFonts w:ascii="Calibri" w:cs="Calibri" w:eastAsia="Calibri" w:hAnsi="Calibri"/>
          <w:sz w:val="22"/>
          <w:szCs w:val="22"/>
        </w:rPr>
        <w:t xml:space="preserve">The </w:t>
      </w:r>
      <w:r>
        <w:rPr>
          <w:rFonts w:ascii="Calibri" w:cs="Calibri" w:eastAsia="Calibri" w:hAnsi="Calibri"/>
          <w:b/>
          <w:bCs/>
          <w:sz w:val="22"/>
          <w:szCs w:val="22"/>
        </w:rPr>
        <w:t xml:space="preserve">June 16 ITEP presentation</w:t>
      </w:r>
      <w:r>
        <w:rPr>
          <w:rFonts w:ascii="Calibri" w:cs="Calibri" w:eastAsia="Calibri" w:hAnsi="Calibri"/>
          <w:sz w:val="22"/>
          <w:szCs w:val="22"/>
        </w:rPr>
        <w:t xml:space="preserve"> placed the Coalition's analytical foundation directly before the Commission. Johnson's six named policies overlap heavily with the Coalition's platform: a </w:t>
      </w:r>
      <w:r>
        <w:rPr>
          <w:rFonts w:ascii="Calibri" w:cs="Calibri" w:eastAsia="Calibri" w:hAnsi="Calibri"/>
          <w:b/>
          <w:bCs/>
          <w:sz w:val="22"/>
          <w:szCs w:val="22"/>
        </w:rPr>
        <w:t xml:space="preserve">Child Tax Credit</w:t>
      </w:r>
      <w:r>
        <w:rPr>
          <w:rFonts w:ascii="Calibri" w:cs="Calibri" w:eastAsia="Calibri" w:hAnsi="Calibri"/>
          <w:sz w:val="22"/>
          <w:szCs w:val="22"/>
        </w:rPr>
        <w:t xml:space="preserve"> and </w:t>
      </w:r>
      <w:r>
        <w:rPr>
          <w:rFonts w:ascii="Calibri" w:cs="Calibri" w:eastAsia="Calibri" w:hAnsi="Calibri"/>
          <w:b/>
          <w:bCs/>
          <w:sz w:val="22"/>
          <w:szCs w:val="22"/>
        </w:rPr>
        <w:t xml:space="preserve">EITC expansion</w:t>
      </w:r>
      <w:r>
        <w:rPr>
          <w:rFonts w:ascii="Calibri" w:cs="Calibri" w:eastAsia="Calibri" w:hAnsi="Calibri"/>
          <w:sz w:val="22"/>
          <w:szCs w:val="22"/>
        </w:rPr>
        <w:t xml:space="preserve">; </w:t>
      </w:r>
      <w:r>
        <w:rPr>
          <w:rFonts w:ascii="Calibri" w:cs="Calibri" w:eastAsia="Calibri" w:hAnsi="Calibri"/>
          <w:b/>
          <w:bCs/>
          <w:sz w:val="22"/>
          <w:szCs w:val="22"/>
        </w:rPr>
        <w:t xml:space="preserve">taxing REITs</w:t>
      </w:r>
      <w:r>
        <w:rPr>
          <w:rFonts w:ascii="Calibri" w:cs="Calibri" w:eastAsia="Calibri" w:hAnsi="Calibri"/>
          <w:sz w:val="22"/>
          <w:szCs w:val="22"/>
        </w:rPr>
        <w:t xml:space="preserve"> (the Coalition's REIT loophole priority, $36–60M); and </w:t>
      </w:r>
      <w:r>
        <w:rPr>
          <w:rFonts w:ascii="Calibri" w:cs="Calibri" w:eastAsia="Calibri" w:hAnsi="Calibri"/>
          <w:b/>
          <w:bCs/>
          <w:sz w:val="22"/>
          <w:szCs w:val="22"/>
        </w:rPr>
        <w:t xml:space="preserve">taxing capital gains at the rate of labor income</w:t>
      </w:r>
      <w:r>
        <w:rPr>
          <w:rFonts w:ascii="Calibri" w:cs="Calibri" w:eastAsia="Calibri" w:hAnsi="Calibri"/>
          <w:sz w:val="22"/>
          <w:szCs w:val="22"/>
        </w:rPr>
        <w:t xml:space="preserve"> (“Tax Wealth Like Work,” $84M). The Act 46 versus SB 3125 distributional charts are the same ITEP series the Coalition cites.</w:t>
      </w:r>
      <w:r>
        <w:rPr>
          <w:rFonts w:ascii="Calibri" w:cs="Calibri" w:eastAsia="Calibri" w:hAnsi="Calibri"/>
          <w:sz w:val="22"/>
          <w:szCs w:val="22"/>
          <w:vertAlign w:val="superscript"/>
        </w:rPr>
        <w:t xml:space="preserve">18</w:t>
      </w:r>
      <w:r>
        <w:rPr>
          <w:rFonts w:ascii="Calibri" w:cs="Calibri" w:eastAsia="Calibri" w:hAnsi="Calibri"/>
          <w:sz w:val="22"/>
          <w:szCs w:val="22"/>
          <w:vertAlign w:val="superscript"/>
        </w:rPr>
        <w:t xml:space="preserve">22</w:t>
      </w:r>
    </w:p>
    <w:p>
      <w:pPr>
        <w:pStyle w:val="ListParagraph"/>
        <w:numPr>
          <w:ilvl w:val="0"/>
          <w:numId w:val="1"/>
        </w:numPr>
        <w:spacing w:after="100" w:line="276"/>
      </w:pPr>
      <w:r>
        <w:rPr>
          <w:rFonts w:ascii="Calibri" w:cs="Calibri" w:eastAsia="Calibri" w:hAnsi="Calibri"/>
          <w:b/>
          <w:bCs/>
          <w:sz w:val="22"/>
          <w:szCs w:val="22"/>
        </w:rPr>
        <w:t xml:space="preserve">GET regressivity</w:t>
      </w:r>
      <w:r>
        <w:rPr>
          <w:rFonts w:ascii="Calibri" w:cs="Calibri" w:eastAsia="Calibri" w:hAnsi="Calibri"/>
          <w:sz w:val="22"/>
          <w:szCs w:val="22"/>
        </w:rPr>
        <w:t xml:space="preserve"> is a live Commission topic, and Fukunaga's proposed </w:t>
      </w:r>
      <w:r>
        <w:rPr>
          <w:rFonts w:ascii="Calibri" w:cs="Calibri" w:eastAsia="Calibri" w:hAnsi="Calibri"/>
          <w:b/>
          <w:bCs/>
          <w:sz w:val="22"/>
          <w:szCs w:val="22"/>
        </w:rPr>
        <w:t xml:space="preserve">grocery and over-the-counter drug exemption</w:t>
      </w:r>
      <w:r>
        <w:rPr>
          <w:rFonts w:ascii="Calibri" w:cs="Calibri" w:eastAsia="Calibri" w:hAnsi="Calibri"/>
          <w:sz w:val="22"/>
          <w:szCs w:val="22"/>
        </w:rPr>
        <w:t xml:space="preserve"> targets exactly the mechanism the Coalition identifies as the primary driver of regressivity.</w:t>
      </w:r>
      <w:r>
        <w:rPr>
          <w:rFonts w:ascii="Calibri" w:cs="Calibri" w:eastAsia="Calibri" w:hAnsi="Calibri"/>
          <w:sz w:val="22"/>
          <w:szCs w:val="22"/>
          <w:vertAlign w:val="superscript"/>
        </w:rPr>
        <w:t xml:space="preserve">8</w:t>
      </w:r>
    </w:p>
    <w:p>
      <w:pPr>
        <w:pStyle w:val="ListParagraph"/>
        <w:numPr>
          <w:ilvl w:val="0"/>
          <w:numId w:val="1"/>
        </w:numPr>
        <w:spacing w:after="100" w:line="276"/>
      </w:pPr>
      <w:r>
        <w:rPr>
          <w:rFonts w:ascii="Calibri" w:cs="Calibri" w:eastAsia="Calibri" w:hAnsi="Calibri"/>
          <w:b/>
          <w:bCs/>
          <w:sz w:val="22"/>
          <w:szCs w:val="22"/>
        </w:rPr>
        <w:t xml:space="preserve">Credit and exemption accountability</w:t>
      </w:r>
      <w:r>
        <w:rPr>
          <w:rFonts w:ascii="Calibri" w:cs="Calibri" w:eastAsia="Calibri" w:hAnsi="Calibri"/>
          <w:sz w:val="22"/>
          <w:szCs w:val="22"/>
        </w:rPr>
        <w:t xml:space="preserve"> — sunset dates, public disclosure of business-credit claimants, cost-benefit frameworks — has recurring cross-commission support and matches the Coalition's interest in the credit-limiting provisions of Act 24.</w:t>
      </w:r>
      <w:r>
        <w:rPr>
          <w:rFonts w:ascii="Calibri" w:cs="Calibri" w:eastAsia="Calibri" w:hAnsi="Calibri"/>
          <w:sz w:val="22"/>
          <w:szCs w:val="22"/>
          <w:vertAlign w:val="superscript"/>
        </w:rPr>
        <w:t xml:space="preserve">9</w:t>
      </w:r>
    </w:p>
    <w:p>
      <w:pPr>
        <w:pStyle w:val="ListParagraph"/>
        <w:numPr>
          <w:ilvl w:val="0"/>
          <w:numId w:val="1"/>
        </w:numPr>
        <w:spacing w:after="100" w:line="276"/>
      </w:pPr>
      <w:r>
        <w:rPr>
          <w:rFonts w:ascii="Calibri" w:cs="Calibri" w:eastAsia="Calibri" w:hAnsi="Calibri"/>
          <w:b/>
          <w:bCs/>
          <w:sz w:val="22"/>
          <w:szCs w:val="22"/>
        </w:rPr>
        <w:t xml:space="preserve">HCR 182</w:t>
      </w:r>
      <w:r>
        <w:rPr>
          <w:rFonts w:ascii="Calibri" w:cs="Calibri" w:eastAsia="Calibri" w:hAnsi="Calibri"/>
          <w:sz w:val="22"/>
          <w:szCs w:val="22"/>
        </w:rPr>
        <w:t xml:space="preserve">'s charge overlaps closely with the Coalition's framing on equity and on non-resident contribution.</w:t>
      </w:r>
      <w:r>
        <w:rPr>
          <w:rFonts w:ascii="Calibri" w:cs="Calibri" w:eastAsia="Calibri" w:hAnsi="Calibri"/>
          <w:sz w:val="22"/>
          <w:szCs w:val="22"/>
          <w:vertAlign w:val="superscript"/>
        </w:rPr>
        <w:t xml:space="preserve">4</w:t>
      </w:r>
    </w:p>
    <w:p>
      <w:pPr>
        <w:pStyle w:val="Heading2"/>
        <w:spacing w:after="100" w:before="240"/>
      </w:pPr>
      <w:r>
        <w:rPr>
          <w:rFonts w:ascii="Calibri" w:cs="Calibri" w:eastAsia="Calibri" w:hAnsi="Calibri"/>
          <w:b/>
          <w:bCs/>
          <w:color w:val="2E5A88"/>
          <w:sz w:val="24"/>
          <w:szCs w:val="24"/>
        </w:rPr>
        <w:t xml:space="preserve">Partial or ambiguous</w:t>
      </w:r>
    </w:p>
    <w:p>
      <w:pPr>
        <w:pStyle w:val="ListParagraph"/>
        <w:numPr>
          <w:ilvl w:val="0"/>
          <w:numId w:val="1"/>
        </w:numPr>
        <w:spacing w:after="100" w:line="276"/>
      </w:pPr>
      <w:r>
        <w:rPr>
          <w:rFonts w:ascii="Calibri" w:cs="Calibri" w:eastAsia="Calibri" w:hAnsi="Calibri"/>
          <w:b/>
          <w:bCs/>
          <w:sz w:val="22"/>
          <w:szCs w:val="22"/>
        </w:rPr>
        <w:t xml:space="preserve">Retirement income taxation</w:t>
      </w:r>
      <w:r>
        <w:rPr>
          <w:rFonts w:ascii="Calibri" w:cs="Calibri" w:eastAsia="Calibri" w:hAnsi="Calibri"/>
          <w:sz w:val="22"/>
          <w:szCs w:val="22"/>
        </w:rPr>
        <w:t xml:space="preserve"> cuts both ways. Every prior commission has called the exemption inequitable and this one appears likely to follow. But DOTAX's own analysis shows that taxing pensions without a generous base exclusion falls hardest on low-income retirees, and Commissioner Yasuda argued that some form of exemption </w:t>
      </w:r>
      <w:r>
        <w:rPr>
          <w:rFonts w:ascii="Calibri" w:cs="Calibri" w:eastAsia="Calibri" w:hAnsi="Calibri"/>
          <w:i/>
          <w:iCs/>
          <w:sz w:val="22"/>
          <w:szCs w:val="22"/>
        </w:rPr>
        <w:t xml:space="preserve">combats</w:t>
      </w:r>
      <w:r>
        <w:rPr>
          <w:rFonts w:ascii="Calibri" w:cs="Calibri" w:eastAsia="Calibri" w:hAnsi="Calibri"/>
          <w:sz w:val="22"/>
          <w:szCs w:val="22"/>
        </w:rPr>
        <w:t xml:space="preserve"> regressivity. The Coalition would likely want a substantial base exclusion attached to any recommendation.</w:t>
      </w:r>
      <w:r>
        <w:rPr>
          <w:rFonts w:ascii="Calibri" w:cs="Calibri" w:eastAsia="Calibri" w:hAnsi="Calibri"/>
          <w:sz w:val="22"/>
          <w:szCs w:val="22"/>
          <w:vertAlign w:val="superscript"/>
        </w:rPr>
        <w:t xml:space="preserve">20</w:t>
      </w:r>
    </w:p>
    <w:p>
      <w:pPr>
        <w:pStyle w:val="ListParagraph"/>
        <w:numPr>
          <w:ilvl w:val="0"/>
          <w:numId w:val="1"/>
        </w:numPr>
        <w:spacing w:after="100" w:line="276"/>
      </w:pPr>
      <w:r>
        <w:rPr>
          <w:rFonts w:ascii="Calibri" w:cs="Calibri" w:eastAsia="Calibri" w:hAnsi="Calibri"/>
          <w:b/>
          <w:bCs/>
          <w:sz w:val="22"/>
          <w:szCs w:val="22"/>
        </w:rPr>
        <w:t xml:space="preserve">Housing affordability</w:t>
      </w:r>
      <w:r>
        <w:rPr>
          <w:rFonts w:ascii="Calibri" w:cs="Calibri" w:eastAsia="Calibri" w:hAnsi="Calibri"/>
          <w:sz w:val="22"/>
          <w:szCs w:val="22"/>
        </w:rPr>
        <w:t xml:space="preserve"> remains on the list but has been repeatedly deferred as too broad. The low-income housing credit and the opportunity and enterprise zone incentives survive only inside the competitiveness consultant scope.</w:t>
      </w:r>
      <w:r>
        <w:rPr>
          <w:rFonts w:ascii="Calibri" w:cs="Calibri" w:eastAsia="Calibri" w:hAnsi="Calibri"/>
          <w:sz w:val="22"/>
          <w:szCs w:val="22"/>
          <w:vertAlign w:val="superscript"/>
        </w:rPr>
        <w:t xml:space="preserve">13</w:t>
      </w:r>
      <w:r>
        <w:rPr>
          <w:rFonts w:ascii="Calibri" w:cs="Calibri" w:eastAsia="Calibri" w:hAnsi="Calibri"/>
          <w:sz w:val="22"/>
          <w:szCs w:val="22"/>
          <w:vertAlign w:val="superscript"/>
        </w:rPr>
        <w:t xml:space="preserve">14</w:t>
      </w:r>
    </w:p>
    <w:p>
      <w:pPr>
        <w:pStyle w:val="Heading2"/>
        <w:spacing w:after="100" w:before="240"/>
      </w:pPr>
      <w:r>
        <w:rPr>
          <w:rFonts w:ascii="Calibri" w:cs="Calibri" w:eastAsia="Calibri" w:hAnsi="Calibri"/>
          <w:b/>
          <w:bCs/>
          <w:color w:val="2E5A88"/>
          <w:sz w:val="24"/>
          <w:szCs w:val="24"/>
        </w:rPr>
        <w:t xml:space="preserve">Tension or absence</w:t>
      </w:r>
    </w:p>
    <w:p>
      <w:pPr>
        <w:pStyle w:val="ListParagraph"/>
        <w:numPr>
          <w:ilvl w:val="0"/>
          <w:numId w:val="1"/>
        </w:numPr>
        <w:spacing w:after="100" w:line="276"/>
      </w:pPr>
      <w:r>
        <w:rPr>
          <w:rFonts w:ascii="Calibri" w:cs="Calibri" w:eastAsia="Calibri" w:hAnsi="Calibri"/>
          <w:sz w:val="22"/>
          <w:szCs w:val="22"/>
        </w:rPr>
        <w:t xml:space="preserve">The one project actually procured — </w:t>
      </w:r>
      <w:r>
        <w:rPr>
          <w:rFonts w:ascii="Calibri" w:cs="Calibri" w:eastAsia="Calibri" w:hAnsi="Calibri"/>
          <w:b/>
          <w:bCs/>
          <w:sz w:val="22"/>
          <w:szCs w:val="22"/>
        </w:rPr>
        <w:t xml:space="preserve">competitiveness</w:t>
      </w:r>
      <w:r>
        <w:rPr>
          <w:rFonts w:ascii="Calibri" w:cs="Calibri" w:eastAsia="Calibri" w:hAnsi="Calibri"/>
          <w:sz w:val="22"/>
          <w:szCs w:val="22"/>
        </w:rPr>
        <w:t xml:space="preserve"> — is explicitly bounded by “maintaining current tax revenues” and framed around business climate, compliance burden, and features that discourage investment. That is a revenue-neutral, growth-oriented frame. The Coalition's premise is that Hawai‘i needs </w:t>
      </w:r>
      <w:r>
        <w:rPr>
          <w:rFonts w:ascii="Calibri" w:cs="Calibri" w:eastAsia="Calibri" w:hAnsi="Calibri"/>
          <w:i/>
          <w:iCs/>
          <w:sz w:val="22"/>
          <w:szCs w:val="22"/>
        </w:rPr>
        <w:t xml:space="preserve">more</w:t>
      </w:r>
      <w:r>
        <w:rPr>
          <w:rFonts w:ascii="Calibri" w:cs="Calibri" w:eastAsia="Calibri" w:hAnsi="Calibri"/>
          <w:sz w:val="22"/>
          <w:szCs w:val="22"/>
        </w:rPr>
        <w:t xml:space="preserve"> revenue to offset Act 46 losses and federal cuts.</w:t>
      </w:r>
      <w:r>
        <w:rPr>
          <w:rFonts w:ascii="Calibri" w:cs="Calibri" w:eastAsia="Calibri" w:hAnsi="Calibri"/>
          <w:sz w:val="22"/>
          <w:szCs w:val="22"/>
          <w:vertAlign w:val="superscript"/>
        </w:rPr>
        <w:t xml:space="preserve">13</w:t>
      </w:r>
    </w:p>
    <w:p>
      <w:pPr>
        <w:pStyle w:val="ListParagraph"/>
        <w:numPr>
          <w:ilvl w:val="0"/>
          <w:numId w:val="1"/>
        </w:numPr>
        <w:spacing w:after="100" w:line="276"/>
      </w:pPr>
      <w:r>
        <w:rPr>
          <w:rFonts w:ascii="Calibri" w:cs="Calibri" w:eastAsia="Calibri" w:hAnsi="Calibri"/>
          <w:b/>
          <w:bCs/>
          <w:sz w:val="22"/>
          <w:szCs w:val="22"/>
        </w:rPr>
        <w:t xml:space="preserve">No Coalition priority appears as a Commission topic under its own name.</w:t>
      </w:r>
      <w:r>
        <w:rPr>
          <w:rFonts w:ascii="Calibri" w:cs="Calibri" w:eastAsia="Calibri" w:hAnsi="Calibri"/>
          <w:sz w:val="22"/>
          <w:szCs w:val="22"/>
        </w:rPr>
        <w:t xml:space="preserve"> A millionaire's income tax, conveyance tax restructuring, and a wealth proceeds tax are absent from every agenda. “Wealth tax” appeared once, on the February brainstorm list, and was never taken up again.</w:t>
      </w:r>
      <w:r>
        <w:rPr>
          <w:rFonts w:ascii="Calibri" w:cs="Calibri" w:eastAsia="Calibri" w:hAnsi="Calibri"/>
          <w:sz w:val="22"/>
          <w:szCs w:val="22"/>
          <w:vertAlign w:val="superscript"/>
        </w:rPr>
        <w:t xml:space="preserve">6</w:t>
      </w:r>
    </w:p>
    <w:p>
      <w:pPr>
        <w:pStyle w:val="ListParagraph"/>
        <w:numPr>
          <w:ilvl w:val="0"/>
          <w:numId w:val="1"/>
        </w:numPr>
        <w:spacing w:after="100" w:line="276"/>
      </w:pPr>
      <w:r>
        <w:rPr>
          <w:rFonts w:ascii="Calibri" w:cs="Calibri" w:eastAsia="Calibri" w:hAnsi="Calibri"/>
          <w:b/>
          <w:bCs/>
          <w:sz w:val="22"/>
          <w:szCs w:val="22"/>
        </w:rPr>
        <w:t xml:space="preserve">Regressivity was deliberately not given to a consultant</w:t>
      </w:r>
      <w:r>
        <w:rPr>
          <w:rFonts w:ascii="Calibri" w:cs="Calibri" w:eastAsia="Calibri" w:hAnsi="Calibri"/>
          <w:sz w:val="22"/>
          <w:szCs w:val="22"/>
        </w:rPr>
        <w:t xml:space="preserve">, on the argument that prior commissions had covered it. It sits in-house, meaning staff time rather than original modelling.</w:t>
      </w:r>
      <w:r>
        <w:rPr>
          <w:rFonts w:ascii="Calibri" w:cs="Calibri" w:eastAsia="Calibri" w:hAnsi="Calibri"/>
          <w:sz w:val="22"/>
          <w:szCs w:val="22"/>
          <w:vertAlign w:val="superscript"/>
        </w:rPr>
        <w:t xml:space="preserve">8</w:t>
      </w:r>
    </w:p>
    <w:p>
      <w:pPr>
        <w:pStyle w:val="ListParagraph"/>
        <w:numPr>
          <w:ilvl w:val="0"/>
          <w:numId w:val="1"/>
        </w:numPr>
        <w:spacing w:after="100" w:line="276"/>
      </w:pPr>
      <w:r>
        <w:rPr>
          <w:rFonts w:ascii="Calibri" w:cs="Calibri" w:eastAsia="Calibri" w:hAnsi="Calibri"/>
          <w:b/>
          <w:bCs/>
          <w:sz w:val="22"/>
          <w:szCs w:val="22"/>
        </w:rPr>
        <w:t xml:space="preserve">No public testimony has been submitted at any meeting.</w:t>
      </w:r>
      <w:r>
        <w:rPr>
          <w:rFonts w:ascii="Calibri" w:cs="Calibri" w:eastAsia="Calibri" w:hAnsi="Calibri"/>
          <w:sz w:val="22"/>
          <w:szCs w:val="22"/>
        </w:rPr>
        <w:t xml:space="preserve"> Across nine meetings, the record shows no comments received from the public. This is the most actionable gap: the Commission accepts written testimony at tax.research@hawaii.gov, and its standing agenda item carries non-agenda public comment to the following meeting.</w:t>
      </w:r>
      <w:r>
        <w:rPr>
          <w:rFonts w:ascii="Calibri" w:cs="Calibri" w:eastAsia="Calibri" w:hAnsi="Calibri"/>
          <w:sz w:val="22"/>
          <w:szCs w:val="22"/>
          <w:vertAlign w:val="superscript"/>
        </w:rPr>
        <w:t xml:space="preserve">21</w:t>
      </w:r>
    </w:p>
    <w:p>
      <w:pPr>
        <w:pStyle w:val="Heading2"/>
        <w:spacing w:after="100" w:before="240"/>
      </w:pPr>
      <w:r>
        <w:rPr>
          <w:rFonts w:ascii="Calibri" w:cs="Calibri" w:eastAsia="Calibri" w:hAnsi="Calibri"/>
          <w:b/>
          <w:bCs/>
          <w:color w:val="2E5A88"/>
          <w:sz w:val="24"/>
          <w:szCs w:val="24"/>
        </w:rPr>
        <w:t xml:space="preserve">Timing</w:t>
      </w:r>
    </w:p>
    <w:p>
      <w:pPr>
        <w:spacing w:after="160" w:line="276"/>
      </w:pPr>
      <w:r>
        <w:rPr>
          <w:rFonts w:ascii="Calibri" w:cs="Calibri" w:eastAsia="Calibri" w:hAnsi="Calibri"/>
          <w:sz w:val="22"/>
          <w:szCs w:val="22"/>
        </w:rPr>
        <w:t xml:space="preserve">The report is due December 21, 2026. The UHERO scope was still being narrowed as of the July meeting, and the credit-evaluation framework is explicitly unsettled — Chair White's three-bucket sort would place the EITC in a “social” category evaluated on different terms from business credits. Both remain open to influence.</w:t>
      </w:r>
      <w:r>
        <w:rPr>
          <w:rFonts w:ascii="Calibri" w:cs="Calibri" w:eastAsia="Calibri" w:hAnsi="Calibri"/>
          <w:sz w:val="22"/>
          <w:szCs w:val="22"/>
          <w:vertAlign w:val="superscript"/>
        </w:rPr>
        <w:t xml:space="preserve">19</w:t>
      </w:r>
    </w:p>
    <w:p>
      <w:pPr>
        <w:pageBreakBefore/>
      </w:pPr>
    </w:p>
    <w:p>
      <w:pPr>
        <w:pStyle w:val="Heading1"/>
        <w:spacing w:after="160" w:before="320"/>
      </w:pPr>
      <w:r>
        <w:rPr>
          <w:rFonts w:ascii="Calibri" w:cs="Calibri" w:eastAsia="Calibri" w:hAnsi="Calibri"/>
          <w:b/>
          <w:bCs/>
          <w:color w:val="1F3864"/>
          <w:sz w:val="30"/>
          <w:szCs w:val="30"/>
        </w:rPr>
        <w:t xml:space="preserve">Endnotes</w:t>
      </w:r>
    </w:p>
    <w:p>
      <w:pPr>
        <w:spacing w:after="100"/>
      </w:pPr>
      <w:r>
        <w:rPr>
          <w:rFonts w:ascii="Calibri" w:cs="Calibri" w:eastAsia="Calibri" w:hAnsi="Calibri"/>
          <w:b/>
          <w:bCs/>
          <w:sz w:val="20"/>
          <w:szCs w:val="20"/>
        </w:rPr>
        <w:t xml:space="preserve">1. </w:t>
      </w:r>
      <w:r>
        <w:rPr>
          <w:rFonts w:ascii="Calibri" w:cs="Calibri" w:eastAsia="Calibri" w:hAnsi="Calibri"/>
          <w:sz w:val="20"/>
          <w:szCs w:val="20"/>
        </w:rPr>
        <w:t xml:space="preserve">TRC landing page — all minutes, materials, and video — </w:t>
      </w:r>
      <w:hyperlink w:history="1" r:id="rIdq2w-32xysa0m8fmvgwwam">
        <w:r>
          <w:rPr>
            <w:rStyle w:val="Hyperlink"/>
            <w:rFonts w:ascii="Calibri" w:cs="Calibri" w:eastAsia="Calibri" w:hAnsi="Calibri"/>
            <w:sz w:val="20"/>
            <w:szCs w:val="20"/>
          </w:rPr>
          <w:t xml:space="preserve">https://tax.hawaii.gov/stats/tax-review-commission/</w:t>
        </w:r>
      </w:hyperlink>
    </w:p>
    <w:p>
      <w:pPr>
        <w:spacing w:after="100"/>
      </w:pPr>
      <w:r>
        <w:rPr>
          <w:rFonts w:ascii="Calibri" w:cs="Calibri" w:eastAsia="Calibri" w:hAnsi="Calibri"/>
          <w:b/>
          <w:bCs/>
          <w:sz w:val="20"/>
          <w:szCs w:val="20"/>
        </w:rPr>
        <w:t xml:space="preserve">2. </w:t>
      </w:r>
      <w:r>
        <w:rPr>
          <w:rFonts w:ascii="Calibri" w:cs="Calibri" w:eastAsia="Calibri" w:hAnsi="Calibri"/>
          <w:sz w:val="20"/>
          <w:szCs w:val="20"/>
        </w:rPr>
        <w:t xml:space="preserve">Minutes, January 15, 2026 — </w:t>
      </w:r>
      <w:hyperlink w:history="1" r:id="rIdou3l1lxzw0y-j5gpxnndl">
        <w:r>
          <w:rPr>
            <w:rStyle w:val="Hyperlink"/>
            <w:rFonts w:ascii="Calibri" w:cs="Calibri" w:eastAsia="Calibri" w:hAnsi="Calibri"/>
            <w:sz w:val="20"/>
            <w:szCs w:val="20"/>
          </w:rPr>
          <w:t xml:space="preserve">https://files.hawaii.gov/tax/stats/trc/mins2025/2026trc01-15_min.pdf</w:t>
        </w:r>
      </w:hyperlink>
    </w:p>
    <w:p>
      <w:pPr>
        <w:spacing w:after="100"/>
      </w:pPr>
      <w:r>
        <w:rPr>
          <w:rFonts w:ascii="Calibri" w:cs="Calibri" w:eastAsia="Calibri" w:hAnsi="Calibri"/>
          <w:b/>
          <w:bCs/>
          <w:sz w:val="20"/>
          <w:szCs w:val="20"/>
        </w:rPr>
        <w:t xml:space="preserve">3. </w:t>
      </w:r>
      <w:r>
        <w:rPr>
          <w:rFonts w:ascii="Calibri" w:cs="Calibri" w:eastAsia="Calibri" w:hAnsi="Calibri"/>
          <w:sz w:val="20"/>
          <w:szCs w:val="20"/>
        </w:rPr>
        <w:t xml:space="preserve">DOTAX presentation, January 15, 2026 (statutory duties, Sunshine Law, proposed topics) — </w:t>
      </w:r>
      <w:hyperlink w:history="1" r:id="rIdi0htnfv8rkweykd8kt-ep">
        <w:r>
          <w:rPr>
            <w:rStyle w:val="Hyperlink"/>
            <w:rFonts w:ascii="Calibri" w:cs="Calibri" w:eastAsia="Calibri" w:hAnsi="Calibri"/>
            <w:sz w:val="20"/>
            <w:szCs w:val="20"/>
          </w:rPr>
          <w:t xml:space="preserve">https://files.hawaii.gov/tax/stats/trc/docs2025/2026-01-15-TRC_Presentation-DOTAX-TRP.pdf</w:t>
        </w:r>
      </w:hyperlink>
    </w:p>
    <w:p>
      <w:pPr>
        <w:spacing w:after="100"/>
      </w:pPr>
      <w:r>
        <w:rPr>
          <w:rFonts w:ascii="Calibri" w:cs="Calibri" w:eastAsia="Calibri" w:hAnsi="Calibri"/>
          <w:b/>
          <w:bCs/>
          <w:sz w:val="20"/>
          <w:szCs w:val="20"/>
        </w:rPr>
        <w:t xml:space="preserve">4. </w:t>
      </w:r>
      <w:r>
        <w:rPr>
          <w:rFonts w:ascii="Calibri" w:cs="Calibri" w:eastAsia="Calibri" w:hAnsi="Calibri"/>
          <w:sz w:val="20"/>
          <w:szCs w:val="20"/>
        </w:rPr>
        <w:t xml:space="preserve">House Concurrent Resolution No. 182 (2025) — </w:t>
      </w:r>
      <w:hyperlink w:history="1" r:id="rIdpnuyd3jimjgcezln5knyx">
        <w:r>
          <w:rPr>
            <w:rStyle w:val="Hyperlink"/>
            <w:rFonts w:ascii="Calibri" w:cs="Calibri" w:eastAsia="Calibri" w:hAnsi="Calibri"/>
            <w:sz w:val="20"/>
            <w:szCs w:val="20"/>
          </w:rPr>
          <w:t xml:space="preserve">https://files.hawaii.gov/tax/stats/trc/docs2025/HCR%20_82.pdf</w:t>
        </w:r>
      </w:hyperlink>
    </w:p>
    <w:p>
      <w:pPr>
        <w:spacing w:after="100"/>
      </w:pPr>
      <w:r>
        <w:rPr>
          <w:rFonts w:ascii="Calibri" w:cs="Calibri" w:eastAsia="Calibri" w:hAnsi="Calibri"/>
          <w:b/>
          <w:bCs/>
          <w:sz w:val="20"/>
          <w:szCs w:val="20"/>
        </w:rPr>
        <w:t xml:space="preserve">5. </w:t>
      </w:r>
      <w:r>
        <w:rPr>
          <w:rFonts w:ascii="Calibri" w:cs="Calibri" w:eastAsia="Calibri" w:hAnsi="Calibri"/>
          <w:sz w:val="20"/>
          <w:szCs w:val="20"/>
        </w:rPr>
        <w:t xml:space="preserve">Senate Resolution No. 19, S.D.1 (2025) — Long-Term Care Financing — </w:t>
      </w:r>
      <w:hyperlink w:history="1" r:id="rIdkrxrrg8fe_fe3qyixljmt">
        <w:r>
          <w:rPr>
            <w:rStyle w:val="Hyperlink"/>
            <w:rFonts w:ascii="Calibri" w:cs="Calibri" w:eastAsia="Calibri" w:hAnsi="Calibri"/>
            <w:sz w:val="20"/>
            <w:szCs w:val="20"/>
          </w:rPr>
          <w:t xml:space="preserve">https://files.hawaii.gov/tax/stats/trc/docs2025/SR19_SD1_Certified.pdf</w:t>
        </w:r>
      </w:hyperlink>
    </w:p>
    <w:p>
      <w:pPr>
        <w:spacing w:after="100"/>
      </w:pPr>
      <w:r>
        <w:rPr>
          <w:rFonts w:ascii="Calibri" w:cs="Calibri" w:eastAsia="Calibri" w:hAnsi="Calibri"/>
          <w:b/>
          <w:bCs/>
          <w:sz w:val="20"/>
          <w:szCs w:val="20"/>
        </w:rPr>
        <w:t xml:space="preserve">6. </w:t>
      </w:r>
      <w:r>
        <w:rPr>
          <w:rFonts w:ascii="Calibri" w:cs="Calibri" w:eastAsia="Calibri" w:hAnsi="Calibri"/>
          <w:sz w:val="20"/>
          <w:szCs w:val="20"/>
        </w:rPr>
        <w:t xml:space="preserve">Minutes, February 17, 2026 — </w:t>
      </w:r>
      <w:hyperlink w:history="1" r:id="rIdcekld4irijt3vtaprr1oe">
        <w:r>
          <w:rPr>
            <w:rStyle w:val="Hyperlink"/>
            <w:rFonts w:ascii="Calibri" w:cs="Calibri" w:eastAsia="Calibri" w:hAnsi="Calibri"/>
            <w:sz w:val="20"/>
            <w:szCs w:val="20"/>
          </w:rPr>
          <w:t xml:space="preserve">https://files.hawaii.gov/tax/stats/trc/mins2025/2026trc02-17_min.pdf</w:t>
        </w:r>
      </w:hyperlink>
    </w:p>
    <w:p>
      <w:pPr>
        <w:spacing w:after="100"/>
      </w:pPr>
      <w:r>
        <w:rPr>
          <w:rFonts w:ascii="Calibri" w:cs="Calibri" w:eastAsia="Calibri" w:hAnsi="Calibri"/>
          <w:b/>
          <w:bCs/>
          <w:sz w:val="20"/>
          <w:szCs w:val="20"/>
        </w:rPr>
        <w:t xml:space="preserve">7. </w:t>
      </w:r>
      <w:r>
        <w:rPr>
          <w:rFonts w:ascii="Calibri" w:cs="Calibri" w:eastAsia="Calibri" w:hAnsi="Calibri"/>
          <w:sz w:val="20"/>
          <w:szCs w:val="20"/>
        </w:rPr>
        <w:t xml:space="preserve">DOTAX presentation, February 17, 2026 — General Overview of the Hawai‘i Tax System — </w:t>
      </w:r>
      <w:hyperlink w:history="1" r:id="rIdiyurczdybyokc9fkhxkzu">
        <w:r>
          <w:rPr>
            <w:rStyle w:val="Hyperlink"/>
            <w:rFonts w:ascii="Calibri" w:cs="Calibri" w:eastAsia="Calibri" w:hAnsi="Calibri"/>
            <w:sz w:val="20"/>
            <w:szCs w:val="20"/>
          </w:rPr>
          <w:t xml:space="preserve">https://files.hawaii.gov/tax/stats/trc/docs2025/2026-02-17_TRC-Presentation-DOTAX-TRP.pdf</w:t>
        </w:r>
      </w:hyperlink>
    </w:p>
    <w:p>
      <w:pPr>
        <w:spacing w:after="100"/>
      </w:pPr>
      <w:r>
        <w:rPr>
          <w:rFonts w:ascii="Calibri" w:cs="Calibri" w:eastAsia="Calibri" w:hAnsi="Calibri"/>
          <w:b/>
          <w:bCs/>
          <w:sz w:val="20"/>
          <w:szCs w:val="20"/>
        </w:rPr>
        <w:t xml:space="preserve">8. </w:t>
      </w:r>
      <w:r>
        <w:rPr>
          <w:rFonts w:ascii="Calibri" w:cs="Calibri" w:eastAsia="Calibri" w:hAnsi="Calibri"/>
          <w:sz w:val="20"/>
          <w:szCs w:val="20"/>
        </w:rPr>
        <w:t xml:space="preserve">Minutes, March 17, 2026 — </w:t>
      </w:r>
      <w:hyperlink w:history="1" r:id="rId6ysnjkaztywjdzkmr24r6">
        <w:r>
          <w:rPr>
            <w:rStyle w:val="Hyperlink"/>
            <w:rFonts w:ascii="Calibri" w:cs="Calibri" w:eastAsia="Calibri" w:hAnsi="Calibri"/>
            <w:sz w:val="20"/>
            <w:szCs w:val="20"/>
          </w:rPr>
          <w:t xml:space="preserve">https://files.hawaii.gov/tax/stats/trc/mins2025/2026trc03-17_min.pdf</w:t>
        </w:r>
      </w:hyperlink>
    </w:p>
    <w:p>
      <w:pPr>
        <w:spacing w:after="100"/>
      </w:pPr>
      <w:r>
        <w:rPr>
          <w:rFonts w:ascii="Calibri" w:cs="Calibri" w:eastAsia="Calibri" w:hAnsi="Calibri"/>
          <w:b/>
          <w:bCs/>
          <w:sz w:val="20"/>
          <w:szCs w:val="20"/>
        </w:rPr>
        <w:t xml:space="preserve">9. </w:t>
      </w:r>
      <w:r>
        <w:rPr>
          <w:rFonts w:ascii="Calibri" w:cs="Calibri" w:eastAsia="Calibri" w:hAnsi="Calibri"/>
          <w:sz w:val="20"/>
          <w:szCs w:val="20"/>
        </w:rPr>
        <w:t xml:space="preserve">DOTAX presentation, March 17, 2026 — Tax Credits — </w:t>
      </w:r>
      <w:hyperlink w:history="1" r:id="rId_ua-wkjcud11n5b9dynam">
        <w:r>
          <w:rPr>
            <w:rStyle w:val="Hyperlink"/>
            <w:rFonts w:ascii="Calibri" w:cs="Calibri" w:eastAsia="Calibri" w:hAnsi="Calibri"/>
            <w:sz w:val="20"/>
            <w:szCs w:val="20"/>
          </w:rPr>
          <w:t xml:space="preserve">https://files.hawaii.gov/tax/stats/trc/docs2025/2026-03-17_TRC-Presentation-DOTAX-Tax_Credits.pdf</w:t>
        </w:r>
      </w:hyperlink>
    </w:p>
    <w:p>
      <w:pPr>
        <w:spacing w:after="100"/>
      </w:pPr>
      <w:r>
        <w:rPr>
          <w:rFonts w:ascii="Calibri" w:cs="Calibri" w:eastAsia="Calibri" w:hAnsi="Calibri"/>
          <w:b/>
          <w:bCs/>
          <w:sz w:val="20"/>
          <w:szCs w:val="20"/>
        </w:rPr>
        <w:t xml:space="preserve">10. </w:t>
      </w:r>
      <w:r>
        <w:rPr>
          <w:rFonts w:ascii="Calibri" w:cs="Calibri" w:eastAsia="Calibri" w:hAnsi="Calibri"/>
          <w:sz w:val="20"/>
          <w:szCs w:val="20"/>
        </w:rPr>
        <w:t xml:space="preserve">DOTAX presentation, March 17, 2026 — Consultant Timeline &amp; Requirements — </w:t>
      </w:r>
      <w:hyperlink w:history="1" r:id="rIdglsik7xekfwiq6p76go_l">
        <w:r>
          <w:rPr>
            <w:rStyle w:val="Hyperlink"/>
            <w:rFonts w:ascii="Calibri" w:cs="Calibri" w:eastAsia="Calibri" w:hAnsi="Calibri"/>
            <w:sz w:val="20"/>
            <w:szCs w:val="20"/>
          </w:rPr>
          <w:t xml:space="preserve">https://files.hawaii.gov/tax/stats/trc/docs2025/2026-03-17_TRC-Presentation-DOTAX-Timeline_Requirements.pdf</w:t>
        </w:r>
      </w:hyperlink>
    </w:p>
    <w:p>
      <w:pPr>
        <w:spacing w:after="100"/>
      </w:pPr>
      <w:r>
        <w:rPr>
          <w:rFonts w:ascii="Calibri" w:cs="Calibri" w:eastAsia="Calibri" w:hAnsi="Calibri"/>
          <w:b/>
          <w:bCs/>
          <w:sz w:val="20"/>
          <w:szCs w:val="20"/>
        </w:rPr>
        <w:t xml:space="preserve">11. </w:t>
      </w:r>
      <w:r>
        <w:rPr>
          <w:rFonts w:ascii="Calibri" w:cs="Calibri" w:eastAsia="Calibri" w:hAnsi="Calibri"/>
          <w:sz w:val="20"/>
          <w:szCs w:val="20"/>
        </w:rPr>
        <w:t xml:space="preserve">Minutes, April 1, 2026 — </w:t>
      </w:r>
      <w:hyperlink w:history="1" r:id="rIdpmj4fectaq3nljcbkdtfq">
        <w:r>
          <w:rPr>
            <w:rStyle w:val="Hyperlink"/>
            <w:rFonts w:ascii="Calibri" w:cs="Calibri" w:eastAsia="Calibri" w:hAnsi="Calibri"/>
            <w:sz w:val="20"/>
            <w:szCs w:val="20"/>
          </w:rPr>
          <w:t xml:space="preserve">https://files.hawaii.gov/tax/stats/trc/mins2025/2026trc04-01_min.pdf</w:t>
        </w:r>
      </w:hyperlink>
    </w:p>
    <w:p>
      <w:pPr>
        <w:spacing w:after="100"/>
      </w:pPr>
      <w:r>
        <w:rPr>
          <w:rFonts w:ascii="Calibri" w:cs="Calibri" w:eastAsia="Calibri" w:hAnsi="Calibri"/>
          <w:b/>
          <w:bCs/>
          <w:sz w:val="20"/>
          <w:szCs w:val="20"/>
        </w:rPr>
        <w:t xml:space="preserve">12. </w:t>
      </w:r>
      <w:r>
        <w:rPr>
          <w:rFonts w:ascii="Calibri" w:cs="Calibri" w:eastAsia="Calibri" w:hAnsi="Calibri"/>
          <w:sz w:val="20"/>
          <w:szCs w:val="20"/>
        </w:rPr>
        <w:t xml:space="preserve">Minutes, April 20, 2026 — </w:t>
      </w:r>
      <w:hyperlink w:history="1" r:id="rId5mqyvbotv7iua2qhibk7b">
        <w:r>
          <w:rPr>
            <w:rStyle w:val="Hyperlink"/>
            <w:rFonts w:ascii="Calibri" w:cs="Calibri" w:eastAsia="Calibri" w:hAnsi="Calibri"/>
            <w:sz w:val="20"/>
            <w:szCs w:val="20"/>
          </w:rPr>
          <w:t xml:space="preserve">https://files.hawaii.gov/tax/stats/trc/mins2025/2026trc04-20_min_final.pdf</w:t>
        </w:r>
      </w:hyperlink>
    </w:p>
    <w:p>
      <w:pPr>
        <w:spacing w:after="100"/>
      </w:pPr>
      <w:r>
        <w:rPr>
          <w:rFonts w:ascii="Calibri" w:cs="Calibri" w:eastAsia="Calibri" w:hAnsi="Calibri"/>
          <w:b/>
          <w:bCs/>
          <w:sz w:val="20"/>
          <w:szCs w:val="20"/>
        </w:rPr>
        <w:t xml:space="preserve">13. </w:t>
      </w:r>
      <w:r>
        <w:rPr>
          <w:rFonts w:ascii="Calibri" w:cs="Calibri" w:eastAsia="Calibri" w:hAnsi="Calibri"/>
          <w:sz w:val="20"/>
          <w:szCs w:val="20"/>
        </w:rPr>
        <w:t xml:space="preserve">Material, April 20, 2026 — Topic 1: Competitiveness — </w:t>
      </w:r>
      <w:hyperlink w:history="1" r:id="rIdafnha8k80r7g46oa_gyex">
        <w:r>
          <w:rPr>
            <w:rStyle w:val="Hyperlink"/>
            <w:rFonts w:ascii="Calibri" w:cs="Calibri" w:eastAsia="Calibri" w:hAnsi="Calibri"/>
            <w:sz w:val="20"/>
            <w:szCs w:val="20"/>
          </w:rPr>
          <w:t xml:space="preserve">https://files.hawaii.gov/tax/stats/trc/docs2025/2026-04-20-TRC_Topic1_Competitiveness.pdf</w:t>
        </w:r>
      </w:hyperlink>
    </w:p>
    <w:p>
      <w:pPr>
        <w:spacing w:after="100"/>
      </w:pPr>
      <w:r>
        <w:rPr>
          <w:rFonts w:ascii="Calibri" w:cs="Calibri" w:eastAsia="Calibri" w:hAnsi="Calibri"/>
          <w:b/>
          <w:bCs/>
          <w:sz w:val="20"/>
          <w:szCs w:val="20"/>
        </w:rPr>
        <w:t xml:space="preserve">14. </w:t>
      </w:r>
      <w:r>
        <w:rPr>
          <w:rFonts w:ascii="Calibri" w:cs="Calibri" w:eastAsia="Calibri" w:hAnsi="Calibri"/>
          <w:sz w:val="20"/>
          <w:szCs w:val="20"/>
        </w:rPr>
        <w:t xml:space="preserve">Material, April 20, 2026 — Other TRC Topics under Consideration — </w:t>
      </w:r>
      <w:hyperlink w:history="1" r:id="rIdf_mnkgwby3pnjeqsahmp3">
        <w:r>
          <w:rPr>
            <w:rStyle w:val="Hyperlink"/>
            <w:rFonts w:ascii="Calibri" w:cs="Calibri" w:eastAsia="Calibri" w:hAnsi="Calibri"/>
            <w:sz w:val="20"/>
            <w:szCs w:val="20"/>
          </w:rPr>
          <w:t xml:space="preserve">https://files.hawaii.gov/tax/stats/trc/docs2025/2026-04-20-Other_TRC_Topics_under_Consideration.pdf</w:t>
        </w:r>
      </w:hyperlink>
    </w:p>
    <w:p>
      <w:pPr>
        <w:spacing w:after="100"/>
      </w:pPr>
      <w:r>
        <w:rPr>
          <w:rFonts w:ascii="Calibri" w:cs="Calibri" w:eastAsia="Calibri" w:hAnsi="Calibri"/>
          <w:b/>
          <w:bCs/>
          <w:sz w:val="20"/>
          <w:szCs w:val="20"/>
        </w:rPr>
        <w:t xml:space="preserve">15. </w:t>
      </w:r>
      <w:r>
        <w:rPr>
          <w:rFonts w:ascii="Calibri" w:cs="Calibri" w:eastAsia="Calibri" w:hAnsi="Calibri"/>
          <w:sz w:val="20"/>
          <w:szCs w:val="20"/>
        </w:rPr>
        <w:t xml:space="preserve">Minutes, May 26, 2026 — </w:t>
      </w:r>
      <w:hyperlink w:history="1" r:id="rId2gv74clph6bqkme_zy5vn">
        <w:r>
          <w:rPr>
            <w:rStyle w:val="Hyperlink"/>
            <w:rFonts w:ascii="Calibri" w:cs="Calibri" w:eastAsia="Calibri" w:hAnsi="Calibri"/>
            <w:sz w:val="20"/>
            <w:szCs w:val="20"/>
          </w:rPr>
          <w:t xml:space="preserve">https://files.hawaii.gov/tax/stats/trc/mins2025/2026trc05-26_min.pdf</w:t>
        </w:r>
      </w:hyperlink>
    </w:p>
    <w:p>
      <w:pPr>
        <w:spacing w:after="100"/>
      </w:pPr>
      <w:r>
        <w:rPr>
          <w:rFonts w:ascii="Calibri" w:cs="Calibri" w:eastAsia="Calibri" w:hAnsi="Calibri"/>
          <w:b/>
          <w:bCs/>
          <w:sz w:val="20"/>
          <w:szCs w:val="20"/>
        </w:rPr>
        <w:t xml:space="preserve">16. </w:t>
      </w:r>
      <w:r>
        <w:rPr>
          <w:rFonts w:ascii="Calibri" w:cs="Calibri" w:eastAsia="Calibri" w:hAnsi="Calibri"/>
          <w:sz w:val="20"/>
          <w:szCs w:val="20"/>
        </w:rPr>
        <w:t xml:space="preserve">DOTAX presentation, May 26, 2026 — Legislative Update — </w:t>
      </w:r>
      <w:hyperlink w:history="1" r:id="rIdu9zthelelg6uidl5piqaf">
        <w:r>
          <w:rPr>
            <w:rStyle w:val="Hyperlink"/>
            <w:rFonts w:ascii="Calibri" w:cs="Calibri" w:eastAsia="Calibri" w:hAnsi="Calibri"/>
            <w:sz w:val="20"/>
            <w:szCs w:val="20"/>
          </w:rPr>
          <w:t xml:space="preserve">https://files.hawaii.gov/tax/stats/trc/docs2025/2026-05-Karacaovali_Presentation_TRC_Legislative_Update.pdf</w:t>
        </w:r>
      </w:hyperlink>
    </w:p>
    <w:p>
      <w:pPr>
        <w:spacing w:after="100"/>
      </w:pPr>
      <w:r>
        <w:rPr>
          <w:rFonts w:ascii="Calibri" w:cs="Calibri" w:eastAsia="Calibri" w:hAnsi="Calibri"/>
          <w:b/>
          <w:bCs/>
          <w:sz w:val="20"/>
          <w:szCs w:val="20"/>
        </w:rPr>
        <w:t xml:space="preserve">17. </w:t>
      </w:r>
      <w:r>
        <w:rPr>
          <w:rFonts w:ascii="Calibri" w:cs="Calibri" w:eastAsia="Calibri" w:hAnsi="Calibri"/>
          <w:sz w:val="20"/>
          <w:szCs w:val="20"/>
        </w:rPr>
        <w:t xml:space="preserve">Minutes, June 16, 2026 — </w:t>
      </w:r>
      <w:hyperlink w:history="1" r:id="rIdhr3glhwqyie0cg87vzn_k">
        <w:r>
          <w:rPr>
            <w:rStyle w:val="Hyperlink"/>
            <w:rFonts w:ascii="Calibri" w:cs="Calibri" w:eastAsia="Calibri" w:hAnsi="Calibri"/>
            <w:sz w:val="20"/>
            <w:szCs w:val="20"/>
          </w:rPr>
          <w:t xml:space="preserve">https://files.hawaii.gov/tax/stats/trc/mins2025/2026trc06-16_min.pdf</w:t>
        </w:r>
      </w:hyperlink>
    </w:p>
    <w:p>
      <w:pPr>
        <w:spacing w:after="100"/>
      </w:pPr>
      <w:r>
        <w:rPr>
          <w:rFonts w:ascii="Calibri" w:cs="Calibri" w:eastAsia="Calibri" w:hAnsi="Calibri"/>
          <w:b/>
          <w:bCs/>
          <w:sz w:val="20"/>
          <w:szCs w:val="20"/>
        </w:rPr>
        <w:t xml:space="preserve">18. </w:t>
      </w:r>
      <w:r>
        <w:rPr>
          <w:rFonts w:ascii="Calibri" w:cs="Calibri" w:eastAsia="Calibri" w:hAnsi="Calibri"/>
          <w:sz w:val="20"/>
          <w:szCs w:val="20"/>
        </w:rPr>
        <w:t xml:space="preserve">ITEP presentation, June 16, 2026 — Regressive Taxation in Hawai‘i (Nick Johnson) — </w:t>
      </w:r>
      <w:hyperlink w:history="1" r:id="rIdh52nzewuiodswktgzftls">
        <w:r>
          <w:rPr>
            <w:rStyle w:val="Hyperlink"/>
            <w:rFonts w:ascii="Calibri" w:cs="Calibri" w:eastAsia="Calibri" w:hAnsi="Calibri"/>
            <w:sz w:val="20"/>
            <w:szCs w:val="20"/>
          </w:rPr>
          <w:t xml:space="preserve">https://files.hawaii.gov/tax/stats/trc/docs2025/2026-06-16_Regressivity_ITEP_presentation_HI_TRC.pdf</w:t>
        </w:r>
      </w:hyperlink>
    </w:p>
    <w:p>
      <w:pPr>
        <w:spacing w:after="100"/>
      </w:pPr>
      <w:r>
        <w:rPr>
          <w:rFonts w:ascii="Calibri" w:cs="Calibri" w:eastAsia="Calibri" w:hAnsi="Calibri"/>
          <w:b/>
          <w:bCs/>
          <w:sz w:val="20"/>
          <w:szCs w:val="20"/>
        </w:rPr>
        <w:t xml:space="preserve">19. </w:t>
      </w:r>
      <w:r>
        <w:rPr>
          <w:rFonts w:ascii="Calibri" w:cs="Calibri" w:eastAsia="Calibri" w:hAnsi="Calibri"/>
          <w:sz w:val="20"/>
          <w:szCs w:val="20"/>
        </w:rPr>
        <w:t xml:space="preserve">Draft minutes, July 14, 2026 — </w:t>
      </w:r>
      <w:hyperlink w:history="1" r:id="rIddlxrqdxuppaonhtjhbj6p">
        <w:r>
          <w:rPr>
            <w:rStyle w:val="Hyperlink"/>
            <w:rFonts w:ascii="Calibri" w:cs="Calibri" w:eastAsia="Calibri" w:hAnsi="Calibri"/>
            <w:sz w:val="20"/>
            <w:szCs w:val="20"/>
          </w:rPr>
          <w:t xml:space="preserve">https://files.hawaii.gov/tax/stats/trc/mins2025/2026trc07-14_min_draft.pdf</w:t>
        </w:r>
      </w:hyperlink>
    </w:p>
    <w:p>
      <w:pPr>
        <w:spacing w:after="100"/>
      </w:pPr>
      <w:r>
        <w:rPr>
          <w:rFonts w:ascii="Calibri" w:cs="Calibri" w:eastAsia="Calibri" w:hAnsi="Calibri"/>
          <w:b/>
          <w:bCs/>
          <w:sz w:val="20"/>
          <w:szCs w:val="20"/>
        </w:rPr>
        <w:t xml:space="preserve">20. </w:t>
      </w:r>
      <w:r>
        <w:rPr>
          <w:rFonts w:ascii="Calibri" w:cs="Calibri" w:eastAsia="Calibri" w:hAnsi="Calibri"/>
          <w:sz w:val="20"/>
          <w:szCs w:val="20"/>
        </w:rPr>
        <w:t xml:space="preserve">DOTAX presentation, July 14, 2026 — Pension Income Taxation — </w:t>
      </w:r>
      <w:hyperlink w:history="1" r:id="rIdjnnsvmxc8woj7m7lph4qh">
        <w:r>
          <w:rPr>
            <w:rStyle w:val="Hyperlink"/>
            <w:rFonts w:ascii="Calibri" w:cs="Calibri" w:eastAsia="Calibri" w:hAnsi="Calibri"/>
            <w:sz w:val="20"/>
            <w:szCs w:val="20"/>
          </w:rPr>
          <w:t xml:space="preserve">https://files.hawaii.gov/tax/stats/trc/docs2025/2026-07-14-Karacaovali_Presentation-Pension_Income_Taxation.pdf</w:t>
        </w:r>
      </w:hyperlink>
    </w:p>
    <w:p>
      <w:pPr>
        <w:spacing w:after="100"/>
      </w:pPr>
      <w:r>
        <w:rPr>
          <w:rFonts w:ascii="Calibri" w:cs="Calibri" w:eastAsia="Calibri" w:hAnsi="Calibri"/>
          <w:b/>
          <w:bCs/>
          <w:sz w:val="20"/>
          <w:szCs w:val="20"/>
        </w:rPr>
        <w:t xml:space="preserve">21. </w:t>
      </w:r>
      <w:r>
        <w:rPr>
          <w:rFonts w:ascii="Calibri" w:cs="Calibri" w:eastAsia="Calibri" w:hAnsi="Calibri"/>
          <w:sz w:val="20"/>
          <w:szCs w:val="20"/>
        </w:rPr>
        <w:t xml:space="preserve">Notice and Agenda, August 11, 2026 (ninth meeting) — </w:t>
      </w:r>
      <w:hyperlink w:history="1" r:id="rIdbuzn49pfcyj7eau6de8pm">
        <w:r>
          <w:rPr>
            <w:rStyle w:val="Hyperlink"/>
            <w:rFonts w:ascii="Calibri" w:cs="Calibri" w:eastAsia="Calibri" w:hAnsi="Calibri"/>
            <w:sz w:val="20"/>
            <w:szCs w:val="20"/>
          </w:rPr>
          <w:t xml:space="preserve">https://files.hawaii.gov/tax/stats/trc/mins2025/2026trc08-11.pdf</w:t>
        </w:r>
      </w:hyperlink>
    </w:p>
    <w:p>
      <w:pPr>
        <w:spacing w:after="100"/>
      </w:pPr>
      <w:r>
        <w:rPr>
          <w:rFonts w:ascii="Calibri" w:cs="Calibri" w:eastAsia="Calibri" w:hAnsi="Calibri"/>
          <w:b/>
          <w:bCs/>
          <w:sz w:val="20"/>
          <w:szCs w:val="20"/>
        </w:rPr>
        <w:t xml:space="preserve">22. </w:t>
      </w:r>
      <w:r>
        <w:rPr>
          <w:rFonts w:ascii="Calibri" w:cs="Calibri" w:eastAsia="Calibri" w:hAnsi="Calibri"/>
          <w:sz w:val="20"/>
          <w:szCs w:val="20"/>
        </w:rPr>
        <w:t xml:space="preserve">Hawai‘i Tax Fairness Coalition — </w:t>
      </w:r>
      <w:hyperlink w:history="1" r:id="rIdi2dwnegewu-rmj94ieur1">
        <w:r>
          <w:rPr>
            <w:rStyle w:val="Hyperlink"/>
            <w:rFonts w:ascii="Calibri" w:cs="Calibri" w:eastAsia="Calibri" w:hAnsi="Calibri"/>
            <w:sz w:val="20"/>
            <w:szCs w:val="20"/>
          </w:rPr>
          <w:t xml:space="preserve">https://hitaxfairness.org</w:t>
        </w:r>
      </w:hyperlink>
    </w:p>
    <w:p>
      <w:pPr>
        <w:spacing w:after="100"/>
      </w:pPr>
      <w:r>
        <w:rPr>
          <w:rFonts w:ascii="Calibri" w:cs="Calibri" w:eastAsia="Calibri" w:hAnsi="Calibri"/>
          <w:b/>
          <w:bCs/>
          <w:sz w:val="20"/>
          <w:szCs w:val="20"/>
        </w:rPr>
        <w:t xml:space="preserve">23. </w:t>
      </w:r>
      <w:r>
        <w:rPr>
          <w:rFonts w:ascii="Calibri" w:cs="Calibri" w:eastAsia="Calibri" w:hAnsi="Calibri"/>
          <w:sz w:val="20"/>
          <w:szCs w:val="20"/>
        </w:rPr>
        <w:t xml:space="preserve">Video — June 16, 2026 meeting (ITEP presentation) — </w:t>
      </w:r>
      <w:hyperlink w:history="1" r:id="rIdk2ytqqlpnrhms36qsl367">
        <w:r>
          <w:rPr>
            <w:rStyle w:val="Hyperlink"/>
            <w:rFonts w:ascii="Calibri" w:cs="Calibri" w:eastAsia="Calibri" w:hAnsi="Calibri"/>
            <w:sz w:val="20"/>
            <w:szCs w:val="20"/>
          </w:rPr>
          <w:t xml:space="preserve">https://www.youtube.com/watch?v=8fPXR5w6Y4I</w:t>
        </w:r>
      </w:hyperlink>
    </w:p>
    <w:p>
      <w:pPr>
        <w:spacing w:after="100"/>
      </w:pPr>
      <w:r>
        <w:rPr>
          <w:rFonts w:ascii="Calibri" w:cs="Calibri" w:eastAsia="Calibri" w:hAnsi="Calibri"/>
          <w:b/>
          <w:bCs/>
          <w:sz w:val="20"/>
          <w:szCs w:val="20"/>
        </w:rPr>
        <w:t xml:space="preserve">24. </w:t>
      </w:r>
      <w:r>
        <w:rPr>
          <w:rFonts w:ascii="Calibri" w:cs="Calibri" w:eastAsia="Calibri" w:hAnsi="Calibri"/>
          <w:sz w:val="20"/>
          <w:szCs w:val="20"/>
        </w:rPr>
        <w:t xml:space="preserve">Video — July 14, 2026 meeting (pension income) — </w:t>
      </w:r>
      <w:hyperlink w:history="1" r:id="rIdxk1gosmjxduqtnxgzrmri">
        <w:r>
          <w:rPr>
            <w:rStyle w:val="Hyperlink"/>
            <w:rFonts w:ascii="Calibri" w:cs="Calibri" w:eastAsia="Calibri" w:hAnsi="Calibri"/>
            <w:sz w:val="20"/>
            <w:szCs w:val="20"/>
          </w:rPr>
          <w:t xml:space="preserve">https://www.youtube.com/watch?v=yzfVAQ1mc-w</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2w-32xysa0m8fmvgwwam" Type="http://schemas.openxmlformats.org/officeDocument/2006/relationships/hyperlink" Target="https://tax.hawaii.gov/stats/tax-review-commission/" TargetMode="External"/><Relationship Id="rIdou3l1lxzw0y-j5gpxnndl" Type="http://schemas.openxmlformats.org/officeDocument/2006/relationships/hyperlink" Target="https://files.hawaii.gov/tax/stats/trc/mins2025/2026trc01-15_min.pdf" TargetMode="External"/><Relationship Id="rIdi0htnfv8rkweykd8kt-ep" Type="http://schemas.openxmlformats.org/officeDocument/2006/relationships/hyperlink" Target="https://files.hawaii.gov/tax/stats/trc/docs2025/2026-01-15-TRC_Presentation-DOTAX-TRP.pdf" TargetMode="External"/><Relationship Id="rIdpnuyd3jimjgcezln5knyx" Type="http://schemas.openxmlformats.org/officeDocument/2006/relationships/hyperlink" Target="https://files.hawaii.gov/tax/stats/trc/docs2025/HCR%20_82.pdf" TargetMode="External"/><Relationship Id="rIdkrxrrg8fe_fe3qyixljmt" Type="http://schemas.openxmlformats.org/officeDocument/2006/relationships/hyperlink" Target="https://files.hawaii.gov/tax/stats/trc/docs2025/SR19_SD1_Certified.pdf" TargetMode="External"/><Relationship Id="rIdcekld4irijt3vtaprr1oe" Type="http://schemas.openxmlformats.org/officeDocument/2006/relationships/hyperlink" Target="https://files.hawaii.gov/tax/stats/trc/mins2025/2026trc02-17_min.pdf" TargetMode="External"/><Relationship Id="rIdiyurczdybyokc9fkhxkzu" Type="http://schemas.openxmlformats.org/officeDocument/2006/relationships/hyperlink" Target="https://files.hawaii.gov/tax/stats/trc/docs2025/2026-02-17_TRC-Presentation-DOTAX-TRP.pdf" TargetMode="External"/><Relationship Id="rId6ysnjkaztywjdzkmr24r6" Type="http://schemas.openxmlformats.org/officeDocument/2006/relationships/hyperlink" Target="https://files.hawaii.gov/tax/stats/trc/mins2025/2026trc03-17_min.pdf" TargetMode="External"/><Relationship Id="rId_ua-wkjcud11n5b9dynam" Type="http://schemas.openxmlformats.org/officeDocument/2006/relationships/hyperlink" Target="https://files.hawaii.gov/tax/stats/trc/docs2025/2026-03-17_TRC-Presentation-DOTAX-Tax_Credits.pdf" TargetMode="External"/><Relationship Id="rIdglsik7xekfwiq6p76go_l" Type="http://schemas.openxmlformats.org/officeDocument/2006/relationships/hyperlink" Target="https://files.hawaii.gov/tax/stats/trc/docs2025/2026-03-17_TRC-Presentation-DOTAX-Timeline_Requirements.pdf" TargetMode="External"/><Relationship Id="rIdpmj4fectaq3nljcbkdtfq" Type="http://schemas.openxmlformats.org/officeDocument/2006/relationships/hyperlink" Target="https://files.hawaii.gov/tax/stats/trc/mins2025/2026trc04-01_min.pdf" TargetMode="External"/><Relationship Id="rId5mqyvbotv7iua2qhibk7b" Type="http://schemas.openxmlformats.org/officeDocument/2006/relationships/hyperlink" Target="https://files.hawaii.gov/tax/stats/trc/mins2025/2026trc04-20_min_final.pdf" TargetMode="External"/><Relationship Id="rIdafnha8k80r7g46oa_gyex" Type="http://schemas.openxmlformats.org/officeDocument/2006/relationships/hyperlink" Target="https://files.hawaii.gov/tax/stats/trc/docs2025/2026-04-20-TRC_Topic1_Competitiveness.pdf" TargetMode="External"/><Relationship Id="rIdf_mnkgwby3pnjeqsahmp3" Type="http://schemas.openxmlformats.org/officeDocument/2006/relationships/hyperlink" Target="https://files.hawaii.gov/tax/stats/trc/docs2025/2026-04-20-Other_TRC_Topics_under_Consideration.pdf" TargetMode="External"/><Relationship Id="rId2gv74clph6bqkme_zy5vn" Type="http://schemas.openxmlformats.org/officeDocument/2006/relationships/hyperlink" Target="https://files.hawaii.gov/tax/stats/trc/mins2025/2026trc05-26_min.pdf" TargetMode="External"/><Relationship Id="rIdu9zthelelg6uidl5piqaf" Type="http://schemas.openxmlformats.org/officeDocument/2006/relationships/hyperlink" Target="https://files.hawaii.gov/tax/stats/trc/docs2025/2026-05-Karacaovali_Presentation_TRC_Legislative_Update.pdf" TargetMode="External"/><Relationship Id="rIdhr3glhwqyie0cg87vzn_k" Type="http://schemas.openxmlformats.org/officeDocument/2006/relationships/hyperlink" Target="https://files.hawaii.gov/tax/stats/trc/mins2025/2026trc06-16_min.pdf" TargetMode="External"/><Relationship Id="rIdh52nzewuiodswktgzftls" Type="http://schemas.openxmlformats.org/officeDocument/2006/relationships/hyperlink" Target="https://files.hawaii.gov/tax/stats/trc/docs2025/2026-06-16_Regressivity_ITEP_presentation_HI_TRC.pdf" TargetMode="External"/><Relationship Id="rIddlxrqdxuppaonhtjhbj6p" Type="http://schemas.openxmlformats.org/officeDocument/2006/relationships/hyperlink" Target="https://files.hawaii.gov/tax/stats/trc/mins2025/2026trc07-14_min_draft.pdf" TargetMode="External"/><Relationship Id="rIdjnnsvmxc8woj7m7lph4qh" Type="http://schemas.openxmlformats.org/officeDocument/2006/relationships/hyperlink" Target="https://files.hawaii.gov/tax/stats/trc/docs2025/2026-07-14-Karacaovali_Presentation-Pension_Income_Taxation.pdf" TargetMode="External"/><Relationship Id="rIdbuzn49pfcyj7eau6de8pm" Type="http://schemas.openxmlformats.org/officeDocument/2006/relationships/hyperlink" Target="https://files.hawaii.gov/tax/stats/trc/mins2025/2026trc08-11.pdf" TargetMode="External"/><Relationship Id="rIdi2dwnegewu-rmj94ieur1" Type="http://schemas.openxmlformats.org/officeDocument/2006/relationships/hyperlink" Target="https://hitaxfairness.org" TargetMode="External"/><Relationship Id="rIdk2ytqqlpnrhms36qsl367" Type="http://schemas.openxmlformats.org/officeDocument/2006/relationships/hyperlink" Target="https://www.youtube.com/watch?v=8fPXR5w6Y4I" TargetMode="External"/><Relationship Id="rIdxk1gosmjxduqtnxgzrmri" Type="http://schemas.openxmlformats.org/officeDocument/2006/relationships/hyperlink" Target="https://www.youtube.com/watch?v=yzfVAQ1mc-w"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 Review Commission 2025-2027 — Meeting Summaries and TFC Alignment</dc:title>
  <dc:creator>Hawai‘i Appleseed</dc:creator>
  <cp:lastModifiedBy>Un-named</cp:lastModifiedBy>
  <cp:revision>1</cp:revision>
  <dcterms:created xsi:type="dcterms:W3CDTF">2026-08-05T02:29:14.211Z</dcterms:created>
  <dcterms:modified xsi:type="dcterms:W3CDTF">2026-08-05T02:29:14.211Z</dcterms:modified>
</cp:coreProperties>
</file>

<file path=docProps/custom.xml><?xml version="1.0" encoding="utf-8"?>
<Properties xmlns="http://schemas.openxmlformats.org/officeDocument/2006/custom-properties" xmlns:vt="http://schemas.openxmlformats.org/officeDocument/2006/docPropsVTypes"/>
</file>