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8927CE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proofErr w:type="spellStart"/>
      <w:r w:rsidRPr="009B3CF7">
        <w:rPr>
          <w:rFonts w:hint="eastAsia"/>
          <w:highlight w:val="yellow"/>
          <w:rPrChange w:id="0" w:author="ilias tagkopoulos" w:date="2015-05-15T12:51:00Z">
            <w:rPr>
              <w:rFonts w:hint="eastAsia"/>
            </w:rPr>
          </w:rPrChange>
        </w:rPr>
        <w:t>X</w:t>
      </w:r>
      <w:r w:rsidR="00C42201" w:rsidRPr="009B3CF7">
        <w:rPr>
          <w:highlight w:val="yellow"/>
          <w:rPrChange w:id="1" w:author="ilias tagkopoulos" w:date="2015-05-15T12:51:00Z">
            <w:rPr/>
          </w:rPrChange>
        </w:rPr>
        <w:t>iaokang</w:t>
      </w:r>
      <w:proofErr w:type="spellEnd"/>
      <w:r w:rsidR="00C42201" w:rsidRPr="009B3CF7">
        <w:rPr>
          <w:highlight w:val="yellow"/>
          <w:rPrChange w:id="2" w:author="ilias tagkopoulos" w:date="2015-05-15T12:51:00Z">
            <w:rPr/>
          </w:rPrChange>
        </w:rPr>
        <w:t xml:space="preserve"> </w:t>
      </w:r>
      <w:r w:rsidRPr="009B3CF7">
        <w:rPr>
          <w:rFonts w:hint="eastAsia"/>
          <w:highlight w:val="yellow"/>
          <w:rPrChange w:id="3" w:author="ilias tagkopoulos" w:date="2015-05-15T12:51:00Z">
            <w:rPr>
              <w:rFonts w:hint="eastAsia"/>
            </w:rPr>
          </w:rPrChange>
        </w:rPr>
        <w:t>Wang</w:t>
      </w:r>
      <w:del w:id="4" w:author="ilias tagkopoulos" w:date="2015-05-15T12:51:00Z">
        <w:r w:rsidRPr="009B3CF7" w:rsidDel="009B3CF7">
          <w:rPr>
            <w:rFonts w:hint="eastAsia"/>
            <w:highlight w:val="yellow"/>
            <w:vertAlign w:val="superscript"/>
            <w:rPrChange w:id="5" w:author="ilias tagkopoulos" w:date="2015-05-15T12:51:00Z">
              <w:rPr>
                <w:rFonts w:hint="eastAsia"/>
                <w:vertAlign w:val="superscript"/>
              </w:rPr>
            </w:rPrChange>
          </w:rPr>
          <w:delText>3</w:delText>
        </w:r>
      </w:del>
      <w:ins w:id="6" w:author="ilias tagkopoulos" w:date="2015-05-15T12:51:00Z">
        <w:r w:rsidR="009B3CF7">
          <w:rPr>
            <w:vertAlign w:val="superscript"/>
          </w:rPr>
          <w:t>5</w:t>
        </w:r>
      </w:ins>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xml:space="preserve">, </w:t>
      </w:r>
      <w:proofErr w:type="spellStart"/>
      <w:r>
        <w:rPr>
          <w:rFonts w:hint="eastAsia"/>
        </w:rPr>
        <w:t>H</w:t>
      </w:r>
      <w:r w:rsidR="00C42201">
        <w:t>arhul</w:t>
      </w:r>
      <w:proofErr w:type="spellEnd"/>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xml:space="preserve">, </w:t>
      </w:r>
      <w:proofErr w:type="spellStart"/>
      <w:r>
        <w:rPr>
          <w:rFonts w:hint="eastAsia"/>
        </w:rPr>
        <w:t>H</w:t>
      </w:r>
      <w:r w:rsidR="00C42201">
        <w:t>osna</w:t>
      </w:r>
      <w:proofErr w:type="spellEnd"/>
      <w:r>
        <w:rPr>
          <w:rFonts w:hint="eastAsia"/>
        </w:rPr>
        <w:t xml:space="preserve"> Mohabbot</w:t>
      </w:r>
      <w:r w:rsidR="00C42201">
        <w:rPr>
          <w:vertAlign w:val="superscript"/>
        </w:rPr>
        <w:t>2</w:t>
      </w:r>
      <w:r>
        <w:rPr>
          <w:rFonts w:hint="eastAsia"/>
        </w:rPr>
        <w:t xml:space="preserve">, </w:t>
      </w:r>
      <w:proofErr w:type="spellStart"/>
      <w:r>
        <w:rPr>
          <w:rFonts w:hint="eastAsia"/>
        </w:rPr>
        <w:t>B</w:t>
      </w:r>
      <w:r w:rsidR="00C42201">
        <w:t>oyu</w:t>
      </w:r>
      <w:proofErr w:type="spellEnd"/>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9B3CF7">
        <w:rPr>
          <w:rFonts w:hint="eastAsia"/>
          <w:highlight w:val="yellow"/>
          <w:rPrChange w:id="7" w:author="ilias tagkopoulos" w:date="2015-05-15T12:51:00Z">
            <w:rPr>
              <w:rFonts w:hint="eastAsia"/>
            </w:rPr>
          </w:rPrChange>
        </w:rPr>
        <w:t>5. Depa</w:t>
      </w:r>
      <w:r w:rsidRPr="009B3CF7">
        <w:rPr>
          <w:highlight w:val="yellow"/>
          <w:rPrChange w:id="8" w:author="ilias tagkopoulos" w:date="2015-05-15T12:51:00Z">
            <w:rPr/>
          </w:rPrChange>
        </w:rP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2FD48521"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successful hit rates are often under ten percent.  One potential reason for this is that </w:t>
      </w:r>
      <w:r>
        <w:t xml:space="preserve">current force-field based approaches are frequently trained using indirect measures of function rather than direct correlation to experimentally-determined functional </w:t>
      </w:r>
      <w:proofErr w:type="gramStart"/>
      <w:r>
        <w:t>effects</w:t>
      </w:r>
      <w:r w:rsidR="00D92F42">
        <w:t xml:space="preserve"> </w:t>
      </w:r>
      <w:r>
        <w:t>.</w:t>
      </w:r>
      <w:proofErr w:type="gramEnd"/>
      <w:r>
        <w:t xml:space="preserve"> This is due </w:t>
      </w:r>
      <w:r>
        <w:lastRenderedPageBreak/>
        <w:t xml:space="preserve">to the lack of datasets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w:t>
      </w:r>
      <w:proofErr w:type="gramStart"/>
      <w:r>
        <w:t>predictive</w:t>
      </w:r>
      <w:proofErr w:type="gramEnd"/>
      <w:r>
        <w:t xml:space="preser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0E145B54"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Yet, there is significant precedence in the use of large datasets to train and evaluate force-field based algorithms for protein function.</w:t>
      </w:r>
      <w:r>
        <w:t xml:space="preserve"> </w:t>
      </w:r>
      <w:r w:rsidR="00DF34E5">
        <w:t xml:space="preserve">A closely related example is the </w:t>
      </w:r>
      <w:proofErr w:type="spellStart"/>
      <w:r w:rsidR="00DF34E5">
        <w:t>ProTherm</w:t>
      </w:r>
      <w:proofErr w:type="spellEnd"/>
      <w:r w:rsidR="00DF34E5">
        <w:t xml:space="preserve"> database which has over twenty thousands of measured effects o</w:t>
      </w:r>
      <w:r w:rsidR="00C65137">
        <w:t>f mutations on 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r w:rsidR="00C65137">
        <w:fldChar w:fldCharType="end"/>
      </w:r>
      <w:r w:rsidR="00DF34E5">
        <w:t xml:space="preserve"> This database is the gold standard used for the development of numerous algorithms for predicting effects of mutat</w:t>
      </w:r>
      <w:r w:rsidR="00D27DC5">
        <w:t>ions on 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r w:rsidR="00F4224D" w:rsidRPr="00F4224D">
        <w:rPr>
          <w:vertAlign w:val="superscript"/>
        </w:rPr>
        <w:fldChar w:fldCharType="end"/>
      </w:r>
      <w:r>
        <w:t xml:space="preserve"> </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w:t>
      </w:r>
      <w:proofErr w:type="spellStart"/>
      <w:r w:rsidR="00AD3EB3">
        <w:t>BglB</w:t>
      </w:r>
      <w:proofErr w:type="spellEnd"/>
      <w:r w:rsidR="00AD3EB3">
        <w:t xml:space="preserve">)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The family 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lastRenderedPageBreak/>
        <w:t>Koshland</w:t>
      </w:r>
      <w:proofErr w:type="spellEnd"/>
      <w:r w:rsidR="00DF34E5">
        <w:t xml:space="preserve"> double-displacement mechanism in which E353 performs a </w:t>
      </w:r>
      <w:r w:rsidR="00DE3799">
        <w:t>nucleo</w:t>
      </w:r>
      <w:r w:rsidR="00DF34E5">
        <w:t xml:space="preserve">philic attack on the </w:t>
      </w:r>
      <w:proofErr w:type="spellStart"/>
      <w:r w:rsidR="00DF34E5">
        <w:t>anomeric</w:t>
      </w:r>
      <w:proofErr w:type="spellEnd"/>
      <w:r w:rsidR="00DF34E5">
        <w:t xml:space="preserve">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2E575A77"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-ß-D-glucoside (</w:t>
      </w:r>
      <w:proofErr w:type="spellStart"/>
      <w:r w:rsidR="00DF34E5">
        <w:t>pNPG</w:t>
      </w:r>
      <w:proofErr w:type="spellEnd"/>
      <w:r w:rsidR="00DF34E5">
        <w:t xml:space="preserve">).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6FE16269" w:rsidR="00DF34E5" w:rsidRDefault="00DF34E5" w:rsidP="008C36CB">
      <w:pPr>
        <w:spacing w:line="480" w:lineRule="auto"/>
      </w:pPr>
      <w:r>
        <w:t xml:space="preserve">The crystal structure (PDB 2JIE) of recombinant BglB with the substrate analog 2-deoxy-2-fluoro-alpha-D-glucopyranose bound was used to identify the substrate </w:t>
      </w:r>
      <w:r>
        <w:lastRenderedPageBreak/>
        <w:t xml:space="preserve">binding pocket and the catalytic residues. To generate a molecular model approximating the first proposed transition state for the hydrolysis of </w:t>
      </w:r>
      <w:proofErr w:type="spellStart"/>
      <w:r>
        <w:t>pNPG</w:t>
      </w:r>
      <w:proofErr w:type="spellEnd"/>
      <w:r>
        <w:t xml:space="preserve">, </w:t>
      </w:r>
      <w:proofErr w:type="gramStart"/>
      <w:r>
        <w:t>an</w:t>
      </w:r>
      <w:proofErr w:type="gramEnd"/>
      <w:r>
        <w:t xml:space="preserve"> S</w:t>
      </w:r>
      <w:r w:rsidRPr="009C31AA">
        <w:rPr>
          <w:vertAlign w:val="subscript"/>
        </w:rPr>
        <w:t>N</w:t>
      </w:r>
      <w:r>
        <w:t xml:space="preserve">2-like transition state was built and minimized in Spartan based on a 3D conformer of PubChem CID 92930. Functional constraints were used to define catalytic distances, angles, and dihedrals between </w:t>
      </w:r>
      <w:proofErr w:type="spellStart"/>
      <w:r>
        <w:t>pNPG</w:t>
      </w:r>
      <w:proofErr w:type="spellEnd"/>
      <w:r>
        <w:t>, the acid-</w:t>
      </w:r>
      <w:proofErr w:type="spellStart"/>
      <w:r>
        <w:t>base</w:t>
      </w:r>
      <w:proofErr w:type="spellEnd"/>
      <w:r>
        <w:t xml:space="preserve"> E164, the nucleophile E353, and Y295, which is proposed to stabilize the nucleophilic glutamate. The angle between the attacking oxygen from E353, the </w:t>
      </w:r>
      <w:proofErr w:type="spellStart"/>
      <w:r>
        <w:t>anomeric</w:t>
      </w:r>
      <w:proofErr w:type="spellEnd"/>
      <w:r>
        <w:t xml:space="preserve"> carbon, and the phenolic oxygen was constrained to 180˚, in accordance with an S</w:t>
      </w:r>
      <w:r w:rsidRPr="00EB4AF5">
        <w:rPr>
          <w:vertAlign w:val="subscript"/>
        </w:rPr>
        <w:t>N</w:t>
      </w:r>
      <w:r>
        <w:t>2-like mechanism</w:t>
      </w:r>
      <w:r w:rsidR="00BB2E28">
        <w:t xml:space="preserve"> (See supplemental information for details)</w:t>
      </w:r>
      <w:r>
        <w:t xml:space="preserve">. </w:t>
      </w:r>
    </w:p>
    <w:p w14:paraId="7AB132AA" w14:textId="43B15420" w:rsidR="00DF34E5" w:rsidRDefault="00DF34E5" w:rsidP="008C36CB">
      <w:pPr>
        <w:spacing w:line="480" w:lineRule="auto"/>
      </w:pPr>
      <w:r>
        <w:tab/>
        <w:t xml:space="preserve">Two approaches were used to establish a set of mutants to generate and kinetically characterize. The first approach was 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w:t>
      </w:r>
      <w:proofErr w:type="spellStart"/>
      <w:r>
        <w:t>Foldit</w:t>
      </w:r>
      <w:proofErr w:type="spellEnd"/>
      <w:r>
        <w: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lastRenderedPageBreak/>
        <w:t>Protein production and purification</w:t>
      </w:r>
    </w:p>
    <w:p w14:paraId="29BCCBB5" w14:textId="05DE27C1"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w:t>
      </w:r>
      <w:proofErr w:type="spellStart"/>
      <w:r>
        <w:t>Transcriptic</w:t>
      </w:r>
      <w:proofErr w:type="spellEnd"/>
      <w:r>
        <w:t xml:space="preserve"> cloud laboratory platform and sequence-verified. Mutant plasmids were transformed into </w:t>
      </w:r>
      <w:r w:rsidRPr="009F55F8">
        <w:rPr>
          <w:i/>
        </w:rPr>
        <w:t>Escherichia coli</w:t>
      </w:r>
      <w:r>
        <w:t xml:space="preserve"> </w:t>
      </w:r>
      <w:proofErr w:type="gramStart"/>
      <w:r>
        <w:t>BL21(</w:t>
      </w:r>
      <w:proofErr w:type="gramEnd"/>
      <w:r>
        <w:t xml:space="preserve">DE3), and after expression proteins were purified via immobilized metal affinity chromatography. Absorbance at 280 nm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1714D6D0" w:rsidR="00DF34E5" w:rsidRDefault="00DF34E5" w:rsidP="008C36CB">
      <w:pPr>
        <w:spacing w:line="480" w:lineRule="auto"/>
      </w:pPr>
      <w:r>
        <w:tab/>
        <w:t>A total of ten biological replicates of the native BglB were used to assess expression and purification. The average yield is found to be 1.2 ± 0.4 mg/</w:t>
      </w:r>
      <w:proofErr w:type="spellStart"/>
      <w:r>
        <w:t>mL.</w:t>
      </w:r>
      <w:proofErr w:type="spellEnd"/>
      <w:r>
        <w:t xml:space="preserve"> Of the 104 mutants synthesized, 90 are found to express and purify as soluble protein (Figure 2). The yields for all 104 mutants </w:t>
      </w:r>
      <w:r w:rsidR="00B95A22">
        <w:t>are included in</w:t>
      </w:r>
      <w:r>
        <w:t xml:space="preserve"> </w:t>
      </w:r>
      <w:r w:rsidR="00B95A22">
        <w:t>Supplemental Table 1</w:t>
      </w:r>
      <w:r>
        <w:t>. Greater than 35% maintained the yields obtained for native BglB, and 15% are not expressed and purified as a soluble protein above our limit of detection (0.1 mg/mL) 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proofErr w:type="spellStart"/>
      <w:r>
        <w:t>Michaelis-Menten</w:t>
      </w:r>
      <w:proofErr w:type="spellEnd"/>
      <w:r>
        <w:t xml:space="preserve"> kinetic constants for each of the 104 mutants were determined using the colorimetric assay of pNPG hydrolysis and are represented as a </w:t>
      </w:r>
      <w:proofErr w:type="spellStart"/>
      <w:r>
        <w:t>heatmap</w:t>
      </w:r>
      <w:proofErr w:type="spellEnd"/>
      <w:r>
        <w:t xml:space="preserve"> in Figure 2. Ten biological replicates of the wild type enzyme has 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w:t>
      </w:r>
      <w:r>
        <w:lastRenderedPageBreak/>
        <w:t xml:space="preserve">the </w:t>
      </w:r>
      <w:proofErr w:type="spellStart"/>
      <w:r>
        <w:t>Michaelis-Menten</w:t>
      </w:r>
      <w:proofErr w:type="spellEnd"/>
      <w:r>
        <w:t xml:space="preserve">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w:t>
      </w:r>
      <w:proofErr w:type="gramStart"/>
      <w:r>
        <w:t>mutants</w:t>
      </w:r>
      <w:proofErr w:type="gramEnd"/>
      <w:r>
        <w:t xml:space="preserve">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Q19A, which decreases catalytic efficiency 57,000-fold. An analysis of the crystal structure of BglB illustrates that both the nitrogen and oxygen of the amide sidechain interact with hydroxyl groups on the substrate (Figure 3A). Based on a multiple sequence alignment of the </w:t>
      </w:r>
      <w:proofErr w:type="spellStart"/>
      <w:r>
        <w:t>Pfam</w:t>
      </w:r>
      <w:proofErr w:type="spellEnd"/>
      <w:r>
        <w:t xml:space="preserve"> database for the BglB enzyme family comprising 1,554 non-</w:t>
      </w:r>
      <w:r>
        <w:lastRenderedPageBreak/>
        <w:t xml:space="preserve">redundant proteins, Q19 is 95% conserved (Figure 3B).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to removing the established catalytic residue E353. Unlike E353, the nucleophilic glutamate directly involved in the reaction chemistry, Q19 is not involved in chemistry of the reaction. A crystal structure in complex with the 2-deoxy-2-fluoro-</w:t>
      </w:r>
      <w:r w:rsidR="0075290A" w:rsidRPr="0075290A">
        <w:rPr>
          <w:rFonts w:ascii="Symbol" w:hAnsi="Symbol"/>
        </w:rPr>
        <w:t></w:t>
      </w:r>
      <w:r>
        <w:t>-D-</w:t>
      </w:r>
      <w:proofErr w:type="spellStart"/>
      <w:r>
        <w:t>glucopyranose</w:t>
      </w:r>
      <w:proofErr w:type="spellEnd"/>
      <w:r>
        <w:t xml:space="preserve"> inhibitor of the Q19A mutation may help elucidate the structural effect of this mutation. Based on molecular modeling, no major structural change for this mutant is </w:t>
      </w:r>
      <w:r w:rsidR="006927C5">
        <w:t>predicted (Supplemental Figure 2</w:t>
      </w:r>
      <w:r w:rsidR="005D2F49">
        <w:t>A</w:t>
      </w:r>
      <w:r>
        <w:t xml:space="preserve">). </w:t>
      </w:r>
    </w:p>
    <w:p w14:paraId="290AA882" w14:textId="5E13D487" w:rsidR="00DF34E5" w:rsidRDefault="00DF34E5" w:rsidP="008C36CB">
      <w:pPr>
        <w:spacing w:line="480" w:lineRule="auto"/>
      </w:pPr>
      <w:r>
        <w:tab/>
        <w:t xml:space="preserve">Another unexpected finding was a ten-fold increase of </w:t>
      </w:r>
      <w:proofErr w:type="spellStart"/>
      <w:r w:rsidR="004F15C1" w:rsidRPr="00AE71AE">
        <w:rPr>
          <w:i/>
        </w:rPr>
        <w:t>k</w:t>
      </w:r>
      <w:r w:rsidR="004F15C1" w:rsidRPr="00AE71AE">
        <w:rPr>
          <w:vertAlign w:val="subscript"/>
        </w:rPr>
        <w:t>cat</w:t>
      </w:r>
      <w:proofErr w:type="spellEnd"/>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proofErr w:type="spellStart"/>
      <w:r w:rsidR="004F15C1" w:rsidRPr="00AE71AE">
        <w:rPr>
          <w:i/>
        </w:rPr>
        <w:t>k</w:t>
      </w:r>
      <w:r w:rsidR="004F15C1" w:rsidRPr="00AE71AE">
        <w:rPr>
          <w:vertAlign w:val="subscript"/>
        </w:rPr>
        <w:t>cat</w:t>
      </w:r>
      <w:proofErr w:type="spellEnd"/>
      <w:r>
        <w:t xml:space="preserve"> by ten fold. Both observations support the previously proposed hypothesis that the electrostatic environment of </w:t>
      </w:r>
      <w:r w:rsidR="00BB2E28">
        <w:t xml:space="preserve">an </w:t>
      </w:r>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lastRenderedPageBreak/>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Finally, the mutation R240A,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 xml:space="preserve">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w:t>
      </w:r>
      <w:r>
        <w:lastRenderedPageBreak/>
        <w:t>through rigid body minimization of the ligand, sidechain and ligand conformational sampling, and finally ligand, sidechain, and backbone minimization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39CD186F" w:rsidR="00DF34E5" w:rsidRDefault="00DF34E5" w:rsidP="008C36CB">
      <w:pPr>
        <w:spacing w:line="480" w:lineRule="auto"/>
      </w:pPr>
      <w:r>
        <w:lastRenderedPageBreak/>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52759EA1"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PCC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ins w:id="9" w:author="ilias tagkopoulos" w:date="2015-05-15T12:52:00Z">
        <w:r w:rsidR="009B3CF7">
          <w:t>(top panel)</w:t>
        </w:r>
        <w:r w:rsidR="009B3CF7">
          <w:t xml:space="preserve"> </w:t>
        </w:r>
      </w:ins>
      <w:r w:rsidR="00DF34E5">
        <w:t>illustrates the correlations between machine learning predictions and experimentally-measured values</w:t>
      </w:r>
      <w:ins w:id="10" w:author="ilias tagkopoulos" w:date="2015-05-15T12:52:00Z">
        <w:r w:rsidR="009B3CF7">
          <w:t xml:space="preserve">. </w:t>
        </w:r>
      </w:ins>
      <w:ins w:id="11" w:author="ilias tagkopoulos" w:date="2015-05-15T13:30:00Z">
        <w:r w:rsidR="00A139CE">
          <w:t>Figure 4 (bottom panel) depicts t</w:t>
        </w:r>
      </w:ins>
      <w:ins w:id="12" w:author="ilias tagkopoulos" w:date="2015-05-15T12:53:00Z">
        <w:r w:rsidR="009B3CF7">
          <w:t>he histogram of samples with respect to their measured kinetic constant value and the observed error</w:t>
        </w:r>
      </w:ins>
      <w:ins w:id="13" w:author="ilias tagkopoulos" w:date="2015-05-15T12:54:00Z">
        <w:r w:rsidR="009B3CF7">
          <w:t xml:space="preserve"> </w:t>
        </w:r>
      </w:ins>
      <w:ins w:id="14" w:author="ilias tagkopoulos" w:date="2015-05-15T12:55:00Z">
        <w:r w:rsidR="00A139CE">
          <w:t>between predicted/</w:t>
        </w:r>
        <w:r w:rsidR="009B3CF7">
          <w:t>measured value</w:t>
        </w:r>
      </w:ins>
      <w:ins w:id="15" w:author="ilias tagkopoulos" w:date="2015-05-15T13:30:00Z">
        <w:r w:rsidR="00A139CE">
          <w:t xml:space="preserve">. </w:t>
        </w:r>
      </w:ins>
      <w:del w:id="16" w:author="ilias tagkopoulos" w:date="2015-05-15T12:52:00Z">
        <w:r w:rsidR="00DF34E5" w:rsidDel="009B3CF7">
          <w:delText xml:space="preserve">. </w:delText>
        </w:r>
      </w:del>
    </w:p>
    <w:p w14:paraId="285AF232" w14:textId="6B4380FD"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r w:rsidR="00B20ED9">
        <w:t>an increase in structural packing around the catalytic residues and protein results in a higher K</w:t>
      </w:r>
      <w:r w:rsidR="00B20ED9" w:rsidRPr="00D947F4">
        <w:rPr>
          <w:vertAlign w:val="subscript"/>
        </w:rPr>
        <w:t>M</w:t>
      </w:r>
      <w:r w:rsidR="00B20ED9">
        <w:t>.</w:t>
      </w:r>
      <w:r w:rsidR="00342F97">
        <w:t xml:space="preserve">  Since substrate binding has a direct effect on K</w:t>
      </w:r>
      <w:r w:rsidR="00342F97" w:rsidRPr="00D947F4">
        <w:rPr>
          <w:vertAlign w:val="subscript"/>
        </w:rPr>
        <w:t>M</w:t>
      </w:r>
      <w:r w:rsidR="00342F97">
        <w:t xml:space="preserve">, this suggests physical space is needed </w:t>
      </w:r>
      <w:r w:rsidR="00DF34E5">
        <w:t xml:space="preserve">around each catalytic residue and the entire protein </w:t>
      </w:r>
      <w:r w:rsidR="00342F97">
        <w:t>in order to optimally accommodate the substrate</w:t>
      </w:r>
      <w:r w:rsidR="00DF34E5">
        <w:t xml:space="preserve">. These features and interpretation of their selection is consistent with an induced fit mechanism. However, if BglB employs an induced fit mechanism, the </w:t>
      </w:r>
      <w:r w:rsidR="00DF34E5">
        <w:lastRenderedPageBreak/>
        <w:t xml:space="preserve">structural changes would likely be relatively small since the RMSD between the </w:t>
      </w:r>
      <w:proofErr w:type="spellStart"/>
      <w:r w:rsidR="00DF34E5">
        <w:t>apo</w:t>
      </w:r>
      <w:proofErr w:type="spellEnd"/>
      <w:r w:rsidR="00DF34E5">
        <w:t xml:space="preserve"> and transition state analogue bound forms of BglB is &lt;</w:t>
      </w:r>
      <w:r w:rsidR="00DC381A">
        <w:t xml:space="preserve"> </w:t>
      </w:r>
      <w:r w:rsidR="00DF34E5">
        <w:t xml:space="preserve">0.2 Å. </w:t>
      </w:r>
    </w:p>
    <w:p w14:paraId="440A2B73" w14:textId="6D5CAA1C" w:rsidR="00DF34E5" w:rsidRDefault="00DF34E5" w:rsidP="008C36CB">
      <w:pPr>
        <w:spacing w:line="480" w:lineRule="auto"/>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r w:rsidR="00342F97">
        <w:t>T</w:t>
      </w:r>
      <w:r>
        <w:t xml:space="preserve">he </w:t>
      </w:r>
      <w:r w:rsidR="00342F97">
        <w:t xml:space="preserve">selection </w:t>
      </w:r>
      <w:r>
        <w:t xml:space="preserve">of these features by the machine learning algorithm is consistent with </w:t>
      </w:r>
      <w:r w:rsidR="00342F97">
        <w:t xml:space="preserve">hypothesis that </w:t>
      </w:r>
      <w:r>
        <w:t xml:space="preserve">the finely-tuned electrostatic environment of the BglB active site </w:t>
      </w:r>
      <w:r w:rsidR="00342F97">
        <w:t xml:space="preserve">is </w:t>
      </w:r>
      <w:r>
        <w:t>of primary impo</w:t>
      </w:r>
      <w:r w:rsidR="00515B0C">
        <w:t>rtance for 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r w:rsidR="00955701">
        <w:fldChar w:fldCharType="end"/>
      </w:r>
    </w:p>
    <w:p w14:paraId="5531B8F6" w14:textId="7E60C2D8" w:rsidR="00DF34E5" w:rsidRDefault="00DF34E5" w:rsidP="008C36CB">
      <w:pPr>
        <w:spacing w:line="480" w:lineRule="auto"/>
      </w:pPr>
      <w:r>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This is further supported by the finding that the mutation Q19A, which removes two hydrogen bond interactions between Q19 and </w:t>
      </w:r>
      <w:proofErr w:type="spellStart"/>
      <w:r>
        <w:t>pNPG</w:t>
      </w:r>
      <w:proofErr w:type="spellEnd"/>
      <w:r>
        <w:t xml:space="preserve"> is equivalent to the catalytic knockout E353A in reducing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lastRenderedPageBreak/>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5FBE270C"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37AF3700"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w:t>
      </w:r>
      <w:ins w:id="17" w:author="ilias tagkopoulos" w:date="2015-05-15T13:58:00Z">
        <w:r w:rsidR="00C50367">
          <w:t xml:space="preserve">quantitative dataset that covers the effects of mutations </w:t>
        </w:r>
      </w:ins>
      <w:ins w:id="18" w:author="ilias tagkopoulos" w:date="2015-05-15T13:59:00Z">
        <w:r w:rsidR="00C50367">
          <w:t xml:space="preserve">to kinetic parameters </w:t>
        </w:r>
      </w:ins>
      <w:ins w:id="19" w:author="ilias tagkopoulos" w:date="2015-05-15T13:58:00Z">
        <w:r w:rsidR="00C50367">
          <w:t xml:space="preserve">over </w:t>
        </w:r>
      </w:ins>
      <w:ins w:id="20" w:author="ilias tagkopoulos" w:date="2015-05-15T13:59:00Z">
        <w:r w:rsidR="00C50367">
          <w:t xml:space="preserve">a large dynamic range. </w:t>
        </w:r>
      </w:ins>
      <w:del w:id="21" w:author="ilias tagkopoulos" w:date="2015-05-15T13:59:00Z">
        <w:r w:rsidDel="00C50367">
          <w:delText xml:space="preserve">kinetically quantitative, and </w:delText>
        </w:r>
      </w:del>
      <w:del w:id="22" w:author="ilias tagkopoulos" w:date="2015-05-15T13:58:00Z">
        <w:r w:rsidDel="00C50367">
          <w:delText>uniformly-collected</w:delText>
        </w:r>
      </w:del>
      <w:del w:id="23" w:author="ilias tagkopoulos" w:date="2015-05-15T13:59:00Z">
        <w:r w:rsidDel="00C50367">
          <w:delText xml:space="preserve"> dataset of the effects of mutations on kinetic parameters. </w:delText>
        </w:r>
      </w:del>
      <w:r>
        <w:t xml:space="preserve">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provides </w:t>
      </w:r>
      <w:r w:rsidR="00FD1932">
        <w:t xml:space="preserve">a </w:t>
      </w:r>
      <w:r>
        <w:t xml:space="preserve">quantitative contribution towards catalysis of each amino acid in the active site. This systematic analysis revealed that several amino acids within the active site which are not directly involved in the reaction chemistry are almost </w:t>
      </w:r>
      <w:r>
        <w:lastRenderedPageBreak/>
        <w:t>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20405EC0" w14:textId="7DB92647" w:rsidR="003E150D" w:rsidRDefault="00DF34E5" w:rsidP="003E150D">
      <w:pPr>
        <w:spacing w:line="480" w:lineRule="auto"/>
        <w:rPr>
          <w:ins w:id="24" w:author="ilias tagkopoulos" w:date="2015-05-15T13:46: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ins w:id="25" w:author="ilias tagkopoulos" w:date="2015-05-15T14:01:00Z">
        <w:r w:rsidR="00C50367">
          <w:t xml:space="preserve">Similarly, </w:t>
        </w:r>
      </w:ins>
      <w:ins w:id="26" w:author="ilias tagkopoulos" w:date="2015-05-15T14:04:00Z">
        <w:r w:rsidR="00354D86">
          <w:t xml:space="preserve">the development and quantitative characterization of mutant datasets in the case of other enzymes will be indicative of what features are general or class-specific, among the different enzymatic classes. </w:t>
        </w:r>
      </w:ins>
      <w:del w:id="27" w:author="ilias tagkopoulos" w:date="2015-05-15T14:07:00Z">
        <w:r w:rsidDel="00354D86">
          <w:delText xml:space="preserve">While the dataset generated here enabled the development of a machine learning–based scoring function, it is unclear if the features selected by machine learning for BglB will be useful for prediction in other enzyme systems. </w:delText>
        </w:r>
      </w:del>
      <w:ins w:id="28" w:author="ilias tagkopoulos" w:date="2015-05-15T13:47:00Z">
        <w:r w:rsidR="003E150D">
          <w:t>In addition, a</w:t>
        </w:r>
      </w:ins>
      <w:ins w:id="29" w:author="ilias tagkopoulos" w:date="2015-05-15T13:46:00Z">
        <w:r w:rsidR="003E150D">
          <w:t xml:space="preserve">n interesting non-linear relationship is revealed, as the residual error increases with the measured kinetic value. There are two factors that contribute to this effect. First as it is evident from the histogram, mutants with lower activity have been sampled more in all cases, and the sampling size per bin tends to bias the error distribution. </w:t>
        </w:r>
        <w:r w:rsidR="003E150D">
          <w:lastRenderedPageBreak/>
          <w:t xml:space="preserve">Second there are no features or feature combinations in the regression model that correlate well with the observed non-linearity. Non-linear regression methods (second-order polynomial and </w:t>
        </w:r>
        <w:proofErr w:type="spellStart"/>
        <w:r w:rsidR="003E150D">
          <w:t>poisson</w:t>
        </w:r>
        <w:proofErr w:type="spellEnd"/>
        <w:r w:rsidR="003E150D">
          <w:t xml:space="preserve"> kernels) achieved similar performance.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 introducing informative features that capture different aspects of the variation observed and exploring other non-linear regression methods that balance well the bias-variance trade-off.</w:t>
        </w:r>
      </w:ins>
    </w:p>
    <w:p w14:paraId="0483E4D7" w14:textId="46B7DD93" w:rsidR="00DF34E5" w:rsidRDefault="003E150D" w:rsidP="008C36CB">
      <w:pPr>
        <w:spacing w:line="480" w:lineRule="auto"/>
      </w:pPr>
      <w:ins w:id="30" w:author="ilias tagkopoulos" w:date="2015-05-15T13:49:00Z">
        <w:r>
          <w:t xml:space="preserve">This work </w:t>
        </w:r>
      </w:ins>
      <w:ins w:id="31" w:author="ilias tagkopoulos" w:date="2015-05-15T13:53:00Z">
        <w:r w:rsidR="00C50367">
          <w:t xml:space="preserve">provides </w:t>
        </w:r>
      </w:ins>
      <w:ins w:id="32" w:author="ilias tagkopoulos" w:date="2015-05-15T14:07:00Z">
        <w:r w:rsidR="00354D86">
          <w:t xml:space="preserve">a conceptual framework of how constrained statistical learning can be integrated with systematic sampling of mutant phenotypes. </w:t>
        </w:r>
      </w:ins>
      <w:ins w:id="33" w:author="ilias tagkopoulos" w:date="2015-05-15T14:08:00Z">
        <w:r w:rsidR="00354D86">
          <w:t xml:space="preserve">As more datasets </w:t>
        </w:r>
      </w:ins>
      <w:ins w:id="34" w:author="ilias tagkopoulos" w:date="2015-05-15T14:09:00Z">
        <w:r w:rsidR="00354D86">
          <w:t xml:space="preserve">for kinetic characterization </w:t>
        </w:r>
      </w:ins>
      <w:ins w:id="35" w:author="ilias tagkopoulos" w:date="2015-05-15T14:08:00Z">
        <w:r w:rsidR="00354D86">
          <w:t>of</w:t>
        </w:r>
      </w:ins>
      <w:ins w:id="36" w:author="ilias tagkopoulos" w:date="2015-05-15T14:10:00Z">
        <w:r w:rsidR="00354D86">
          <w:t xml:space="preserve"> mutant variants will become available for a variety of proteins and classes, our </w:t>
        </w:r>
      </w:ins>
      <w:ins w:id="37" w:author="ilias tagkopoulos" w:date="2015-05-15T14:11:00Z">
        <w:r w:rsidR="00354D86">
          <w:t xml:space="preserve">understanding of how these systems function and our </w:t>
        </w:r>
      </w:ins>
      <w:ins w:id="38" w:author="ilias tagkopoulos" w:date="2015-05-15T14:10:00Z">
        <w:r w:rsidR="00354D86">
          <w:t>ability to identify the most informative features will increase</w:t>
        </w:r>
      </w:ins>
      <w:ins w:id="39" w:author="ilias tagkopoulos" w:date="2015-05-15T14:11:00Z">
        <w:r w:rsidR="00354D86">
          <w:t xml:space="preserve"> substantially.</w:t>
        </w:r>
      </w:ins>
      <w:ins w:id="40" w:author="ilias tagkopoulos" w:date="2015-05-15T14:12:00Z">
        <w:r w:rsidR="00354D86">
          <w:t xml:space="preserve"> Integration of these data-driven methods with enzyme redesign algorithms has the potential to significantly increase the predictive performance of the computational </w:t>
        </w:r>
      </w:ins>
      <w:ins w:id="41" w:author="ilias tagkopoulos" w:date="2015-05-15T14:14:00Z">
        <w:r w:rsidR="00354D86">
          <w:t>tools that are currently available</w:t>
        </w:r>
      </w:ins>
      <w:ins w:id="42" w:author="ilias tagkopoulos" w:date="2015-05-15T14:15:00Z">
        <w:r w:rsidR="00312061">
          <w:t>, with far-reaching applications.</w:t>
        </w:r>
      </w:ins>
      <w:del w:id="43" w:author="ilias tagkopoulos" w:date="2015-05-15T14:12:00Z">
        <w:r w:rsidR="00DF34E5" w:rsidDel="00354D86">
          <w:delText>More datasets of standardized kinetic constants are needed to determine if our results and the resultant machine learning–based scoring function is applicable to every family 1 glycoside hydrolase, or even to other classes of hydrolase</w:delText>
        </w:r>
        <w:r w:rsidR="00FD1932" w:rsidDel="00354D86">
          <w:delText>s</w:delText>
        </w:r>
        <w:r w:rsidR="00DF34E5" w:rsidDel="00354D86">
          <w:delText>.</w:delText>
        </w:r>
      </w:del>
      <w:del w:id="44" w:author="ilias tagkopoulos" w:date="2015-05-15T14:15:00Z">
        <w:r w:rsidR="00DF34E5" w:rsidDel="00312061">
          <w:delText xml:space="preserve"> Further work is needed to integrate these large data sets into enzyme redesign algorithms to enable data driven design of novel enzymatic catalysts.</w:delText>
        </w:r>
      </w:del>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lastRenderedPageBreak/>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 xml:space="preserve">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lastRenderedPageBreak/>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Site-directed mutagenesis performed according to the method developed by Kunkel was used to generate mutations to </w:t>
      </w:r>
      <w:proofErr w:type="spellStart"/>
      <w:r>
        <w:t>BglB</w:t>
      </w:r>
      <w:proofErr w:type="spellEnd"/>
      <w:r>
        <w:t xml:space="preserve"> via the </w:t>
      </w:r>
      <w:proofErr w:type="spellStart"/>
      <w:r>
        <w:t>Transcriptic</w:t>
      </w:r>
      <w:proofErr w:type="spellEnd"/>
      <w:r>
        <w:t xml:space="preserve">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 xml:space="preserve">-ß-D-glucoside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t>
      </w:r>
      <w:r>
        <w:lastRenderedPageBreak/>
        <w:t>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w:t>
      </w:r>
      <w:proofErr w:type="gramStart"/>
      <w:r>
        <w:t>,1</w:t>
      </w:r>
      <w:proofErr w:type="gramEnd"/>
      <w:r>
        <w:t xml:space="preserve">]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w:t>
      </w:r>
      <w:proofErr w:type="spellStart"/>
      <w:r>
        <w:t>BglB</w:t>
      </w:r>
      <w:proofErr w:type="spellEnd"/>
      <w:r>
        <w:t>,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lastRenderedPageBreak/>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ARO #201121557 and NSF #1254205 (IT) and Sloan #BR2014-012 and UC Davis Startup Funds (JBS). </w:t>
      </w:r>
      <w:r w:rsidR="00FD1932">
        <w:t xml:space="preserve"> We are grateful to the Siegel Lab, Dr.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proofErr w:type="spellStart"/>
      <w:proofErr w:type="gramStart"/>
      <w:r>
        <w:t>pNPG</w:t>
      </w:r>
      <w:proofErr w:type="spellEnd"/>
      <w:proofErr w:type="gramEnd"/>
      <w:r>
        <w:t xml:space="preserve">, </w:t>
      </w:r>
      <w:r w:rsidRPr="00AD4DE1">
        <w:rPr>
          <w:i/>
        </w:rPr>
        <w:t>p</w:t>
      </w:r>
      <w:r>
        <w:t>-</w:t>
      </w:r>
      <w:proofErr w:type="spellStart"/>
      <w:r>
        <w:t>nitrophenyl</w:t>
      </w:r>
      <w:proofErr w:type="spellEnd"/>
      <w:r>
        <w:t>-ß-D-glucoside,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w:t>
      </w:r>
      <w:proofErr w:type="spellStart"/>
      <w:r>
        <w:t>nitropheny</w:t>
      </w:r>
      <w:r w:rsidR="00DA6C73">
        <w:t>l</w:t>
      </w:r>
      <w:proofErr w:type="spellEnd"/>
      <w:r w:rsidR="00DA6C73">
        <w:t>-ß-D-glucoside used for design drawn with 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r w:rsidR="00DA6C73">
        <w:fldChar w:fldCharType="end"/>
      </w:r>
      <w:r>
        <w:t xml:space="preserve"> Alpha carbons of residues mutated shown as blue spheres (B) The </w:t>
      </w:r>
      <w:proofErr w:type="spellStart"/>
      <w:r>
        <w:t>BglB</w:t>
      </w:r>
      <w:proofErr w:type="spellEnd"/>
      <w:r>
        <w:t>–catalyzed reaction on p-</w:t>
      </w:r>
      <w:proofErr w:type="spellStart"/>
      <w:r>
        <w:t>nitrophenyl</w:t>
      </w:r>
      <w:proofErr w:type="spellEnd"/>
      <w:r>
        <w:t>-ß-D-glucoside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w:t>
      </w:r>
      <w:r>
        <w:lastRenderedPageBreak/>
        <w:t>labeled with an empty box. Values are on a log scale and the ranges are as follows: 10–11,000 min</w:t>
      </w:r>
      <w:r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t xml:space="preserve">), 0.6–85 </w:t>
      </w:r>
      <w:proofErr w:type="spellStart"/>
      <w:r>
        <w:t>mM</w:t>
      </w:r>
      <w:proofErr w:type="spellEnd"/>
      <w:r>
        <w:t xml:space="preserve">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with wild type constants of 880 ± 10 min</w:t>
      </w:r>
      <w:r w:rsidR="00B26AAC" w:rsidRPr="00B26AAC">
        <w:rPr>
          <w:vertAlign w:val="superscript"/>
        </w:rPr>
        <w:t>-1</w:t>
      </w:r>
      <w:r>
        <w:t xml:space="preserve">, 5.0 ± 0.2 </w:t>
      </w:r>
      <w:proofErr w:type="spellStart"/>
      <w:r>
        <w:t>mM</w:t>
      </w:r>
      <w:proofErr w:type="spellEnd"/>
      <w:r>
        <w:t>, and 171,000 ± 8000 M</w:t>
      </w:r>
      <w:r w:rsidR="00B26AAC" w:rsidRPr="00B26AAC">
        <w:rPr>
          <w:vertAlign w:val="superscript"/>
        </w:rPr>
        <w:t>-1</w:t>
      </w:r>
      <w:r>
        <w:t xml:space="preserve"> min</w:t>
      </w:r>
      <w:r w:rsidR="00B26AAC" w:rsidRPr="00B26AAC">
        <w:rPr>
          <w:vertAlign w:val="superscript"/>
        </w:rPr>
        <w:t>-1</w:t>
      </w:r>
      <w:r>
        <w:t xml:space="preserve">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 xml:space="preserve">(A) Docked model of pNPG in the active site of BglB showing established catalytic residues (navy) and a selection of residues mutated (gold). A multiple sequence 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7">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2F8EC0E4" w:rsidR="00DF34E5" w:rsidRDefault="004D15E9" w:rsidP="008C36CB">
      <w:pPr>
        <w:spacing w:line="480" w:lineRule="auto"/>
      </w:pPr>
      <w:ins w:id="45" w:author="ilias tagkopoulos" w:date="2015-05-15T14:16:00Z">
        <w:r>
          <w:t xml:space="preserve">Top panel: </w:t>
        </w:r>
      </w:ins>
      <w:r w:rsidR="00DF34E5">
        <w:t xml:space="preserve">The log value corresponding to the relative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(A), </w:t>
      </w:r>
      <w:proofErr w:type="spellStart"/>
      <w:r w:rsidR="004F15C1" w:rsidRPr="00AE71AE">
        <w:rPr>
          <w:i/>
        </w:rPr>
        <w:t>k</w:t>
      </w:r>
      <w:r w:rsidR="004F15C1" w:rsidRPr="00AE71AE">
        <w:rPr>
          <w:vertAlign w:val="subscript"/>
        </w:rPr>
        <w:t>cat</w:t>
      </w:r>
      <w:proofErr w:type="spellEnd"/>
      <w:r w:rsidR="00DF34E5">
        <w:t xml:space="preserve"> (B), and 1/</w:t>
      </w:r>
      <w:r w:rsidR="004F15C1">
        <w:t>K</w:t>
      </w:r>
      <w:r w:rsidR="004F15C1" w:rsidRPr="004F15C1">
        <w:rPr>
          <w:vertAlign w:val="subscript"/>
        </w:rPr>
        <w:t>M</w:t>
      </w:r>
      <w:r w:rsidR="00DF34E5">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w:t>
      </w:r>
      <w:ins w:id="46" w:author="ilias tagkopoulos" w:date="2015-05-15T14:18:00Z">
        <w:r>
          <w:t xml:space="preserve">The red line corresponds to linear </w:t>
        </w:r>
      </w:ins>
      <w:ins w:id="47" w:author="ilias tagkopoulos" w:date="2015-05-15T14:19:00Z">
        <w:r>
          <w:t>regression</w:t>
        </w:r>
      </w:ins>
      <w:ins w:id="48" w:author="ilias tagkopoulos" w:date="2015-05-15T14:18:00Z">
        <w:r>
          <w:t xml:space="preserve"> </w:t>
        </w:r>
      </w:ins>
      <w:ins w:id="49" w:author="ilias tagkopoulos" w:date="2015-05-15T14:19:00Z">
        <w:r>
          <w:t xml:space="preserve">and </w:t>
        </w:r>
      </w:ins>
      <w:ins w:id="50" w:author="ilias tagkopoulos" w:date="2015-05-15T14:18:00Z">
        <w:r>
          <w:t xml:space="preserve">has been added for visualization purposes. </w:t>
        </w:r>
      </w:ins>
      <w:bookmarkStart w:id="51" w:name="_GoBack"/>
      <w:bookmarkEnd w:id="51"/>
      <w:ins w:id="52" w:author="ilias tagkopoulos" w:date="2015-05-15T14:16:00Z">
        <w:r>
          <w:t xml:space="preserve">Bottom panel: </w:t>
        </w:r>
      </w:ins>
      <w:del w:id="53" w:author="ilias tagkopoulos" w:date="2015-05-15T14:17:00Z">
        <w:r w:rsidR="00DF34E5" w:rsidDel="004D15E9">
          <w:delText xml:space="preserve">Inset histograms display the </w:delText>
        </w:r>
      </w:del>
      <w:ins w:id="54" w:author="ilias tagkopoulos" w:date="2015-05-15T14:17:00Z">
        <w:r>
          <w:t xml:space="preserve">Histograms </w:t>
        </w:r>
      </w:ins>
      <w:del w:id="55" w:author="ilias tagkopoulos" w:date="2015-05-15T14:17:00Z">
        <w:r w:rsidR="00DF34E5" w:rsidDel="004D15E9">
          <w:delText xml:space="preserve">distribution </w:delText>
        </w:r>
      </w:del>
      <w:r w:rsidR="00DF34E5">
        <w:t xml:space="preserve">of experimentally-determined values in the data set (90, 80 and 80 samples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respectively)</w:t>
      </w:r>
      <w:ins w:id="56" w:author="ilias tagkopoulos" w:date="2015-05-15T14:17:00Z">
        <w:r>
          <w:t xml:space="preserve">, along with the residual errors between predicted and measured kinetic values. </w:t>
        </w:r>
      </w:ins>
      <w:del w:id="57" w:author="ilias tagkopoulos" w:date="2015-05-15T14:17:00Z">
        <w:r w:rsidR="00DF34E5" w:rsidDel="004D15E9">
          <w:delText>.</w:delText>
        </w:r>
      </w:del>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proofErr w:type="spellStart"/>
            <w:r w:rsidRPr="009C6982">
              <w:rPr>
                <w:b/>
                <w:i/>
                <w:iCs/>
              </w:rPr>
              <w:lastRenderedPageBreak/>
              <w:t>k</w:t>
            </w:r>
            <w:r w:rsidRPr="009C6982">
              <w:rPr>
                <w:b/>
                <w:vertAlign w:val="subscript"/>
              </w:rPr>
              <w:t>cat</w:t>
            </w:r>
            <w:proofErr w:type="spellEnd"/>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proofErr w:type="spellStart"/>
            <w:r w:rsidRPr="009C6982">
              <w:rPr>
                <w:b/>
                <w:i/>
                <w:iCs/>
              </w:rPr>
              <w:t>k</w:t>
            </w:r>
            <w:r w:rsidRPr="009C6982">
              <w:rPr>
                <w:b/>
                <w:vertAlign w:val="subscript"/>
              </w:rPr>
              <w:t>cat</w:t>
            </w:r>
            <w:proofErr w:type="spellEnd"/>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proofErr w:type="spellStart"/>
            <w:r w:rsidRPr="009C6982">
              <w:t>Lennard</w:t>
            </w:r>
            <w:proofErr w:type="spellEnd"/>
            <w:r w:rsidRPr="009C6982">
              <w:t>-Jones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 xml:space="preserve">Packing with </w:t>
            </w:r>
            <w:proofErr w:type="spellStart"/>
            <w:r w:rsidRPr="009C6982">
              <w:t>pNPG</w:t>
            </w:r>
            <w:proofErr w:type="spellEnd"/>
            <w:r w:rsidRPr="009C6982">
              <w:t xml:space="preserve">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proofErr w:type="spellStart"/>
            <w:r w:rsidRPr="009C6982">
              <w:t>Lennard</w:t>
            </w:r>
            <w:proofErr w:type="spellEnd"/>
            <w:r w:rsidRPr="009C6982">
              <w:t>-Jones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 xml:space="preserve">Packing around E353 without </w:t>
            </w:r>
            <w:proofErr w:type="spellStart"/>
            <w:r w:rsidRPr="009C6982">
              <w:t>pNPG</w:t>
            </w:r>
            <w:proofErr w:type="spellEnd"/>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 xml:space="preserve">Packing around E164 without </w:t>
            </w:r>
            <w:proofErr w:type="spellStart"/>
            <w:r w:rsidRPr="009C6982">
              <w:t>pNPG</w:t>
            </w:r>
            <w:proofErr w:type="spellEnd"/>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 xml:space="preserve">Packing around Y295 without </w:t>
            </w:r>
            <w:proofErr w:type="spellStart"/>
            <w:r w:rsidRPr="009C6982">
              <w:t>pNPG</w:t>
            </w:r>
            <w:proofErr w:type="spellEnd"/>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proofErr w:type="spellStart"/>
            <w:r w:rsidRPr="009C6982">
              <w:t>Lennard</w:t>
            </w:r>
            <w:proofErr w:type="spellEnd"/>
            <w:r w:rsidRPr="009C6982">
              <w:t>-Jones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403284BF"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8 for </w:t>
      </w:r>
      <w:proofErr w:type="spellStart"/>
      <w:r w:rsidR="004F15C1" w:rsidRPr="00AE71AE">
        <w:rPr>
          <w:i/>
        </w:rPr>
        <w:t>k</w:t>
      </w:r>
      <w:r w:rsidR="004F15C1" w:rsidRPr="00AE71AE">
        <w:rPr>
          <w:vertAlign w:val="subscript"/>
        </w:rPr>
        <w:t>cat</w:t>
      </w:r>
      <w:proofErr w:type="spellEnd"/>
      <w:r>
        <w:t xml:space="preserve">, </w:t>
      </w:r>
      <w:proofErr w:type="gramStart"/>
      <w:r>
        <w:t>10</w:t>
      </w:r>
      <w:proofErr w:type="gramEnd"/>
      <w:r>
        <w:t xml:space="preserve">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w:t>
      </w:r>
      <w:r>
        <w:lastRenderedPageBreak/>
        <w:t xml:space="preserve">description of each feature, and columns 5 and 6 show the range of observed values in the training dataset. The full feature table is available in Supplemental Table </w:t>
      </w:r>
      <w:r w:rsidR="000935EF">
        <w:t>2</w:t>
      </w:r>
      <w:r>
        <w:t>.</w:t>
      </w:r>
      <w:r w:rsidR="00AF585E">
        <w:t xml:space="preserve"> </w:t>
      </w:r>
      <w:proofErr w:type="gramStart"/>
      <w:r w:rsidRPr="005C44A4">
        <w:rPr>
          <w:i/>
        </w:rPr>
        <w:t>ns=</w:t>
      </w:r>
      <w:proofErr w:type="gramEnd"/>
      <w:r w:rsidRPr="005C44A4">
        <w:rPr>
          <w:i/>
        </w:rPr>
        <w:t>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w:t>
      </w:r>
      <w:r w:rsidRPr="00DA6C73">
        <w:rPr>
          <w:noProof/>
        </w:rPr>
        <w:lastRenderedPageBreak/>
        <w:t xml:space="preserve">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lastRenderedPageBreak/>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935EF"/>
    <w:rsid w:val="000C62FC"/>
    <w:rsid w:val="000D05AB"/>
    <w:rsid w:val="000D16BA"/>
    <w:rsid w:val="000E4A77"/>
    <w:rsid w:val="001112F9"/>
    <w:rsid w:val="00114C36"/>
    <w:rsid w:val="00132354"/>
    <w:rsid w:val="00152501"/>
    <w:rsid w:val="00186323"/>
    <w:rsid w:val="00190869"/>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2061"/>
    <w:rsid w:val="00314013"/>
    <w:rsid w:val="00342F97"/>
    <w:rsid w:val="00354D86"/>
    <w:rsid w:val="003B2366"/>
    <w:rsid w:val="003E150D"/>
    <w:rsid w:val="003F15E3"/>
    <w:rsid w:val="0040061F"/>
    <w:rsid w:val="00457A0B"/>
    <w:rsid w:val="004A52E3"/>
    <w:rsid w:val="004D15E9"/>
    <w:rsid w:val="004F15C1"/>
    <w:rsid w:val="005003CC"/>
    <w:rsid w:val="005061E7"/>
    <w:rsid w:val="00515B0C"/>
    <w:rsid w:val="005625F4"/>
    <w:rsid w:val="005815CD"/>
    <w:rsid w:val="005C3C83"/>
    <w:rsid w:val="005C44A4"/>
    <w:rsid w:val="005D2F49"/>
    <w:rsid w:val="006314A2"/>
    <w:rsid w:val="00632B58"/>
    <w:rsid w:val="00632C3C"/>
    <w:rsid w:val="00652F48"/>
    <w:rsid w:val="006927C5"/>
    <w:rsid w:val="00696E24"/>
    <w:rsid w:val="00700366"/>
    <w:rsid w:val="00721840"/>
    <w:rsid w:val="00726317"/>
    <w:rsid w:val="0075290A"/>
    <w:rsid w:val="00775C69"/>
    <w:rsid w:val="00781200"/>
    <w:rsid w:val="00794F66"/>
    <w:rsid w:val="007D70EE"/>
    <w:rsid w:val="007E6A5B"/>
    <w:rsid w:val="007F744E"/>
    <w:rsid w:val="00821017"/>
    <w:rsid w:val="008236FF"/>
    <w:rsid w:val="00841818"/>
    <w:rsid w:val="008542E8"/>
    <w:rsid w:val="008C36CB"/>
    <w:rsid w:val="008E17CB"/>
    <w:rsid w:val="00920108"/>
    <w:rsid w:val="00927A5F"/>
    <w:rsid w:val="00955701"/>
    <w:rsid w:val="00957C69"/>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0367"/>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2F42"/>
    <w:rsid w:val="00D947F4"/>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0F511B"/>
  <w14:defaultImageDpi w14:val="300"/>
  <w15:docId w15:val="{2A54F464-ED3E-4256-BCB3-C099779A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10241</Words>
  <Characters>58374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ilias tagkopoulos</cp:lastModifiedBy>
  <cp:revision>3</cp:revision>
  <dcterms:created xsi:type="dcterms:W3CDTF">2015-05-15T21:19:00Z</dcterms:created>
  <dcterms:modified xsi:type="dcterms:W3CDTF">2015-05-15T21:19:00Z</dcterms:modified>
</cp:coreProperties>
</file>